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B8486E" w14:textId="77777777" w:rsidR="00565164" w:rsidRDefault="00000000">
      <w:pPr>
        <w:spacing w:line="600" w:lineRule="exact"/>
        <w:rPr>
          <w:rFonts w:asciiTheme="majorEastAsia" w:eastAsiaTheme="majorEastAsia" w:hAnsiTheme="majorEastAsia" w:cstheme="majorEastAsia" w:hint="eastAsia"/>
        </w:rPr>
      </w:pPr>
      <w:r>
        <w:rPr>
          <w:rFonts w:asciiTheme="majorEastAsia" w:eastAsiaTheme="majorEastAsia" w:hAnsiTheme="majorEastAsia" w:cstheme="majorEastAsia" w:hint="eastAsia"/>
        </w:rPr>
        <w:t>附件3</w:t>
      </w:r>
    </w:p>
    <w:p w14:paraId="29BF5B8F" w14:textId="77777777" w:rsidR="00565164" w:rsidRDefault="00000000">
      <w:pPr>
        <w:pStyle w:val="TOC110"/>
        <w:wordWrap/>
        <w:spacing w:line="600" w:lineRule="exact"/>
        <w:jc w:val="center"/>
        <w:rPr>
          <w:rFonts w:ascii="方正小标宋简体" w:eastAsia="方正小标宋简体" w:hAnsi="方正小标宋简体" w:cs="方正小标宋_GBK" w:hint="eastAsia"/>
          <w:kern w:val="2"/>
          <w:sz w:val="44"/>
          <w:szCs w:val="44"/>
        </w:rPr>
      </w:pPr>
      <w:proofErr w:type="gramStart"/>
      <w:r>
        <w:rPr>
          <w:rFonts w:ascii="方正小标宋简体" w:eastAsia="方正小标宋简体" w:hAnsi="方正小标宋简体" w:hint="eastAsia"/>
          <w:sz w:val="44"/>
        </w:rPr>
        <w:t>《</w:t>
      </w:r>
      <w:proofErr w:type="gramEnd"/>
      <w:r>
        <w:rPr>
          <w:rFonts w:ascii="方正小标宋简体" w:eastAsia="方正小标宋简体" w:hAnsi="方正小标宋简体" w:cs="方正小标宋_GBK" w:hint="eastAsia"/>
          <w:kern w:val="2"/>
          <w:sz w:val="44"/>
          <w:szCs w:val="44"/>
        </w:rPr>
        <w:t>关于印发北京市2026年电力市场化</w:t>
      </w:r>
    </w:p>
    <w:p w14:paraId="2D284E3F" w14:textId="77777777" w:rsidR="00565164" w:rsidRDefault="00000000">
      <w:pPr>
        <w:pStyle w:val="TOC110"/>
        <w:wordWrap/>
        <w:spacing w:line="600" w:lineRule="exact"/>
        <w:jc w:val="center"/>
        <w:rPr>
          <w:rFonts w:ascii="方正小标宋简体" w:eastAsia="方正小标宋简体" w:hAnsi="方正小标宋简体" w:cs="方正小标宋_GBK" w:hint="eastAsia"/>
          <w:kern w:val="2"/>
          <w:sz w:val="44"/>
          <w:szCs w:val="44"/>
        </w:rPr>
      </w:pPr>
      <w:r>
        <w:rPr>
          <w:rFonts w:ascii="方正小标宋简体" w:eastAsia="方正小标宋简体" w:hAnsi="方正小标宋简体" w:cs="方正小标宋_GBK" w:hint="eastAsia"/>
          <w:kern w:val="2"/>
          <w:sz w:val="44"/>
          <w:szCs w:val="44"/>
        </w:rPr>
        <w:t>交易方案、绿色电力交易方案的通知</w:t>
      </w:r>
      <w:proofErr w:type="gramStart"/>
      <w:r>
        <w:rPr>
          <w:rFonts w:ascii="方正小标宋简体" w:eastAsia="方正小标宋简体" w:hAnsi="方正小标宋简体" w:cs="方正小标宋_GBK" w:hint="eastAsia"/>
          <w:kern w:val="2"/>
          <w:sz w:val="44"/>
          <w:szCs w:val="44"/>
        </w:rPr>
        <w:t>》</w:t>
      </w:r>
      <w:proofErr w:type="gramEnd"/>
      <w:r>
        <w:rPr>
          <w:rFonts w:ascii="方正小标宋简体" w:eastAsia="方正小标宋简体" w:hAnsi="方正小标宋简体" w:cs="方正小标宋_GBK" w:hint="eastAsia"/>
          <w:kern w:val="2"/>
          <w:sz w:val="44"/>
          <w:szCs w:val="44"/>
        </w:rPr>
        <w:t>的</w:t>
      </w:r>
    </w:p>
    <w:p w14:paraId="7E4EA3CB" w14:textId="77777777" w:rsidR="00565164" w:rsidRDefault="00000000">
      <w:pPr>
        <w:pStyle w:val="TOC110"/>
        <w:wordWrap/>
        <w:spacing w:line="600" w:lineRule="exact"/>
        <w:jc w:val="center"/>
        <w:rPr>
          <w:rFonts w:ascii="方正小标宋简体" w:eastAsia="方正小标宋简体" w:hAnsi="方正小标宋简体" w:cs="方正小标宋_GBK" w:hint="eastAsia"/>
          <w:kern w:val="2"/>
          <w:sz w:val="44"/>
          <w:szCs w:val="44"/>
        </w:rPr>
      </w:pPr>
      <w:r>
        <w:rPr>
          <w:rFonts w:ascii="方正小标宋简体" w:eastAsia="方正小标宋简体" w:hAnsi="方正小标宋简体" w:cs="方正小标宋_GBK" w:hint="eastAsia"/>
          <w:kern w:val="2"/>
          <w:sz w:val="44"/>
          <w:szCs w:val="44"/>
        </w:rPr>
        <w:t>起草说明</w:t>
      </w:r>
    </w:p>
    <w:p w14:paraId="29EEABF1" w14:textId="77777777" w:rsidR="00565164" w:rsidRDefault="00000000">
      <w:pPr>
        <w:snapToGrid w:val="0"/>
        <w:spacing w:line="600" w:lineRule="exact"/>
        <w:rPr>
          <w:rFonts w:ascii="仿宋" w:eastAsia="仿宋" w:hAnsi="仿宋" w:cs="仿宋" w:hint="eastAsia"/>
        </w:rPr>
      </w:pPr>
      <w:r>
        <w:rPr>
          <w:rFonts w:ascii="黑体" w:eastAsia="黑体" w:hAnsi="黑体" w:hint="eastAsia"/>
        </w:rPr>
        <w:t xml:space="preserve">  </w:t>
      </w:r>
    </w:p>
    <w:p w14:paraId="44470681"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为积极稳妥开展北京市2026年电力市场化交易工作，</w:t>
      </w:r>
      <w:r>
        <w:rPr>
          <w:rFonts w:ascii="仿宋_GB2312" w:hAnsi="仿宋_GB2312" w:cs="仿宋_GB2312" w:hint="eastAsia"/>
          <w:color w:val="000000"/>
          <w:shd w:val="clear" w:color="auto" w:fill="FFFFFF"/>
        </w:rPr>
        <w:t>结合北京地区工作实际，市城市管理委</w:t>
      </w:r>
      <w:r>
        <w:rPr>
          <w:rFonts w:ascii="仿宋_GB2312" w:hAnsi="仿宋_GB2312" w:cs="仿宋_GB2312" w:hint="eastAsia"/>
        </w:rPr>
        <w:t>会同有关单位研究制定了《北京市2026年电力市场化交易方案》（以下简称《2026年市场化交易方案》）和《北京市2026年绿色电力交易方案》（以下简称《2026年绿电交易方案》）。现将制定情况说明如下：</w:t>
      </w:r>
    </w:p>
    <w:p w14:paraId="73D1676A" w14:textId="77777777" w:rsidR="00565164" w:rsidRDefault="00000000">
      <w:pPr>
        <w:numPr>
          <w:ilvl w:val="0"/>
          <w:numId w:val="5"/>
        </w:numPr>
        <w:spacing w:line="600" w:lineRule="exact"/>
        <w:ind w:firstLineChars="200" w:firstLine="640"/>
        <w:rPr>
          <w:rFonts w:eastAsia="黑体" w:cs="黑体" w:hint="eastAsia"/>
        </w:rPr>
      </w:pPr>
      <w:r>
        <w:rPr>
          <w:rFonts w:eastAsia="黑体" w:cs="黑体" w:hint="eastAsia"/>
        </w:rPr>
        <w:t>起草背景</w:t>
      </w:r>
    </w:p>
    <w:p w14:paraId="43794492"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为贯彻落实国家发展改革委《关于进一步深化燃煤发电上网电价市场化改革的通知》（</w:t>
      </w:r>
      <w:proofErr w:type="gramStart"/>
      <w:r>
        <w:rPr>
          <w:rFonts w:ascii="仿宋_GB2312" w:hAnsi="仿宋_GB2312" w:cs="仿宋_GB2312" w:hint="eastAsia"/>
        </w:rPr>
        <w:t>发改价格</w:t>
      </w:r>
      <w:proofErr w:type="gramEnd"/>
      <w:r>
        <w:rPr>
          <w:rFonts w:ascii="仿宋_GB2312" w:hAnsi="仿宋_GB2312" w:cs="仿宋_GB2312" w:hint="eastAsia"/>
        </w:rPr>
        <w:t>〔2021〕1439号）、国家发展改革委《电力市场运行基本规则》（2024年第20号令）、国家发展改革委办公厅、国家能源局综合司《关于有序推进绿色电力交易有关事项的通知》（发改办体改〔2022〕821号）、国家发展改革委、国家能源局《关于印发〈电力中长期交易基本规则-绿色电力交易专章〉的通知》（</w:t>
      </w:r>
      <w:proofErr w:type="gramStart"/>
      <w:r>
        <w:rPr>
          <w:rFonts w:ascii="仿宋_GB2312" w:hAnsi="仿宋_GB2312" w:cs="仿宋_GB2312" w:hint="eastAsia"/>
        </w:rPr>
        <w:t>发改能源</w:t>
      </w:r>
      <w:proofErr w:type="gramEnd"/>
      <w:r>
        <w:rPr>
          <w:rFonts w:ascii="仿宋_GB2312" w:hAnsi="仿宋_GB2312" w:cs="仿宋_GB2312" w:hint="eastAsia"/>
        </w:rPr>
        <w:t>〔2024〕1123号）、</w:t>
      </w:r>
      <w:r>
        <w:rPr>
          <w:rFonts w:ascii="仿宋_GB2312" w:hAnsi="仿宋_GB2312" w:cs="仿宋_GB2312" w:hint="eastAsia"/>
          <w:color w:val="000000"/>
          <w:shd w:val="clear" w:color="auto" w:fill="FFFFFF"/>
        </w:rPr>
        <w:t>国家发展改革委、国家能源局《关于深化新能源上网电价市场化改革促进新能源高质量发展的通知》（</w:t>
      </w:r>
      <w:proofErr w:type="gramStart"/>
      <w:r>
        <w:rPr>
          <w:rFonts w:ascii="仿宋_GB2312" w:hAnsi="仿宋_GB2312" w:cs="仿宋_GB2312" w:hint="eastAsia"/>
          <w:color w:val="000000"/>
          <w:shd w:val="clear" w:color="auto" w:fill="FFFFFF"/>
        </w:rPr>
        <w:t>发改价格</w:t>
      </w:r>
      <w:proofErr w:type="gramEnd"/>
      <w:r>
        <w:rPr>
          <w:rFonts w:ascii="仿宋_GB2312" w:hAnsi="仿宋_GB2312" w:cs="仿宋_GB2312" w:hint="eastAsia"/>
          <w:color w:val="000000"/>
          <w:shd w:val="clear" w:color="auto" w:fill="FFFFFF"/>
        </w:rPr>
        <w:t>〔2025〕136号）</w:t>
      </w:r>
      <w:r>
        <w:rPr>
          <w:rFonts w:ascii="仿宋_GB2312" w:hAnsi="仿宋_GB2312" w:cs="仿宋_GB2312" w:hint="eastAsia"/>
        </w:rPr>
        <w:t>等有关文件要求，充分发挥市场在资源配置中的决定性作用，切</w:t>
      </w:r>
      <w:r>
        <w:rPr>
          <w:rFonts w:ascii="仿宋_GB2312" w:hAnsi="仿宋_GB2312" w:cs="仿宋_GB2312" w:hint="eastAsia"/>
        </w:rPr>
        <w:lastRenderedPageBreak/>
        <w:t>实保障电力安全稳定供应，结合我市实际，市城市管理委编制了《2026年市场化交易方案》和《2026年绿电交易方案》。</w:t>
      </w:r>
    </w:p>
    <w:p w14:paraId="1E4860A5" w14:textId="77777777"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rPr>
        <w:t>为持续深入推进电力市场建设，推动北京市新能源上网电量全面进入电力市场</w:t>
      </w:r>
      <w:r>
        <w:rPr>
          <w:rFonts w:ascii="仿宋_GB2312" w:hAnsi="仿宋_GB2312" w:cs="仿宋_GB2312" w:hint="eastAsia"/>
          <w:color w:val="000000"/>
          <w:shd w:val="clear" w:color="auto" w:fill="FFFFFF"/>
        </w:rPr>
        <w:t>，在现有北京市电力市场化交易规则框架基础上，市城市管理委编制了《北京市2026年新能源发电企业参与电力中长期交易实施细则》，并将其作为</w:t>
      </w:r>
      <w:r>
        <w:rPr>
          <w:rFonts w:ascii="仿宋_GB2312" w:hAnsi="仿宋_GB2312" w:cs="仿宋_GB2312" w:hint="eastAsia"/>
        </w:rPr>
        <w:t>《2026年绿电交易方案》的</w:t>
      </w:r>
      <w:r>
        <w:rPr>
          <w:rFonts w:ascii="仿宋_GB2312" w:hAnsi="仿宋_GB2312" w:cs="仿宋_GB2312" w:hint="eastAsia"/>
          <w:color w:val="000000"/>
          <w:shd w:val="clear" w:color="auto" w:fill="FFFFFF"/>
        </w:rPr>
        <w:t>附件发布，是北京市组织开展新能源发电企业参与2026年电力中长期交易的政策依据。</w:t>
      </w:r>
    </w:p>
    <w:p w14:paraId="59B057FB" w14:textId="77777777" w:rsidR="00565164" w:rsidRDefault="00000000">
      <w:pPr>
        <w:numPr>
          <w:ilvl w:val="0"/>
          <w:numId w:val="5"/>
        </w:numPr>
        <w:spacing w:line="600" w:lineRule="exact"/>
        <w:ind w:firstLineChars="200" w:firstLine="640"/>
        <w:rPr>
          <w:rFonts w:ascii="黑体" w:eastAsia="黑体" w:hAnsi="黑体" w:cs="黑体" w:hint="eastAsia"/>
          <w:kern w:val="0"/>
        </w:rPr>
      </w:pPr>
      <w:r>
        <w:rPr>
          <w:rFonts w:ascii="黑体" w:eastAsia="黑体" w:hAnsi="黑体" w:cs="黑体" w:hint="eastAsia"/>
          <w:kern w:val="0"/>
        </w:rPr>
        <w:t>起草工作过程</w:t>
      </w:r>
    </w:p>
    <w:p w14:paraId="5D2C214E" w14:textId="77777777" w:rsidR="00565164" w:rsidRDefault="00000000">
      <w:pPr>
        <w:pStyle w:val="a8"/>
        <w:spacing w:after="0"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shd w:val="clear" w:color="auto" w:fill="FFFFFF"/>
        </w:rPr>
        <w:t>2025年8月底，市城市管理委开展《2026年市场化交易方案》和《2026年绿电交易方案》编制前期研究准备工作，梳理并形成《〈北京市2026年电力市场化交易方案、绿色电力交易方案〉编制提纲》。</w:t>
      </w:r>
    </w:p>
    <w:p w14:paraId="0106A779" w14:textId="77777777"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shd w:val="clear" w:color="auto" w:fill="FFFFFF"/>
        </w:rPr>
        <w:t>2025年9月初，市城市管理委编制《2026年市场化交易方案（讨论稿）》《2026年绿电交易方案（讨论稿）》，多次组织华北能源监管局、市发展改革委、</w:t>
      </w:r>
      <w:proofErr w:type="gramStart"/>
      <w:r>
        <w:rPr>
          <w:rFonts w:ascii="仿宋_GB2312" w:hAnsi="仿宋_GB2312" w:cs="仿宋_GB2312" w:hint="eastAsia"/>
          <w:color w:val="000000"/>
          <w:shd w:val="clear" w:color="auto" w:fill="FFFFFF"/>
        </w:rPr>
        <w:t>国网北京市</w:t>
      </w:r>
      <w:proofErr w:type="gramEnd"/>
      <w:r>
        <w:rPr>
          <w:rFonts w:ascii="仿宋_GB2312" w:hAnsi="仿宋_GB2312" w:cs="仿宋_GB2312" w:hint="eastAsia"/>
          <w:color w:val="000000"/>
          <w:shd w:val="clear" w:color="auto" w:fill="FFFFFF"/>
        </w:rPr>
        <w:t>电力公司等有关单位，发电企业代表、售电公司代表召开专题会，针对交易规模、市场参与方式、交易组织安排、直接交易价格、偏差结算、偏差资金、北京市新能源发电企业参与市场交易等方面进行讨论，并对方案进一步修改完善。</w:t>
      </w:r>
    </w:p>
    <w:p w14:paraId="77538347" w14:textId="77777777" w:rsidR="00565164" w:rsidRDefault="00000000">
      <w:pPr>
        <w:spacing w:line="600" w:lineRule="exact"/>
        <w:ind w:firstLineChars="200" w:firstLine="640"/>
        <w:rPr>
          <w:rFonts w:hint="eastAsia"/>
        </w:rPr>
      </w:pPr>
      <w:r>
        <w:rPr>
          <w:rFonts w:ascii="仿宋_GB2312" w:hAnsi="仿宋_GB2312" w:cs="仿宋_GB2312" w:hint="eastAsia"/>
          <w:color w:val="000000"/>
          <w:shd w:val="clear" w:color="auto" w:fill="FFFFFF"/>
        </w:rPr>
        <w:t>2025年9月16日，市城市管理委编制《</w:t>
      </w:r>
      <w:bookmarkStart w:id="0" w:name="_Hlk209712544"/>
      <w:r>
        <w:rPr>
          <w:rFonts w:ascii="仿宋_GB2312" w:hAnsi="仿宋_GB2312" w:cs="仿宋_GB2312" w:hint="eastAsia"/>
          <w:color w:val="000000"/>
          <w:shd w:val="clear" w:color="auto" w:fill="FFFFFF"/>
        </w:rPr>
        <w:t>2026年市场化交易</w:t>
      </w:r>
      <w:r>
        <w:rPr>
          <w:rFonts w:ascii="仿宋_GB2312" w:hAnsi="仿宋_GB2312" w:cs="仿宋_GB2312" w:hint="eastAsia"/>
          <w:color w:val="000000"/>
          <w:shd w:val="clear" w:color="auto" w:fill="FFFFFF"/>
        </w:rPr>
        <w:lastRenderedPageBreak/>
        <w:t>方案</w:t>
      </w:r>
      <w:bookmarkEnd w:id="0"/>
      <w:r>
        <w:rPr>
          <w:rFonts w:ascii="仿宋_GB2312" w:hAnsi="仿宋_GB2312" w:cs="仿宋_GB2312" w:hint="eastAsia"/>
          <w:color w:val="000000"/>
          <w:shd w:val="clear" w:color="auto" w:fill="FFFFFF"/>
        </w:rPr>
        <w:t>（征求意见稿）》《2026年绿电交易方案（征求意见稿）》，向华北能源监管局、市发展改革委、北京电力交易中心、</w:t>
      </w:r>
      <w:proofErr w:type="gramStart"/>
      <w:r>
        <w:rPr>
          <w:rFonts w:ascii="仿宋_GB2312" w:hAnsi="仿宋_GB2312" w:cs="仿宋_GB2312" w:hint="eastAsia"/>
          <w:color w:val="000000"/>
          <w:shd w:val="clear" w:color="auto" w:fill="FFFFFF"/>
        </w:rPr>
        <w:t>国网华北分部</w:t>
      </w:r>
      <w:proofErr w:type="gramEnd"/>
      <w:r>
        <w:rPr>
          <w:rFonts w:ascii="仿宋_GB2312" w:hAnsi="仿宋_GB2312" w:cs="仿宋_GB2312" w:hint="eastAsia"/>
          <w:color w:val="000000"/>
          <w:shd w:val="clear" w:color="auto" w:fill="FFFFFF"/>
        </w:rPr>
        <w:t>、</w:t>
      </w:r>
      <w:proofErr w:type="gramStart"/>
      <w:r>
        <w:rPr>
          <w:rFonts w:ascii="仿宋_GB2312" w:hAnsi="仿宋_GB2312" w:cs="仿宋_GB2312" w:hint="eastAsia"/>
          <w:color w:val="000000"/>
          <w:shd w:val="clear" w:color="auto" w:fill="FFFFFF"/>
        </w:rPr>
        <w:t>国网北京市</w:t>
      </w:r>
      <w:proofErr w:type="gramEnd"/>
      <w:r>
        <w:rPr>
          <w:rFonts w:ascii="仿宋_GB2312" w:hAnsi="仿宋_GB2312" w:cs="仿宋_GB2312" w:hint="eastAsia"/>
          <w:color w:val="000000"/>
          <w:shd w:val="clear" w:color="auto" w:fill="FFFFFF"/>
        </w:rPr>
        <w:t>电力公司、首都电力交易中心征求意见，并充分吸纳合理建议。</w:t>
      </w:r>
    </w:p>
    <w:p w14:paraId="59E02F15" w14:textId="77777777"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shd w:val="clear" w:color="auto" w:fill="FFFFFF"/>
        </w:rPr>
        <w:t>2025年9月22日，市城市管理委组织召开专家评审会，邀请国家发展改革委能源研究所、华北电力大学等5名电力领域专家对进行评审。专家组一致认为，方案立足北京实际，符合国家相关政策和电力市场运行要求，具备可操作性，同意通过评审。</w:t>
      </w:r>
    </w:p>
    <w:p w14:paraId="087B1A6A" w14:textId="63AF7A95"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shd w:val="clear" w:color="auto" w:fill="FFFFFF"/>
        </w:rPr>
        <w:t>2025年9月25日，按照政策性文件向社会公开征求意见要求，完成</w:t>
      </w:r>
      <w:r w:rsidR="00433639">
        <w:rPr>
          <w:rFonts w:ascii="仿宋_GB2312" w:hAnsi="仿宋_GB2312" w:cs="仿宋_GB2312" w:hint="eastAsia"/>
          <w:color w:val="000000"/>
          <w:shd w:val="clear" w:color="auto" w:fill="FFFFFF"/>
        </w:rPr>
        <w:t>《</w:t>
      </w:r>
      <w:r w:rsidR="00433639" w:rsidRPr="00433639">
        <w:rPr>
          <w:rFonts w:ascii="仿宋_GB2312" w:hAnsi="仿宋_GB2312" w:cs="仿宋_GB2312" w:hint="eastAsia"/>
          <w:color w:val="000000"/>
          <w:shd w:val="clear" w:color="auto" w:fill="FFFFFF"/>
        </w:rPr>
        <w:t>2026年市场化交易方案》《2026年绿电交易方案</w:t>
      </w:r>
      <w:r w:rsidR="00433639">
        <w:rPr>
          <w:rFonts w:ascii="仿宋_GB2312" w:hAnsi="仿宋_GB2312" w:cs="仿宋_GB2312" w:hint="eastAsia"/>
          <w:color w:val="000000"/>
          <w:shd w:val="clear" w:color="auto" w:fill="FFFFFF"/>
        </w:rPr>
        <w:t>》</w:t>
      </w:r>
      <w:r>
        <w:rPr>
          <w:rFonts w:ascii="仿宋_GB2312" w:hAnsi="仿宋_GB2312" w:cs="仿宋_GB2312" w:hint="eastAsia"/>
          <w:color w:val="000000"/>
          <w:shd w:val="clear" w:color="auto" w:fill="FFFFFF"/>
        </w:rPr>
        <w:t>在合法性、意识形态、舆情风险等方面的</w:t>
      </w:r>
      <w:r w:rsidR="00433639">
        <w:rPr>
          <w:rFonts w:ascii="仿宋_GB2312" w:hAnsi="仿宋_GB2312" w:cs="仿宋_GB2312" w:hint="eastAsia"/>
          <w:color w:val="000000"/>
          <w:shd w:val="clear" w:color="auto" w:fill="FFFFFF"/>
        </w:rPr>
        <w:t>研究论证</w:t>
      </w:r>
      <w:r>
        <w:rPr>
          <w:rFonts w:ascii="仿宋_GB2312" w:hAnsi="仿宋_GB2312" w:cs="仿宋_GB2312" w:hint="eastAsia"/>
          <w:color w:val="000000"/>
          <w:shd w:val="clear" w:color="auto" w:fill="FFFFFF"/>
        </w:rPr>
        <w:t>。</w:t>
      </w:r>
    </w:p>
    <w:p w14:paraId="75B1098E" w14:textId="77777777" w:rsidR="00565164" w:rsidRDefault="00000000">
      <w:pPr>
        <w:numPr>
          <w:ilvl w:val="0"/>
          <w:numId w:val="5"/>
        </w:numPr>
        <w:spacing w:line="600" w:lineRule="exact"/>
        <w:ind w:firstLineChars="200" w:firstLine="640"/>
        <w:rPr>
          <w:rFonts w:ascii="黑体" w:eastAsia="黑体" w:hAnsi="黑体" w:cs="黑体" w:hint="eastAsia"/>
          <w:kern w:val="0"/>
        </w:rPr>
      </w:pPr>
      <w:r>
        <w:rPr>
          <w:rFonts w:ascii="黑体" w:eastAsia="黑体" w:hAnsi="黑体" w:cs="黑体" w:hint="eastAsia"/>
          <w:kern w:val="0"/>
        </w:rPr>
        <w:t>主要内容</w:t>
      </w:r>
    </w:p>
    <w:p w14:paraId="23C87D81" w14:textId="77777777" w:rsidR="00565164" w:rsidRDefault="00000000">
      <w:pPr>
        <w:spacing w:line="600" w:lineRule="exact"/>
        <w:ind w:firstLineChars="200" w:firstLine="640"/>
        <w:rPr>
          <w:rFonts w:ascii="楷体_GB2312" w:eastAsia="楷体_GB2312" w:hAnsi="楷体" w:cs="楷体" w:hint="eastAsia"/>
        </w:rPr>
      </w:pPr>
      <w:r>
        <w:rPr>
          <w:rFonts w:ascii="楷体_GB2312" w:eastAsia="楷体_GB2312" w:hAnsi="楷体" w:cs="楷体" w:hint="eastAsia"/>
        </w:rPr>
        <w:t>（一）《2026年市场化交易方案》</w:t>
      </w:r>
    </w:p>
    <w:p w14:paraId="5D838D83"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市场化交易方案》全文共分为八部分。其中，第一部分明确了交易电量规模；第二部分明确了市场参与方式；第三部分明确了交易组织安排；第四部分明确了直接交易价格；第五部分明确了结算方式；第六部分为零售交易；第七部分为信息披露；第八部分包含了相关工作要求。主要内容如下：</w:t>
      </w:r>
    </w:p>
    <w:p w14:paraId="1AD8B7A7"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1.明确了交易电量规模</w:t>
      </w:r>
    </w:p>
    <w:p w14:paraId="070A4C13"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2026年，北京市电力市场化交易总电量规模拟安排950亿千瓦时，其中，直接市场交易规模350亿千瓦时，电网代理购电</w:t>
      </w:r>
      <w:r>
        <w:rPr>
          <w:rFonts w:ascii="仿宋_GB2312" w:hAnsi="仿宋_GB2312" w:cs="仿宋_GB2312" w:hint="eastAsia"/>
        </w:rPr>
        <w:lastRenderedPageBreak/>
        <w:t>规模600亿千瓦时。</w:t>
      </w:r>
    </w:p>
    <w:p w14:paraId="3115368A" w14:textId="77777777" w:rsidR="00565164" w:rsidRDefault="00000000">
      <w:pPr>
        <w:widowControl/>
        <w:spacing w:line="600" w:lineRule="exact"/>
        <w:ind w:firstLineChars="200" w:firstLine="640"/>
        <w:rPr>
          <w:rFonts w:ascii="仿宋_GB2312" w:hAnsi="仿宋_GB2312" w:cs="仿宋_GB2312" w:hint="eastAsia"/>
        </w:rPr>
      </w:pPr>
      <w:r>
        <w:rPr>
          <w:rFonts w:ascii="仿宋_GB2312" w:hAnsi="仿宋_GB2312" w:cs="仿宋_GB2312" w:hint="eastAsia"/>
        </w:rPr>
        <w:t>2.明确了市场参与方式</w:t>
      </w:r>
    </w:p>
    <w:p w14:paraId="15DA2A78" w14:textId="77777777" w:rsidR="00565164" w:rsidRDefault="00000000">
      <w:pPr>
        <w:widowControl/>
        <w:spacing w:line="600" w:lineRule="exact"/>
        <w:ind w:firstLineChars="200" w:firstLine="640"/>
        <w:rPr>
          <w:rFonts w:ascii="仿宋_GB2312" w:hAnsi="仿宋_GB2312" w:cs="仿宋_GB2312" w:hint="eastAsia"/>
        </w:rPr>
      </w:pPr>
      <w:r>
        <w:rPr>
          <w:rFonts w:ascii="仿宋_GB2312" w:hAnsi="仿宋_GB2312" w:cs="仿宋_GB2312" w:hint="eastAsia"/>
        </w:rPr>
        <w:t>执行工商业电价的电力用户原则上全部直接参与市场交易。对暂未直接参与市场交易的用户，</w:t>
      </w:r>
      <w:proofErr w:type="gramStart"/>
      <w:r>
        <w:rPr>
          <w:rFonts w:ascii="仿宋_GB2312" w:hAnsi="仿宋_GB2312" w:cs="仿宋_GB2312" w:hint="eastAsia"/>
        </w:rPr>
        <w:t>由国网北京市</w:t>
      </w:r>
      <w:proofErr w:type="gramEnd"/>
      <w:r>
        <w:rPr>
          <w:rFonts w:ascii="仿宋_GB2312" w:hAnsi="仿宋_GB2312" w:cs="仿宋_GB2312" w:hint="eastAsia"/>
        </w:rPr>
        <w:t>电力公司代理购电。</w:t>
      </w:r>
    </w:p>
    <w:p w14:paraId="6D9C0B5E" w14:textId="77777777" w:rsidR="00565164" w:rsidRDefault="00000000">
      <w:pPr>
        <w:widowControl/>
        <w:spacing w:line="600" w:lineRule="exact"/>
        <w:ind w:firstLineChars="200" w:firstLine="640"/>
        <w:rPr>
          <w:rFonts w:ascii="仿宋_GB2312" w:hAnsi="仿宋_GB2312" w:cs="仿宋_GB2312" w:hint="eastAsia"/>
        </w:rPr>
      </w:pPr>
      <w:r>
        <w:rPr>
          <w:rFonts w:ascii="仿宋_GB2312" w:hAnsi="仿宋_GB2312" w:cs="仿宋_GB2312" w:hint="eastAsia"/>
        </w:rPr>
        <w:t>3.明确了交易方式</w:t>
      </w:r>
    </w:p>
    <w:p w14:paraId="166D03D2"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北京市采用双边协商、集中交易等方式开展分时段电力中长期交易。交易周期包含年度、月度、月内等。年度交易按月申报，以双边协商为主，月度、月内交易以集中竞价为主。采用双边协商方式时，发、用双方协商确定电量曲线；当采用集中竞价交易时，成交电量默认按北京典型负荷曲线电量比例分解。</w:t>
      </w:r>
    </w:p>
    <w:p w14:paraId="6F384DB4"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4.明确了分时报价</w:t>
      </w:r>
    </w:p>
    <w:p w14:paraId="5E09D7FE" w14:textId="77777777" w:rsidR="00565164" w:rsidRDefault="00000000">
      <w:pPr>
        <w:widowControl/>
        <w:spacing w:line="600" w:lineRule="exact"/>
        <w:ind w:firstLineChars="200" w:firstLine="640"/>
        <w:rPr>
          <w:rFonts w:hint="eastAsia"/>
        </w:rPr>
      </w:pPr>
      <w:r>
        <w:rPr>
          <w:rFonts w:ascii="仿宋_GB2312" w:hAnsi="仿宋_GB2312" w:cs="仿宋_GB2312" w:hint="eastAsia"/>
        </w:rPr>
        <w:t>发电企业、批发用户、售电公司采用分时段报量、单一报价的模式，按照24时段分别报量，以总量参与交易。</w:t>
      </w:r>
    </w:p>
    <w:p w14:paraId="3AB010CD"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5.明确了偏差结算</w:t>
      </w:r>
    </w:p>
    <w:p w14:paraId="0F816709"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北京市新能源发电企业的偏差结算方式按照《北京市2026年绿色电力交易方案》执行。</w:t>
      </w:r>
    </w:p>
    <w:p w14:paraId="725A8096"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2026年用户</w:t>
      </w:r>
      <w:proofErr w:type="gramStart"/>
      <w:r>
        <w:rPr>
          <w:rFonts w:ascii="仿宋_GB2312" w:hAnsi="仿宋_GB2312" w:cs="仿宋_GB2312" w:hint="eastAsia"/>
        </w:rPr>
        <w:t>侧合同</w:t>
      </w:r>
      <w:proofErr w:type="gramEnd"/>
      <w:r>
        <w:rPr>
          <w:rFonts w:ascii="仿宋_GB2312" w:hAnsi="仿宋_GB2312" w:cs="仿宋_GB2312" w:hint="eastAsia"/>
        </w:rPr>
        <w:t>偏差电量部分按照以下价格结算：</w:t>
      </w:r>
    </w:p>
    <w:p w14:paraId="1503DCCD"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超用电量结算电价：max[京津唐当月月度竞价出清价，批发用户，售电公司当月中长期交易合同电能量均价]*U</w:t>
      </w:r>
      <w:r>
        <w:rPr>
          <w:rFonts w:ascii="仿宋_GB2312" w:hAnsi="仿宋_GB2312" w:cs="仿宋_GB2312" w:hint="eastAsia"/>
          <w:vertAlign w:val="subscript"/>
        </w:rPr>
        <w:t>1</w:t>
      </w:r>
      <w:r>
        <w:rPr>
          <w:rFonts w:ascii="仿宋_GB2312" w:hAnsi="仿宋_GB2312" w:cs="仿宋_GB2312" w:hint="eastAsia"/>
        </w:rPr>
        <w:t>。</w:t>
      </w:r>
    </w:p>
    <w:p w14:paraId="503A63F0"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lastRenderedPageBreak/>
        <w:t>少用电量结算电价：min[京津唐当月月度竞价出清价，批发用户，售电公司当月中长期交易合同电能量均价]*U</w:t>
      </w:r>
      <w:r>
        <w:rPr>
          <w:rFonts w:ascii="仿宋_GB2312" w:hAnsi="仿宋_GB2312" w:cs="仿宋_GB2312" w:hint="eastAsia"/>
          <w:vertAlign w:val="subscript"/>
        </w:rPr>
        <w:t>2</w:t>
      </w:r>
      <w:r>
        <w:rPr>
          <w:rFonts w:ascii="仿宋_GB2312" w:hAnsi="仿宋_GB2312" w:cs="仿宋_GB2312" w:hint="eastAsia"/>
        </w:rPr>
        <w:t>。</w:t>
      </w:r>
    </w:p>
    <w:p w14:paraId="6B18C241"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2026年批发用户、售电公司偏差结算按照阶梯方式执行。</w:t>
      </w:r>
    </w:p>
    <w:p w14:paraId="2FE1302D"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后期根据北京市场运行情况，适时调整调节系数并发布。电网企业代理购电产生的偏差电量，按照京津唐电网月度竞价出清价格结算。</w:t>
      </w:r>
    </w:p>
    <w:p w14:paraId="6D01EBDD"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6.明确了零售价格</w:t>
      </w:r>
    </w:p>
    <w:p w14:paraId="7DC25BFE"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零售合同的电能</w:t>
      </w:r>
      <w:proofErr w:type="gramStart"/>
      <w:r>
        <w:rPr>
          <w:rFonts w:ascii="仿宋_GB2312" w:hAnsi="仿宋_GB2312" w:cs="仿宋_GB2312" w:hint="eastAsia"/>
        </w:rPr>
        <w:t>量价格</w:t>
      </w:r>
      <w:proofErr w:type="gramEnd"/>
      <w:r>
        <w:rPr>
          <w:rFonts w:ascii="仿宋_GB2312" w:hAnsi="仿宋_GB2312" w:cs="仿宋_GB2312" w:hint="eastAsia"/>
        </w:rPr>
        <w:t>在“北京燃煤基准价±20%”范围内形成。零售用户与售电公司结算的电能</w:t>
      </w:r>
      <w:proofErr w:type="gramStart"/>
      <w:r>
        <w:rPr>
          <w:rFonts w:ascii="仿宋_GB2312" w:hAnsi="仿宋_GB2312" w:cs="仿宋_GB2312" w:hint="eastAsia"/>
        </w:rPr>
        <w:t>量价格</w:t>
      </w:r>
      <w:proofErr w:type="gramEnd"/>
      <w:r>
        <w:rPr>
          <w:rFonts w:ascii="仿宋_GB2312" w:hAnsi="仿宋_GB2312" w:cs="仿宋_GB2312" w:hint="eastAsia"/>
        </w:rPr>
        <w:t>不包含煤电容量电价。</w:t>
      </w:r>
    </w:p>
    <w:p w14:paraId="24500FE5"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7.明确了信息披露</w:t>
      </w:r>
    </w:p>
    <w:p w14:paraId="2E7E77F8"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售电公司、电力用户在参与市场交易前，应按照信息披露基本规则要求完成信息披露。首都电力交易中心每年向市城市管理委报送披露情况。按照信息披露基本规则，首都电力交易中心定期披露售电公司相关信息，便于零售用户查询使用，按月披露市场结算总体情况及分类构成情况。</w:t>
      </w:r>
    </w:p>
    <w:p w14:paraId="44CD2C47"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8.明确了相关工作要求</w:t>
      </w:r>
    </w:p>
    <w:p w14:paraId="0E2868B4" w14:textId="77777777" w:rsidR="00565164" w:rsidRDefault="00000000">
      <w:pPr>
        <w:spacing w:line="600" w:lineRule="exact"/>
        <w:ind w:firstLineChars="200" w:firstLine="640"/>
        <w:rPr>
          <w:rFonts w:ascii="仿宋_GB2312" w:hAnsi="仿宋_GB2312" w:cs="仿宋_GB2312" w:hint="eastAsia"/>
        </w:rPr>
      </w:pPr>
      <w:r>
        <w:rPr>
          <w:rStyle w:val="NormalCharacter"/>
          <w:rFonts w:ascii="仿宋_GB2312" w:hAnsi="仿宋_GB2312" w:cs="仿宋_GB2312" w:hint="eastAsia"/>
          <w:color w:val="000000"/>
          <w:szCs w:val="36"/>
        </w:rPr>
        <w:t>（1）电力用户在同一合同周期内仅可与一家售电公司确立零售服务关系。售电公司不能代理发电企业参加交易。原则上，售电公司</w:t>
      </w:r>
      <w:proofErr w:type="gramStart"/>
      <w:r>
        <w:rPr>
          <w:rStyle w:val="NormalCharacter"/>
          <w:rFonts w:ascii="仿宋_GB2312" w:hAnsi="仿宋_GB2312" w:cs="仿宋_GB2312" w:hint="eastAsia"/>
          <w:color w:val="000000"/>
          <w:szCs w:val="36"/>
        </w:rPr>
        <w:t>绿电交易</w:t>
      </w:r>
      <w:proofErr w:type="gramEnd"/>
      <w:r>
        <w:rPr>
          <w:rStyle w:val="NormalCharacter"/>
          <w:rFonts w:ascii="仿宋_GB2312" w:hAnsi="仿宋_GB2312" w:cs="仿宋_GB2312" w:hint="eastAsia"/>
          <w:color w:val="000000"/>
          <w:szCs w:val="36"/>
        </w:rPr>
        <w:t>电量需全部分配至零售用户。零售用户更换售电公司时，若涉及到多年期交易合同，须由几</w:t>
      </w:r>
      <w:proofErr w:type="gramStart"/>
      <w:r>
        <w:rPr>
          <w:rStyle w:val="NormalCharacter"/>
          <w:rFonts w:ascii="仿宋_GB2312" w:hAnsi="仿宋_GB2312" w:cs="仿宋_GB2312" w:hint="eastAsia"/>
          <w:color w:val="000000"/>
          <w:szCs w:val="36"/>
        </w:rPr>
        <w:t>方主体</w:t>
      </w:r>
      <w:proofErr w:type="gramEnd"/>
      <w:r>
        <w:rPr>
          <w:rStyle w:val="NormalCharacter"/>
          <w:rFonts w:ascii="仿宋_GB2312" w:hAnsi="仿宋_GB2312" w:cs="仿宋_GB2312" w:hint="eastAsia"/>
          <w:color w:val="000000"/>
          <w:szCs w:val="36"/>
        </w:rPr>
        <w:t>共同协商一</w:t>
      </w:r>
      <w:r>
        <w:rPr>
          <w:rStyle w:val="NormalCharacter"/>
          <w:rFonts w:ascii="仿宋_GB2312" w:hAnsi="仿宋_GB2312" w:cs="仿宋_GB2312" w:hint="eastAsia"/>
          <w:color w:val="000000"/>
          <w:szCs w:val="36"/>
        </w:rPr>
        <w:lastRenderedPageBreak/>
        <w:t>致后，进行售电公司更换。签订多年期交易合同的售电公司、零售用户应注意多年期交易合同期限与交易平台中代理关系绑定期限对应。</w:t>
      </w:r>
    </w:p>
    <w:p w14:paraId="3F456AC0" w14:textId="77777777" w:rsidR="00565164" w:rsidRDefault="00000000">
      <w:pPr>
        <w:spacing w:line="600" w:lineRule="exact"/>
        <w:ind w:firstLineChars="200" w:firstLine="640"/>
        <w:rPr>
          <w:rFonts w:ascii="仿宋_GB2312" w:hAnsi="仿宋_GB2312" w:cs="仿宋_GB2312" w:hint="eastAsia"/>
        </w:rPr>
      </w:pPr>
      <w:r>
        <w:rPr>
          <w:rStyle w:val="NormalCharacter"/>
          <w:rFonts w:ascii="仿宋_GB2312" w:hAnsi="仿宋_GB2312" w:cs="仿宋_GB2312" w:hint="eastAsia"/>
          <w:color w:val="000000"/>
          <w:szCs w:val="36"/>
        </w:rPr>
        <w:t>（2）市场化电力用户（含售电公司、电网代理购电）2026年度中长期合同签约电量应不低于上一年度用电量的80%，并通过后续合同签订，保障电力中长期合同签约电量比例不低于90%。鼓励经营主体签订一年期以上的电力中长期合同。各类经营主体应综合考虑合同执行情况及市场变化因素，合理签订中长期合同。原则上，售电公司应充分调研其代理的零售用户用电需求后参与批发交易，做到批发交易电量与零售用户用电需求匹配。</w:t>
      </w:r>
    </w:p>
    <w:p w14:paraId="651D2BC7" w14:textId="77777777" w:rsidR="00565164" w:rsidRDefault="00000000">
      <w:pPr>
        <w:widowControl/>
        <w:spacing w:line="600" w:lineRule="exact"/>
        <w:ind w:firstLineChars="200" w:firstLine="640"/>
        <w:rPr>
          <w:rFonts w:ascii="仿宋_GB2312" w:hAnsi="仿宋_GB2312" w:cs="仿宋_GB2312" w:hint="eastAsia"/>
        </w:rPr>
      </w:pPr>
      <w:r>
        <w:rPr>
          <w:rFonts w:ascii="仿宋_GB2312" w:hAnsi="仿宋_GB2312" w:cs="仿宋_GB2312" w:hint="eastAsia"/>
        </w:rPr>
        <w:t>（3）2026年，北京市承担消纳责任的经营主体年度最低消纳责任权重预期性指标暂定为31.6%（非水30.0%），具体消纳责任权重以国家能源局正式发布的约束性指标为准。</w:t>
      </w:r>
    </w:p>
    <w:p w14:paraId="2B255DF1" w14:textId="77777777" w:rsidR="00565164" w:rsidRDefault="00000000">
      <w:pPr>
        <w:widowControl/>
        <w:spacing w:line="600" w:lineRule="exact"/>
        <w:ind w:firstLineChars="200" w:firstLine="640"/>
        <w:rPr>
          <w:rFonts w:ascii="仿宋_GB2312" w:hAnsi="仿宋_GB2312" w:cs="仿宋_GB2312" w:hint="eastAsia"/>
        </w:rPr>
      </w:pPr>
      <w:r>
        <w:rPr>
          <w:rFonts w:ascii="仿宋_GB2312" w:hAnsi="仿宋_GB2312" w:cs="仿宋_GB2312" w:hint="eastAsia"/>
        </w:rPr>
        <w:t>（4）首都电力交易中心负责组织发电企业、售电公司与批发用户，适时开展分时段电力交易相关培训及模拟测试工作。本市将根据模拟测试情况，适时对交易方式</w:t>
      </w:r>
      <w:proofErr w:type="gramStart"/>
      <w:r>
        <w:rPr>
          <w:rFonts w:ascii="仿宋_GB2312" w:hAnsi="仿宋_GB2312" w:cs="仿宋_GB2312" w:hint="eastAsia"/>
        </w:rPr>
        <w:t>作出</w:t>
      </w:r>
      <w:proofErr w:type="gramEnd"/>
      <w:r>
        <w:rPr>
          <w:rFonts w:ascii="仿宋_GB2312" w:hAnsi="仿宋_GB2312" w:cs="仿宋_GB2312" w:hint="eastAsia"/>
        </w:rPr>
        <w:t>调整。</w:t>
      </w:r>
    </w:p>
    <w:p w14:paraId="5391A890" w14:textId="77777777" w:rsidR="00565164" w:rsidRDefault="00000000">
      <w:pPr>
        <w:spacing w:line="600" w:lineRule="exact"/>
        <w:ind w:firstLineChars="200" w:firstLine="640"/>
        <w:rPr>
          <w:rFonts w:ascii="楷体_GB2312" w:eastAsia="楷体_GB2312" w:hAnsi="楷体" w:cs="楷体" w:hint="eastAsia"/>
        </w:rPr>
      </w:pPr>
      <w:r>
        <w:rPr>
          <w:rFonts w:ascii="楷体_GB2312" w:eastAsia="楷体_GB2312" w:hAnsi="楷体" w:cs="楷体" w:hint="eastAsia"/>
        </w:rPr>
        <w:t>（二）《2026年绿电交易方案》</w:t>
      </w:r>
    </w:p>
    <w:p w14:paraId="15FC7721" w14:textId="77777777"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shd w:val="clear" w:color="auto" w:fill="FFFFFF"/>
        </w:rPr>
        <w:t>《2026年绿电交易方案》全文共分为八部分。其中，第一部分明确了绿色电力交易定义；第二部分明确了经营主体；第三部分明确了交易品种及交易方式；第四部分为交易安排；第五部分为交易组织；第六部</w:t>
      </w:r>
      <w:proofErr w:type="gramStart"/>
      <w:r>
        <w:rPr>
          <w:rFonts w:ascii="仿宋_GB2312" w:hAnsi="仿宋_GB2312" w:cs="仿宋_GB2312" w:hint="eastAsia"/>
          <w:color w:val="000000"/>
          <w:shd w:val="clear" w:color="auto" w:fill="FFFFFF"/>
        </w:rPr>
        <w:t>分明确</w:t>
      </w:r>
      <w:proofErr w:type="gramEnd"/>
      <w:r>
        <w:rPr>
          <w:rFonts w:ascii="仿宋_GB2312" w:hAnsi="仿宋_GB2312" w:cs="仿宋_GB2312" w:hint="eastAsia"/>
          <w:color w:val="000000"/>
          <w:shd w:val="clear" w:color="auto" w:fill="FFFFFF"/>
        </w:rPr>
        <w:t>了交易结算；第七部分明确了绿证</w:t>
      </w:r>
      <w:r>
        <w:rPr>
          <w:rFonts w:ascii="仿宋_GB2312" w:hAnsi="仿宋_GB2312" w:cs="仿宋_GB2312" w:hint="eastAsia"/>
          <w:color w:val="000000"/>
          <w:shd w:val="clear" w:color="auto" w:fill="FFFFFF"/>
        </w:rPr>
        <w:lastRenderedPageBreak/>
        <w:t>划转；第八部分包含了其他要求。主要内容如下：</w:t>
      </w:r>
    </w:p>
    <w:p w14:paraId="1172E629"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1.明确了绿色电力交易定义</w:t>
      </w:r>
    </w:p>
    <w:p w14:paraId="7FF47D12"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绿色电力交易是指以绿色电力和对应绿色电力环境价值为标的物的电力交易品种，交易电力同时提供国家核发的可再生能源绿色电力证书，用以满足发电企业、售电公司电力用户等出售、购买绿色电力的需求。</w:t>
      </w:r>
    </w:p>
    <w:p w14:paraId="616F14FF"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2.明确了经营主体</w:t>
      </w:r>
    </w:p>
    <w:p w14:paraId="7D856568" w14:textId="77777777" w:rsidR="00565164" w:rsidRDefault="00000000">
      <w:pPr>
        <w:spacing w:line="600" w:lineRule="exact"/>
        <w:ind w:firstLineChars="200" w:firstLine="640"/>
        <w:rPr>
          <w:rFonts w:hint="eastAsia"/>
        </w:rPr>
      </w:pPr>
      <w:r>
        <w:rPr>
          <w:rFonts w:ascii="仿宋_GB2312" w:hAnsi="仿宋_GB2312" w:cs="仿宋_GB2312" w:hint="eastAsia"/>
        </w:rPr>
        <w:t>参与本市绿色电力交易的经营主体包括：新能源发电企业、售电公司、电力用户。本市新能源发电企业参与市场按照《北京市2026年新能源发电企业参与电力中长期交易实施细则》执行。售电公司、电力用户（含批发用户、零售用户）须在交易平台注册生效。</w:t>
      </w:r>
    </w:p>
    <w:p w14:paraId="019040C5"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3.明确了交易方式</w:t>
      </w:r>
    </w:p>
    <w:p w14:paraId="16116DF5"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2026年本市绿色电力交易主要包括本市经营主体参与北京市绿色电力交易、京津唐电网绿色电力交易、跨区跨省绿色电力交易。绿色电力交易依托交易平台开展，北京市绿色电力交易方式为双边协商、挂牌交易等；京津唐电网绿色电力交易方式为双边协商、集中竞价；在参与跨区跨省绿色电力交易时，鼓励发用双方签订多年期绿色电力购买协议。</w:t>
      </w:r>
    </w:p>
    <w:p w14:paraId="35B3FFCF"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4.明确了交易安排</w:t>
      </w:r>
    </w:p>
    <w:p w14:paraId="55698931"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北京电力交易中心会同首都电力交易中心根据经营主体需求及风电、光伏发电企业交易意向，以年（多年）、月（多月）、月内等为周期常态化组织开展绿色电力交易。经营主体参与京津唐电网、北京市绿色电力交易时，申报方式参照《北京市2026年电力市场化交易方案》执行；经营主体参与跨区跨省绿色电力交易时，应分时段报量、报价，以分时段成交结果加权价格参与峰谷浮动。分月电量不得超过其月度实际最大可发、用电能力。</w:t>
      </w:r>
    </w:p>
    <w:p w14:paraId="4CC10EFE"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5.明确了交易组织</w:t>
      </w:r>
    </w:p>
    <w:p w14:paraId="2568F939"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分别明确了北京市绿色电力交易、京津唐电网绿色电力交易、跨区跨省绿色电力交易不同的组织流程，方便经营主体在不同的交易方式下开展</w:t>
      </w:r>
      <w:proofErr w:type="gramStart"/>
      <w:r>
        <w:rPr>
          <w:rFonts w:ascii="仿宋_GB2312" w:eastAsia="仿宋_GB2312" w:hAnsi="仿宋_GB2312" w:cs="仿宋_GB2312" w:hint="eastAsia"/>
          <w:color w:val="000000"/>
          <w:sz w:val="32"/>
          <w:szCs w:val="32"/>
          <w:shd w:val="clear" w:color="auto" w:fill="FFFFFF"/>
        </w:rPr>
        <w:t>绿电交易</w:t>
      </w:r>
      <w:proofErr w:type="gramEnd"/>
      <w:r>
        <w:rPr>
          <w:rFonts w:ascii="仿宋_GB2312" w:eastAsia="仿宋_GB2312" w:hAnsi="仿宋_GB2312" w:cs="仿宋_GB2312" w:hint="eastAsia"/>
          <w:color w:val="000000"/>
          <w:sz w:val="32"/>
          <w:szCs w:val="32"/>
          <w:shd w:val="clear" w:color="auto" w:fill="FFFFFF"/>
        </w:rPr>
        <w:t>。</w:t>
      </w:r>
    </w:p>
    <w:p w14:paraId="472DB61B"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6.明确了交易结算</w:t>
      </w:r>
    </w:p>
    <w:p w14:paraId="3FAFFEB4"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明确了</w:t>
      </w:r>
      <w:r>
        <w:rPr>
          <w:rFonts w:ascii="仿宋" w:eastAsia="仿宋" w:hAnsi="仿宋" w:cs="仿宋" w:hint="eastAsia"/>
          <w:kern w:val="2"/>
          <w:sz w:val="32"/>
          <w:szCs w:val="32"/>
        </w:rPr>
        <w:t>绿色</w:t>
      </w:r>
      <w:r>
        <w:rPr>
          <w:rFonts w:ascii="仿宋_GB2312" w:eastAsia="仿宋_GB2312" w:hAnsi="仿宋_GB2312" w:cs="仿宋_GB2312" w:hint="eastAsia"/>
          <w:color w:val="000000"/>
          <w:sz w:val="32"/>
          <w:szCs w:val="32"/>
          <w:shd w:val="clear" w:color="auto" w:fill="FFFFFF"/>
        </w:rPr>
        <w:t>电力交易优先结算，并且分别明确了绿色电力交易中电能</w:t>
      </w:r>
      <w:proofErr w:type="gramStart"/>
      <w:r>
        <w:rPr>
          <w:rFonts w:ascii="仿宋_GB2312" w:eastAsia="仿宋_GB2312" w:hAnsi="仿宋_GB2312" w:cs="仿宋_GB2312" w:hint="eastAsia"/>
          <w:color w:val="000000"/>
          <w:sz w:val="32"/>
          <w:szCs w:val="32"/>
          <w:shd w:val="clear" w:color="auto" w:fill="FFFFFF"/>
        </w:rPr>
        <w:t>量价格</w:t>
      </w:r>
      <w:proofErr w:type="gramEnd"/>
      <w:r>
        <w:rPr>
          <w:rFonts w:ascii="仿宋_GB2312" w:eastAsia="仿宋_GB2312" w:hAnsi="仿宋_GB2312" w:cs="仿宋_GB2312" w:hint="eastAsia"/>
          <w:color w:val="000000"/>
          <w:sz w:val="32"/>
          <w:szCs w:val="32"/>
          <w:shd w:val="clear" w:color="auto" w:fill="FFFFFF"/>
        </w:rPr>
        <w:t>与绿色电力环境价值的结算方式。</w:t>
      </w:r>
    </w:p>
    <w:p w14:paraId="5DCB1183"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7.明确了绿证划转</w:t>
      </w:r>
    </w:p>
    <w:p w14:paraId="526BAB6D" w14:textId="77777777"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rPr>
        <w:t>参与绿色电力交易的对应绿证通过国家绿证核发交易系统，由国家能源局资质中心依据绿色电力交易结算结果等信息划转，划转后的绿</w:t>
      </w:r>
      <w:proofErr w:type="gramStart"/>
      <w:r>
        <w:rPr>
          <w:rFonts w:ascii="仿宋_GB2312" w:hAnsi="仿宋_GB2312" w:cs="仿宋_GB2312" w:hint="eastAsia"/>
        </w:rPr>
        <w:t>证相关</w:t>
      </w:r>
      <w:proofErr w:type="gramEnd"/>
      <w:r>
        <w:rPr>
          <w:rFonts w:ascii="仿宋_GB2312" w:hAnsi="仿宋_GB2312" w:cs="仿宋_GB2312" w:hint="eastAsia"/>
        </w:rPr>
        <w:t>信息与北京电力交易中心同步</w:t>
      </w:r>
      <w:r>
        <w:rPr>
          <w:rFonts w:ascii="仿宋_GB2312" w:hAnsi="仿宋_GB2312" w:cs="仿宋_GB2312" w:hint="eastAsia"/>
          <w:color w:val="000000"/>
          <w:shd w:val="clear" w:color="auto" w:fill="FFFFFF"/>
        </w:rPr>
        <w:t>。</w:t>
      </w:r>
    </w:p>
    <w:p w14:paraId="079C5077"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8.其他要求</w:t>
      </w:r>
    </w:p>
    <w:p w14:paraId="12C78CDF" w14:textId="6C451718"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按照国家有关文件要求，</w:t>
      </w:r>
      <w:proofErr w:type="gramStart"/>
      <w:r>
        <w:rPr>
          <w:rFonts w:ascii="仿宋_GB2312" w:eastAsia="仿宋_GB2312" w:hAnsi="仿宋_GB2312" w:cs="仿宋_GB2312" w:hint="eastAsia"/>
          <w:color w:val="000000"/>
          <w:sz w:val="32"/>
          <w:szCs w:val="32"/>
          <w:shd w:val="clear" w:color="auto" w:fill="FFFFFF"/>
        </w:rPr>
        <w:t>明确绿证唯一</w:t>
      </w:r>
      <w:proofErr w:type="gramEnd"/>
      <w:r>
        <w:rPr>
          <w:rFonts w:ascii="仿宋_GB2312" w:eastAsia="仿宋_GB2312" w:hAnsi="仿宋_GB2312" w:cs="仿宋_GB2312" w:hint="eastAsia"/>
          <w:color w:val="000000"/>
          <w:sz w:val="32"/>
          <w:szCs w:val="32"/>
          <w:shd w:val="clear" w:color="auto" w:fill="FFFFFF"/>
        </w:rPr>
        <w:t>属性。在</w:t>
      </w:r>
      <w:proofErr w:type="gramStart"/>
      <w:r>
        <w:rPr>
          <w:rFonts w:ascii="仿宋_GB2312" w:eastAsia="仿宋_GB2312" w:hAnsi="仿宋_GB2312" w:cs="仿宋_GB2312" w:hint="eastAsia"/>
          <w:color w:val="000000"/>
          <w:sz w:val="32"/>
          <w:szCs w:val="32"/>
          <w:shd w:val="clear" w:color="auto" w:fill="FFFFFF"/>
        </w:rPr>
        <w:t>绿电交易</w:t>
      </w:r>
      <w:proofErr w:type="gramEnd"/>
      <w:r>
        <w:rPr>
          <w:rFonts w:ascii="仿宋_GB2312" w:eastAsia="仿宋_GB2312" w:hAnsi="仿宋_GB2312" w:cs="仿宋_GB2312" w:hint="eastAsia"/>
          <w:color w:val="000000"/>
          <w:sz w:val="32"/>
          <w:szCs w:val="32"/>
          <w:shd w:val="clear" w:color="auto" w:fill="FFFFFF"/>
        </w:rPr>
        <w:t>各个环节落实优先组织、优先调度、优先结算</w:t>
      </w:r>
      <w:r w:rsidR="00123BED" w:rsidRPr="00F86503">
        <w:rPr>
          <w:rFonts w:ascii="仿宋_GB2312" w:eastAsia="仿宋_GB2312" w:hAnsi="仿宋_GB2312" w:cs="仿宋_GB2312" w:hint="eastAsia"/>
          <w:color w:val="000000"/>
          <w:sz w:val="32"/>
          <w:szCs w:val="32"/>
          <w:shd w:val="clear" w:color="auto" w:fill="FFFFFF"/>
        </w:rPr>
        <w:t>相关</w:t>
      </w:r>
      <w:r>
        <w:rPr>
          <w:rFonts w:ascii="仿宋_GB2312" w:eastAsia="仿宋_GB2312" w:hAnsi="仿宋_GB2312" w:cs="仿宋_GB2312" w:hint="eastAsia"/>
          <w:color w:val="000000"/>
          <w:sz w:val="32"/>
          <w:szCs w:val="32"/>
          <w:shd w:val="clear" w:color="auto" w:fill="FFFFFF"/>
        </w:rPr>
        <w:t>要求。</w:t>
      </w:r>
    </w:p>
    <w:p w14:paraId="0C73FDDD" w14:textId="77777777" w:rsidR="00565164" w:rsidRDefault="00000000">
      <w:pPr>
        <w:spacing w:line="600" w:lineRule="exact"/>
        <w:ind w:firstLineChars="200" w:firstLine="640"/>
        <w:rPr>
          <w:rFonts w:ascii="楷体_GB2312" w:eastAsia="楷体_GB2312" w:hAnsi="楷体" w:cs="楷体" w:hint="eastAsia"/>
        </w:rPr>
      </w:pPr>
      <w:r>
        <w:rPr>
          <w:rFonts w:ascii="楷体_GB2312" w:eastAsia="楷体_GB2312" w:hAnsi="楷体" w:cs="楷体" w:hint="eastAsia"/>
        </w:rPr>
        <w:lastRenderedPageBreak/>
        <w:t>附件：《北京市2026年新能源发电企业参与电力中长期交易实施细则》</w:t>
      </w:r>
    </w:p>
    <w:p w14:paraId="58DEB943" w14:textId="3193D2F4" w:rsidR="00565164" w:rsidRDefault="00000000">
      <w:pPr>
        <w:spacing w:line="600" w:lineRule="exact"/>
        <w:ind w:firstLineChars="200" w:firstLine="640"/>
        <w:rPr>
          <w:rFonts w:ascii="仿宋_GB2312" w:hAnsi="仿宋_GB2312" w:cs="仿宋_GB2312" w:hint="eastAsia"/>
          <w:color w:val="000000"/>
          <w:shd w:val="clear" w:color="auto" w:fill="FFFFFF"/>
        </w:rPr>
      </w:pPr>
      <w:r>
        <w:rPr>
          <w:rFonts w:ascii="仿宋_GB2312" w:hAnsi="仿宋_GB2312" w:cs="仿宋_GB2312" w:hint="eastAsia"/>
          <w:color w:val="000000"/>
          <w:shd w:val="clear" w:color="auto" w:fill="FFFFFF"/>
        </w:rPr>
        <w:t>《北京市2026年新能源发电企业参与电力中长期交易实施细则》全文共八章二十九条。其中，第一章为总则；第二章明确了适用对象；第三章明确了基本条件与注册条件；第四章明确了交易方式；第五章明确了价格机制；第六章明确了交易组织与安排；第七章明确了交易结算；第八</w:t>
      </w:r>
      <w:r w:rsidR="00123BED">
        <w:rPr>
          <w:rFonts w:ascii="仿宋_GB2312" w:hAnsi="仿宋_GB2312" w:cs="仿宋_GB2312" w:hint="eastAsia"/>
          <w:color w:val="000000"/>
          <w:shd w:val="clear" w:color="auto" w:fill="FFFFFF"/>
        </w:rPr>
        <w:t>章</w:t>
      </w:r>
      <w:r>
        <w:rPr>
          <w:rFonts w:ascii="仿宋_GB2312" w:hAnsi="仿宋_GB2312" w:cs="仿宋_GB2312" w:hint="eastAsia"/>
          <w:color w:val="000000"/>
          <w:shd w:val="clear" w:color="auto" w:fill="FFFFFF"/>
        </w:rPr>
        <w:t>为相关要求。主要内容如下：</w:t>
      </w:r>
    </w:p>
    <w:p w14:paraId="73761F18"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1.总则</w:t>
      </w:r>
    </w:p>
    <w:p w14:paraId="1593E12B"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本细则所称中长期交易，指符合条件的经营主体，通过市场化方式，在首都电力交易中心交易平台上，开展的多年、年度、月度、月内等电力批发交易。</w:t>
      </w:r>
    </w:p>
    <w:p w14:paraId="6531F56D"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2.明确了适用对象</w:t>
      </w:r>
    </w:p>
    <w:p w14:paraId="48A14963" w14:textId="77777777" w:rsidR="00565164" w:rsidRDefault="00000000">
      <w:pPr>
        <w:spacing w:line="600" w:lineRule="exact"/>
        <w:ind w:firstLineChars="200" w:firstLine="640"/>
        <w:rPr>
          <w:rFonts w:hint="eastAsia"/>
        </w:rPr>
      </w:pPr>
      <w:r>
        <w:rPr>
          <w:rFonts w:ascii="仿宋_GB2312" w:hAnsi="仿宋_GB2312" w:cs="仿宋_GB2312" w:hint="eastAsia"/>
        </w:rPr>
        <w:t>本细则适用对象为北京市区域内新能源项目（集中式光伏项目、集中式风电项目、分布式光伏发电项目、分散式风电项目），新能源项目上网电量原则上全部进入电力市场，上网电价通过市场交易形成。</w:t>
      </w:r>
    </w:p>
    <w:p w14:paraId="6E893F4B"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3.明确了基本条件与注册条件</w:t>
      </w:r>
    </w:p>
    <w:p w14:paraId="224E0268" w14:textId="77777777" w:rsidR="00565164" w:rsidRDefault="00000000">
      <w:pPr>
        <w:spacing w:line="600" w:lineRule="exact"/>
        <w:ind w:firstLineChars="200" w:firstLine="640"/>
        <w:rPr>
          <w:rFonts w:ascii="仿宋_GB2312" w:hAnsi="仿宋_GB2312" w:cs="仿宋_GB2312" w:hint="eastAsia"/>
        </w:rPr>
      </w:pPr>
      <w:r>
        <w:rPr>
          <w:rFonts w:ascii="仿宋_GB2312" w:hAnsi="仿宋_GB2312" w:cs="仿宋_GB2312" w:hint="eastAsia"/>
        </w:rPr>
        <w:t>新能源发电企业应当是财务独立核算、能够独立承担民事责任的企业、经法人单位授权的内部核算主体。新能源发电企业参与北京市电力市场化交易，应当符合基本条件。</w:t>
      </w:r>
    </w:p>
    <w:p w14:paraId="25BF0176"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4.明确了交易方式</w:t>
      </w:r>
    </w:p>
    <w:p w14:paraId="2BA7CFC1"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集中式新能源发电企业（集中式光伏项目、集中式风电项目）自行选择</w:t>
      </w:r>
      <w:proofErr w:type="gramStart"/>
      <w:r>
        <w:rPr>
          <w:rFonts w:ascii="仿宋_GB2312" w:eastAsia="仿宋_GB2312" w:hAnsi="仿宋_GB2312" w:cs="仿宋_GB2312" w:hint="eastAsia"/>
          <w:color w:val="000000"/>
          <w:sz w:val="32"/>
          <w:szCs w:val="32"/>
          <w:shd w:val="clear" w:color="auto" w:fill="FFFFFF"/>
        </w:rPr>
        <w:t>参与绿电市场化</w:t>
      </w:r>
      <w:proofErr w:type="gramEnd"/>
      <w:r>
        <w:rPr>
          <w:rFonts w:ascii="仿宋_GB2312" w:eastAsia="仿宋_GB2312" w:hAnsi="仿宋_GB2312" w:cs="仿宋_GB2312" w:hint="eastAsia"/>
          <w:color w:val="000000"/>
          <w:sz w:val="32"/>
          <w:szCs w:val="32"/>
          <w:shd w:val="clear" w:color="auto" w:fill="FFFFFF"/>
        </w:rPr>
        <w:t>交易或者选择参加电能量中长期交易。</w:t>
      </w:r>
    </w:p>
    <w:p w14:paraId="5FD9E851"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5.明确了价格机制</w:t>
      </w:r>
    </w:p>
    <w:p w14:paraId="45B25706"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新能源发电企业交易价格由市场化机制形成，在参与电力市场交易后，在电力市场外建立差价结算的可持续发展价格结算机制。</w:t>
      </w:r>
    </w:p>
    <w:p w14:paraId="65C154B9" w14:textId="77777777" w:rsidR="00565164" w:rsidRDefault="00000000">
      <w:pPr>
        <w:spacing w:line="600" w:lineRule="exact"/>
        <w:ind w:leftChars="200" w:left="640"/>
        <w:rPr>
          <w:rFonts w:ascii="仿宋_GB2312" w:hAnsi="仿宋_GB2312" w:cs="仿宋_GB2312" w:hint="eastAsia"/>
        </w:rPr>
      </w:pPr>
      <w:r>
        <w:rPr>
          <w:rFonts w:ascii="仿宋_GB2312" w:hAnsi="仿宋_GB2312" w:cs="仿宋_GB2312" w:hint="eastAsia"/>
        </w:rPr>
        <w:t>6.明确了交易组织与安排</w:t>
      </w:r>
    </w:p>
    <w:p w14:paraId="44DC2B5A"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新能源发电企业参与市场化交易工作</w:t>
      </w:r>
      <w:proofErr w:type="gramStart"/>
      <w:r>
        <w:rPr>
          <w:rFonts w:ascii="仿宋_GB2312" w:eastAsia="仿宋_GB2312" w:hAnsi="仿宋_GB2312" w:cs="仿宋_GB2312" w:hint="eastAsia"/>
          <w:color w:val="000000"/>
          <w:sz w:val="32"/>
          <w:szCs w:val="32"/>
          <w:shd w:val="clear" w:color="auto" w:fill="FFFFFF"/>
        </w:rPr>
        <w:t>由国网华北分部</w:t>
      </w:r>
      <w:proofErr w:type="gramEnd"/>
      <w:r>
        <w:rPr>
          <w:rFonts w:ascii="仿宋_GB2312" w:eastAsia="仿宋_GB2312" w:hAnsi="仿宋_GB2312" w:cs="仿宋_GB2312" w:hint="eastAsia"/>
          <w:color w:val="000000"/>
          <w:sz w:val="32"/>
          <w:szCs w:val="32"/>
          <w:shd w:val="clear" w:color="auto" w:fill="FFFFFF"/>
        </w:rPr>
        <w:t>（</w:t>
      </w:r>
      <w:proofErr w:type="gramStart"/>
      <w:r>
        <w:rPr>
          <w:rFonts w:ascii="仿宋_GB2312" w:eastAsia="仿宋_GB2312" w:hAnsi="仿宋_GB2312" w:cs="仿宋_GB2312" w:hint="eastAsia"/>
          <w:color w:val="000000"/>
          <w:sz w:val="32"/>
          <w:szCs w:val="32"/>
          <w:shd w:val="clear" w:color="auto" w:fill="FFFFFF"/>
        </w:rPr>
        <w:t>京交二部</w:t>
      </w:r>
      <w:proofErr w:type="gramEnd"/>
      <w:r>
        <w:rPr>
          <w:rFonts w:ascii="仿宋_GB2312" w:eastAsia="仿宋_GB2312" w:hAnsi="仿宋_GB2312" w:cs="仿宋_GB2312" w:hint="eastAsia"/>
          <w:color w:val="000000"/>
          <w:sz w:val="32"/>
          <w:szCs w:val="32"/>
          <w:shd w:val="clear" w:color="auto" w:fill="FFFFFF"/>
        </w:rPr>
        <w:t>）、首都电力交易中心共同组织开展。新能源发电企业参与</w:t>
      </w:r>
      <w:proofErr w:type="gramStart"/>
      <w:r>
        <w:rPr>
          <w:rFonts w:ascii="仿宋_GB2312" w:eastAsia="仿宋_GB2312" w:hAnsi="仿宋_GB2312" w:cs="仿宋_GB2312" w:hint="eastAsia"/>
          <w:color w:val="000000"/>
          <w:sz w:val="32"/>
          <w:szCs w:val="32"/>
          <w:shd w:val="clear" w:color="auto" w:fill="FFFFFF"/>
        </w:rPr>
        <w:t>本市绿电及</w:t>
      </w:r>
      <w:proofErr w:type="gramEnd"/>
      <w:r>
        <w:rPr>
          <w:rFonts w:ascii="仿宋_GB2312" w:eastAsia="仿宋_GB2312" w:hAnsi="仿宋_GB2312" w:cs="仿宋_GB2312" w:hint="eastAsia"/>
          <w:color w:val="000000"/>
          <w:sz w:val="32"/>
          <w:szCs w:val="32"/>
          <w:shd w:val="clear" w:color="auto" w:fill="FFFFFF"/>
        </w:rPr>
        <w:t>电能量中长期交易时，申报方式参照《北京市2026年电力市场化交易方案》执行。新能源发电企业</w:t>
      </w:r>
      <w:proofErr w:type="gramStart"/>
      <w:r>
        <w:rPr>
          <w:rFonts w:ascii="仿宋_GB2312" w:eastAsia="仿宋_GB2312" w:hAnsi="仿宋_GB2312" w:cs="仿宋_GB2312" w:hint="eastAsia"/>
          <w:color w:val="000000"/>
          <w:sz w:val="32"/>
          <w:szCs w:val="32"/>
          <w:shd w:val="clear" w:color="auto" w:fill="FFFFFF"/>
        </w:rPr>
        <w:t>申报全</w:t>
      </w:r>
      <w:proofErr w:type="gramEnd"/>
      <w:r>
        <w:rPr>
          <w:rFonts w:ascii="仿宋_GB2312" w:eastAsia="仿宋_GB2312" w:hAnsi="仿宋_GB2312" w:cs="仿宋_GB2312" w:hint="eastAsia"/>
          <w:color w:val="000000"/>
          <w:sz w:val="32"/>
          <w:szCs w:val="32"/>
          <w:shd w:val="clear" w:color="auto" w:fill="FFFFFF"/>
        </w:rPr>
        <w:t>时段电量参与交易，分月电量不得超过其月度实际最大可发电能力</w:t>
      </w:r>
    </w:p>
    <w:p w14:paraId="4D77F5FC"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7.明确了交易结算</w:t>
      </w:r>
    </w:p>
    <w:p w14:paraId="0E2499AB"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2026年北京地区电力市场化交易结算方式按照华北能源监管局现行政策文件执行。北京市新能源发电企业合同电量和偏差电量分开结算，合同电量按合同价格结算，偏差电量按照偏差价格结算。</w:t>
      </w:r>
    </w:p>
    <w:p w14:paraId="2D27F5C9" w14:textId="77777777" w:rsidR="00565164" w:rsidRDefault="00000000">
      <w:pPr>
        <w:pStyle w:val="af9"/>
        <w:spacing w:before="0" w:beforeAutospacing="0" w:line="600" w:lineRule="exact"/>
        <w:ind w:firstLineChars="200"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8.相关要求</w:t>
      </w:r>
    </w:p>
    <w:p w14:paraId="710CF07D" w14:textId="12326DDF" w:rsidR="00565164" w:rsidRDefault="00DE7C2B">
      <w:pPr>
        <w:pStyle w:val="a8"/>
        <w:spacing w:after="0" w:line="600" w:lineRule="exact"/>
        <w:ind w:firstLineChars="200" w:firstLine="640"/>
        <w:rPr>
          <w:rFonts w:ascii="仿宋_GB2312" w:hAnsi="仿宋_GB2312" w:cs="仿宋_GB2312" w:hint="eastAsia"/>
          <w:snapToGrid/>
          <w:color w:val="000000"/>
          <w:kern w:val="0"/>
          <w:shd w:val="clear" w:color="auto" w:fill="FFFFFF"/>
        </w:rPr>
      </w:pPr>
      <w:bookmarkStart w:id="1" w:name="_Hlk211503857"/>
      <w:r w:rsidRPr="00DE7C2B">
        <w:rPr>
          <w:rFonts w:ascii="仿宋_GB2312" w:hAnsi="仿宋_GB2312" w:cs="仿宋_GB2312" w:hint="eastAsia"/>
          <w:snapToGrid/>
          <w:color w:val="000000"/>
          <w:kern w:val="0"/>
          <w:shd w:val="clear" w:color="auto" w:fill="FFFFFF"/>
        </w:rPr>
        <w:t>享受财政补贴的新能源项目，全生命周期合理利用小时数内的补贴标准按照原有政策执行</w:t>
      </w:r>
      <w:r>
        <w:rPr>
          <w:rFonts w:ascii="仿宋_GB2312" w:hAnsi="仿宋_GB2312" w:cs="仿宋_GB2312" w:hint="eastAsia"/>
          <w:snapToGrid/>
          <w:color w:val="000000"/>
          <w:kern w:val="0"/>
          <w:shd w:val="clear" w:color="auto" w:fill="FFFFFF"/>
        </w:rPr>
        <w:t>。</w:t>
      </w:r>
      <w:r w:rsidRPr="00DE7C2B">
        <w:rPr>
          <w:rFonts w:ascii="仿宋_GB2312" w:hAnsi="仿宋_GB2312" w:cs="仿宋_GB2312" w:hint="eastAsia"/>
          <w:snapToGrid/>
          <w:color w:val="000000"/>
          <w:kern w:val="0"/>
          <w:shd w:val="clear" w:color="auto" w:fill="FFFFFF"/>
        </w:rPr>
        <w:t>2025年12月、2026年北京市新能源发电企业参与市场化交易按照本细则执行</w:t>
      </w:r>
      <w:bookmarkEnd w:id="1"/>
      <w:r>
        <w:rPr>
          <w:rFonts w:ascii="仿宋_GB2312" w:hAnsi="仿宋_GB2312" w:cs="仿宋_GB2312" w:hint="eastAsia"/>
          <w:snapToGrid/>
          <w:color w:val="000000"/>
          <w:kern w:val="0"/>
          <w:shd w:val="clear" w:color="auto" w:fill="FFFFFF"/>
        </w:rPr>
        <w:t>。</w:t>
      </w:r>
      <w:r>
        <w:rPr>
          <w:rFonts w:ascii="仿宋_GB2312" w:hAnsi="仿宋_GB2312" w:cs="仿宋_GB2312" w:hint="eastAsia"/>
          <w:snapToGrid/>
          <w:color w:val="000000"/>
          <w:kern w:val="0"/>
          <w:shd w:val="clear" w:color="auto" w:fill="FFFFFF"/>
        </w:rPr>
        <w:br w:type="page"/>
      </w:r>
    </w:p>
    <w:p w14:paraId="52B5B36C" w14:textId="77777777" w:rsidR="00565164" w:rsidRDefault="00000000">
      <w:pPr>
        <w:pStyle w:val="af9"/>
        <w:spacing w:before="0" w:beforeAutospacing="0" w:line="560" w:lineRule="exact"/>
        <w:rPr>
          <w:rFonts w:ascii="方正小标宋简体" w:eastAsia="方正小标宋简体" w:hAnsi="方正小标宋简体" w:cs="方正小标宋_GBK" w:hint="eastAsia"/>
          <w:bCs/>
          <w:sz w:val="44"/>
          <w:szCs w:val="44"/>
        </w:rPr>
      </w:pPr>
      <w:proofErr w:type="gramStart"/>
      <w:r>
        <w:rPr>
          <w:rFonts w:ascii="方正小标宋简体" w:eastAsia="方正小标宋简体" w:hAnsi="方正小标宋简体" w:cs="方正小标宋_GBK" w:hint="eastAsia"/>
          <w:bCs/>
          <w:kern w:val="2"/>
          <w:sz w:val="44"/>
          <w:szCs w:val="44"/>
        </w:rPr>
        <w:lastRenderedPageBreak/>
        <w:t>《</w:t>
      </w:r>
      <w:proofErr w:type="gramEnd"/>
      <w:r>
        <w:rPr>
          <w:rFonts w:ascii="方正小标宋简体" w:eastAsia="方正小标宋简体" w:hAnsi="方正小标宋简体" w:cs="方正小标宋_GBK" w:hint="eastAsia"/>
          <w:bCs/>
          <w:kern w:val="2"/>
          <w:sz w:val="44"/>
          <w:szCs w:val="44"/>
        </w:rPr>
        <w:t>关于印发北京市2026年</w:t>
      </w:r>
      <w:r>
        <w:rPr>
          <w:rFonts w:ascii="方正小标宋简体" w:eastAsia="方正小标宋简体" w:hAnsi="方正小标宋简体" w:cs="方正小标宋_GBK" w:hint="eastAsia"/>
          <w:bCs/>
          <w:sz w:val="44"/>
          <w:szCs w:val="44"/>
        </w:rPr>
        <w:t>电力市场化交易</w:t>
      </w:r>
    </w:p>
    <w:p w14:paraId="1FB11013" w14:textId="77777777" w:rsidR="00565164" w:rsidRDefault="00000000">
      <w:pPr>
        <w:pStyle w:val="af9"/>
        <w:spacing w:before="0" w:beforeAutospacing="0" w:line="560" w:lineRule="exact"/>
        <w:rPr>
          <w:rFonts w:ascii="方正小标宋简体" w:eastAsia="方正小标宋简体" w:hAnsi="方正小标宋简体" w:cs="方正小标宋_GBK" w:hint="eastAsia"/>
          <w:bCs/>
          <w:sz w:val="44"/>
          <w:szCs w:val="44"/>
        </w:rPr>
      </w:pPr>
      <w:r>
        <w:rPr>
          <w:rFonts w:ascii="方正小标宋简体" w:eastAsia="方正小标宋简体" w:hAnsi="方正小标宋简体" w:cs="方正小标宋_GBK" w:hint="eastAsia"/>
          <w:bCs/>
          <w:sz w:val="44"/>
          <w:szCs w:val="44"/>
        </w:rPr>
        <w:t>方案、绿色电力交易工作方案的通知》</w:t>
      </w:r>
    </w:p>
    <w:p w14:paraId="66C27A92" w14:textId="77777777" w:rsidR="00565164" w:rsidRDefault="00000000">
      <w:pPr>
        <w:pStyle w:val="af9"/>
        <w:spacing w:before="0" w:beforeAutospacing="0" w:line="560" w:lineRule="exact"/>
        <w:rPr>
          <w:rFonts w:ascii="方正小标宋简体" w:eastAsia="方正小标宋简体" w:hAnsi="方正小标宋简体" w:cs="方正小标宋_GBK" w:hint="eastAsia"/>
          <w:bCs/>
          <w:sz w:val="44"/>
          <w:szCs w:val="44"/>
        </w:rPr>
      </w:pPr>
      <w:r>
        <w:rPr>
          <w:rFonts w:ascii="方正小标宋简体" w:eastAsia="方正小标宋简体" w:hAnsi="方正小标宋简体" w:cs="方正小标宋_GBK" w:hint="eastAsia"/>
          <w:bCs/>
          <w:sz w:val="44"/>
          <w:szCs w:val="44"/>
        </w:rPr>
        <w:t>的制定依据</w:t>
      </w:r>
    </w:p>
    <w:p w14:paraId="4DE532CB" w14:textId="77777777" w:rsidR="00565164" w:rsidRDefault="00565164">
      <w:pPr>
        <w:spacing w:line="560" w:lineRule="exact"/>
        <w:rPr>
          <w:rFonts w:ascii="方正小标宋简体" w:eastAsia="方正小标宋简体" w:hAnsi="方正小标宋简体" w:hint="eastAsia"/>
          <w:color w:val="000000"/>
          <w:sz w:val="44"/>
        </w:rPr>
      </w:pPr>
    </w:p>
    <w:tbl>
      <w:tblPr>
        <w:tblW w:w="53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9"/>
        <w:gridCol w:w="5229"/>
        <w:gridCol w:w="2161"/>
        <w:gridCol w:w="1415"/>
      </w:tblGrid>
      <w:tr w:rsidR="00565164" w14:paraId="1A32C602" w14:textId="77777777">
        <w:trPr>
          <w:trHeight w:val="907"/>
          <w:jc w:val="center"/>
        </w:trPr>
        <w:tc>
          <w:tcPr>
            <w:tcW w:w="440" w:type="pct"/>
            <w:tcBorders>
              <w:tl2br w:val="nil"/>
              <w:tr2bl w:val="nil"/>
            </w:tcBorders>
            <w:vAlign w:val="center"/>
          </w:tcPr>
          <w:p w14:paraId="6CDA63F8" w14:textId="77777777" w:rsidR="00565164" w:rsidRDefault="00000000">
            <w:pPr>
              <w:spacing w:line="340" w:lineRule="exact"/>
              <w:jc w:val="center"/>
              <w:rPr>
                <w:rFonts w:eastAsia="宋体" w:cs="宋体" w:hint="eastAsia"/>
                <w:b/>
                <w:color w:val="000000"/>
                <w:sz w:val="28"/>
                <w:szCs w:val="28"/>
              </w:rPr>
            </w:pPr>
            <w:r>
              <w:rPr>
                <w:rFonts w:eastAsia="宋体" w:cs="宋体" w:hint="eastAsia"/>
                <w:b/>
                <w:color w:val="000000"/>
                <w:sz w:val="28"/>
                <w:szCs w:val="28"/>
              </w:rPr>
              <w:t>序号</w:t>
            </w:r>
          </w:p>
        </w:tc>
        <w:tc>
          <w:tcPr>
            <w:tcW w:w="2707" w:type="pct"/>
            <w:tcBorders>
              <w:tl2br w:val="nil"/>
              <w:tr2bl w:val="nil"/>
            </w:tcBorders>
            <w:vAlign w:val="center"/>
          </w:tcPr>
          <w:p w14:paraId="113A1336" w14:textId="77777777" w:rsidR="00565164" w:rsidRDefault="00000000">
            <w:pPr>
              <w:spacing w:line="340" w:lineRule="exact"/>
              <w:jc w:val="center"/>
              <w:rPr>
                <w:rFonts w:eastAsia="宋体" w:cs="宋体" w:hint="eastAsia"/>
                <w:b/>
                <w:color w:val="000000"/>
                <w:sz w:val="28"/>
                <w:szCs w:val="28"/>
              </w:rPr>
            </w:pPr>
            <w:r>
              <w:rPr>
                <w:rFonts w:eastAsia="宋体" w:cs="宋体" w:hint="eastAsia"/>
                <w:b/>
                <w:color w:val="000000"/>
                <w:sz w:val="28"/>
                <w:szCs w:val="28"/>
              </w:rPr>
              <w:t>名     称</w:t>
            </w:r>
          </w:p>
        </w:tc>
        <w:tc>
          <w:tcPr>
            <w:tcW w:w="1119" w:type="pct"/>
            <w:tcBorders>
              <w:tl2br w:val="nil"/>
              <w:tr2bl w:val="nil"/>
            </w:tcBorders>
            <w:vAlign w:val="center"/>
          </w:tcPr>
          <w:p w14:paraId="7BFFCAAB" w14:textId="77777777" w:rsidR="00565164" w:rsidRDefault="00000000">
            <w:pPr>
              <w:spacing w:line="340" w:lineRule="exact"/>
              <w:jc w:val="center"/>
              <w:rPr>
                <w:rFonts w:eastAsia="宋体" w:cs="宋体" w:hint="eastAsia"/>
                <w:b/>
                <w:color w:val="000000"/>
                <w:sz w:val="28"/>
                <w:szCs w:val="28"/>
              </w:rPr>
            </w:pPr>
            <w:r>
              <w:rPr>
                <w:rFonts w:eastAsia="宋体" w:cs="宋体" w:hint="eastAsia"/>
                <w:b/>
                <w:color w:val="000000"/>
                <w:sz w:val="28"/>
                <w:szCs w:val="28"/>
              </w:rPr>
              <w:t>制定机关</w:t>
            </w:r>
          </w:p>
        </w:tc>
        <w:tc>
          <w:tcPr>
            <w:tcW w:w="733" w:type="pct"/>
            <w:tcBorders>
              <w:tl2br w:val="nil"/>
              <w:tr2bl w:val="nil"/>
            </w:tcBorders>
            <w:vAlign w:val="center"/>
          </w:tcPr>
          <w:p w14:paraId="1F0EE9F9" w14:textId="77777777" w:rsidR="00565164" w:rsidRDefault="00000000">
            <w:pPr>
              <w:spacing w:line="340" w:lineRule="exact"/>
              <w:jc w:val="center"/>
              <w:rPr>
                <w:rFonts w:eastAsia="宋体" w:cs="宋体" w:hint="eastAsia"/>
                <w:b/>
                <w:color w:val="000000"/>
                <w:sz w:val="28"/>
                <w:szCs w:val="28"/>
              </w:rPr>
            </w:pPr>
            <w:r>
              <w:rPr>
                <w:rFonts w:eastAsia="宋体" w:cs="宋体" w:hint="eastAsia"/>
                <w:b/>
                <w:color w:val="000000"/>
                <w:sz w:val="28"/>
                <w:szCs w:val="28"/>
              </w:rPr>
              <w:t>公布日期</w:t>
            </w:r>
          </w:p>
        </w:tc>
      </w:tr>
      <w:tr w:rsidR="00565164" w14:paraId="27A5F3AB" w14:textId="77777777">
        <w:trPr>
          <w:trHeight w:val="907"/>
          <w:jc w:val="center"/>
        </w:trPr>
        <w:tc>
          <w:tcPr>
            <w:tcW w:w="440" w:type="pct"/>
            <w:tcBorders>
              <w:tl2br w:val="nil"/>
              <w:tr2bl w:val="nil"/>
            </w:tcBorders>
            <w:vAlign w:val="center"/>
          </w:tcPr>
          <w:p w14:paraId="28E2F852"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w:t>
            </w:r>
          </w:p>
        </w:tc>
        <w:tc>
          <w:tcPr>
            <w:tcW w:w="2707" w:type="pct"/>
            <w:tcBorders>
              <w:tl2br w:val="nil"/>
              <w:tr2bl w:val="nil"/>
            </w:tcBorders>
            <w:vAlign w:val="center"/>
          </w:tcPr>
          <w:p w14:paraId="265D211B"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《中共中央国务院关于进一步深化电力体制改革的若干意见》（中发〔2015〕9号）</w:t>
            </w:r>
          </w:p>
        </w:tc>
        <w:tc>
          <w:tcPr>
            <w:tcW w:w="1119" w:type="pct"/>
            <w:tcBorders>
              <w:tl2br w:val="nil"/>
              <w:tr2bl w:val="nil"/>
            </w:tcBorders>
            <w:vAlign w:val="center"/>
          </w:tcPr>
          <w:p w14:paraId="5DCBCEF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中共中央国务院</w:t>
            </w:r>
          </w:p>
        </w:tc>
        <w:tc>
          <w:tcPr>
            <w:tcW w:w="733" w:type="pct"/>
            <w:tcBorders>
              <w:tl2br w:val="nil"/>
              <w:tr2bl w:val="nil"/>
            </w:tcBorders>
            <w:vAlign w:val="center"/>
          </w:tcPr>
          <w:p w14:paraId="6ECECDFD"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2015年</w:t>
            </w:r>
          </w:p>
          <w:p w14:paraId="0EC145F8"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3月15日</w:t>
            </w:r>
          </w:p>
        </w:tc>
      </w:tr>
      <w:tr w:rsidR="00565164" w14:paraId="6A55BC27" w14:textId="77777777">
        <w:trPr>
          <w:trHeight w:val="907"/>
          <w:jc w:val="center"/>
        </w:trPr>
        <w:tc>
          <w:tcPr>
            <w:tcW w:w="440" w:type="pct"/>
            <w:tcBorders>
              <w:tl2br w:val="nil"/>
              <w:tr2bl w:val="nil"/>
            </w:tcBorders>
            <w:vAlign w:val="center"/>
          </w:tcPr>
          <w:p w14:paraId="24819FEB" w14:textId="77777777" w:rsidR="00565164" w:rsidRDefault="00000000">
            <w:pPr>
              <w:spacing w:line="340" w:lineRule="exact"/>
              <w:jc w:val="center"/>
              <w:rPr>
                <w:rFonts w:hint="eastAsia"/>
              </w:rPr>
            </w:pPr>
            <w:r>
              <w:rPr>
                <w:rFonts w:ascii="仿宋_GB2312" w:hAnsi="仿宋_GB2312" w:cs="仿宋_GB2312" w:hint="eastAsia"/>
                <w:color w:val="000000"/>
                <w:sz w:val="24"/>
              </w:rPr>
              <w:t>2</w:t>
            </w:r>
          </w:p>
        </w:tc>
        <w:tc>
          <w:tcPr>
            <w:tcW w:w="2707" w:type="pct"/>
            <w:tcBorders>
              <w:tl2br w:val="nil"/>
              <w:tr2bl w:val="nil"/>
            </w:tcBorders>
            <w:vAlign w:val="center"/>
          </w:tcPr>
          <w:p w14:paraId="1BE0C813"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《关于印发电力体制改革配套文件的通知》（</w:t>
            </w:r>
            <w:proofErr w:type="gramStart"/>
            <w:r>
              <w:rPr>
                <w:rFonts w:ascii="仿宋_GB2312" w:hint="eastAsia"/>
                <w:color w:val="000000"/>
                <w:sz w:val="24"/>
              </w:rPr>
              <w:t>发改经</w:t>
            </w:r>
            <w:proofErr w:type="gramEnd"/>
            <w:r>
              <w:rPr>
                <w:rFonts w:ascii="仿宋_GB2312" w:hint="eastAsia"/>
                <w:color w:val="000000"/>
                <w:sz w:val="24"/>
              </w:rPr>
              <w:t>体〔2015〕2752号）</w:t>
            </w:r>
          </w:p>
        </w:tc>
        <w:tc>
          <w:tcPr>
            <w:tcW w:w="1119" w:type="pct"/>
            <w:tcBorders>
              <w:tl2br w:val="nil"/>
              <w:tr2bl w:val="nil"/>
            </w:tcBorders>
            <w:vAlign w:val="center"/>
          </w:tcPr>
          <w:p w14:paraId="1968423E"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p w14:paraId="4FC206FC"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6192CFCE"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2015年</w:t>
            </w:r>
          </w:p>
          <w:p w14:paraId="583AFF0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11月26日</w:t>
            </w:r>
          </w:p>
        </w:tc>
      </w:tr>
      <w:tr w:rsidR="00565164" w14:paraId="7D64CC29" w14:textId="77777777">
        <w:trPr>
          <w:trHeight w:val="907"/>
          <w:jc w:val="center"/>
        </w:trPr>
        <w:tc>
          <w:tcPr>
            <w:tcW w:w="440" w:type="pct"/>
            <w:tcBorders>
              <w:tl2br w:val="nil"/>
              <w:tr2bl w:val="nil"/>
            </w:tcBorders>
            <w:vAlign w:val="center"/>
          </w:tcPr>
          <w:p w14:paraId="7620087E"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3</w:t>
            </w:r>
          </w:p>
        </w:tc>
        <w:tc>
          <w:tcPr>
            <w:tcW w:w="2707" w:type="pct"/>
            <w:tcBorders>
              <w:tl2br w:val="nil"/>
              <w:tr2bl w:val="nil"/>
            </w:tcBorders>
            <w:vAlign w:val="center"/>
          </w:tcPr>
          <w:p w14:paraId="45F2D24B"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《关于印发&lt;京津唐电网电力中长期交易规则&gt;的通知》（华北</w:t>
            </w:r>
            <w:proofErr w:type="gramStart"/>
            <w:r>
              <w:rPr>
                <w:rFonts w:ascii="仿宋_GB2312" w:hint="eastAsia"/>
                <w:color w:val="000000"/>
                <w:sz w:val="24"/>
              </w:rPr>
              <w:t>监能市场</w:t>
            </w:r>
            <w:proofErr w:type="gramEnd"/>
            <w:r>
              <w:rPr>
                <w:rFonts w:ascii="仿宋_GB2312" w:hint="eastAsia"/>
                <w:color w:val="000000"/>
                <w:sz w:val="24"/>
              </w:rPr>
              <w:t>〔2020〕221号）</w:t>
            </w:r>
          </w:p>
        </w:tc>
        <w:tc>
          <w:tcPr>
            <w:tcW w:w="1119" w:type="pct"/>
            <w:tcBorders>
              <w:tl2br w:val="nil"/>
              <w:tr2bl w:val="nil"/>
            </w:tcBorders>
            <w:vAlign w:val="center"/>
          </w:tcPr>
          <w:p w14:paraId="0F7A5F4A"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国家能源局华北监管局</w:t>
            </w:r>
          </w:p>
        </w:tc>
        <w:tc>
          <w:tcPr>
            <w:tcW w:w="733" w:type="pct"/>
            <w:tcBorders>
              <w:tl2br w:val="nil"/>
              <w:tr2bl w:val="nil"/>
            </w:tcBorders>
            <w:vAlign w:val="center"/>
          </w:tcPr>
          <w:p w14:paraId="64A65DC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2020年</w:t>
            </w:r>
          </w:p>
          <w:p w14:paraId="5D6817C5"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11月24日</w:t>
            </w:r>
          </w:p>
        </w:tc>
      </w:tr>
      <w:tr w:rsidR="00565164" w14:paraId="72FC7860" w14:textId="77777777">
        <w:trPr>
          <w:trHeight w:val="907"/>
          <w:jc w:val="center"/>
        </w:trPr>
        <w:tc>
          <w:tcPr>
            <w:tcW w:w="440" w:type="pct"/>
            <w:tcBorders>
              <w:tl2br w:val="nil"/>
              <w:tr2bl w:val="nil"/>
            </w:tcBorders>
            <w:vAlign w:val="center"/>
          </w:tcPr>
          <w:p w14:paraId="1EF93ACE"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4</w:t>
            </w:r>
          </w:p>
        </w:tc>
        <w:tc>
          <w:tcPr>
            <w:tcW w:w="2707" w:type="pct"/>
            <w:tcBorders>
              <w:tl2br w:val="nil"/>
              <w:tr2bl w:val="nil"/>
            </w:tcBorders>
            <w:vAlign w:val="center"/>
          </w:tcPr>
          <w:p w14:paraId="5A51B8B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《关于印发&lt;京津唐电网电力中长期交易结算规则（试行）&gt;的通知》（华北</w:t>
            </w:r>
            <w:proofErr w:type="gramStart"/>
            <w:r>
              <w:rPr>
                <w:rFonts w:ascii="仿宋_GB2312" w:hint="eastAsia"/>
                <w:color w:val="000000"/>
                <w:sz w:val="24"/>
              </w:rPr>
              <w:t>监能市场</w:t>
            </w:r>
            <w:proofErr w:type="gramEnd"/>
            <w:r>
              <w:rPr>
                <w:rFonts w:ascii="仿宋_GB2312" w:hint="eastAsia"/>
                <w:color w:val="000000"/>
                <w:sz w:val="24"/>
              </w:rPr>
              <w:t>〔2020〕250号）</w:t>
            </w:r>
          </w:p>
        </w:tc>
        <w:tc>
          <w:tcPr>
            <w:tcW w:w="1119" w:type="pct"/>
            <w:tcBorders>
              <w:tl2br w:val="nil"/>
              <w:tr2bl w:val="nil"/>
            </w:tcBorders>
            <w:vAlign w:val="center"/>
          </w:tcPr>
          <w:p w14:paraId="0C273F90"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国家能源局华北监管局</w:t>
            </w:r>
          </w:p>
        </w:tc>
        <w:tc>
          <w:tcPr>
            <w:tcW w:w="733" w:type="pct"/>
            <w:tcBorders>
              <w:tl2br w:val="nil"/>
              <w:tr2bl w:val="nil"/>
            </w:tcBorders>
            <w:vAlign w:val="center"/>
          </w:tcPr>
          <w:p w14:paraId="58BE21F2"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2020年</w:t>
            </w:r>
          </w:p>
          <w:p w14:paraId="1129285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12月28日</w:t>
            </w:r>
          </w:p>
        </w:tc>
      </w:tr>
      <w:tr w:rsidR="00565164" w14:paraId="5A67E00E" w14:textId="77777777">
        <w:trPr>
          <w:trHeight w:val="907"/>
          <w:jc w:val="center"/>
        </w:trPr>
        <w:tc>
          <w:tcPr>
            <w:tcW w:w="440" w:type="pct"/>
            <w:tcBorders>
              <w:tl2br w:val="nil"/>
              <w:tr2bl w:val="nil"/>
            </w:tcBorders>
            <w:vAlign w:val="center"/>
          </w:tcPr>
          <w:p w14:paraId="5AA2E99E"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color w:val="000000"/>
                <w:sz w:val="24"/>
              </w:rPr>
              <w:t>5</w:t>
            </w:r>
          </w:p>
        </w:tc>
        <w:tc>
          <w:tcPr>
            <w:tcW w:w="2707" w:type="pct"/>
            <w:tcBorders>
              <w:tl2br w:val="nil"/>
              <w:tr2bl w:val="nil"/>
            </w:tcBorders>
            <w:vAlign w:val="center"/>
          </w:tcPr>
          <w:p w14:paraId="36E93E39"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《关于进一步深化燃煤发电上网电价市场化改革的通知》（</w:t>
            </w:r>
            <w:proofErr w:type="gramStart"/>
            <w:r>
              <w:rPr>
                <w:rFonts w:ascii="仿宋_GB2312" w:hint="eastAsia"/>
                <w:color w:val="000000"/>
                <w:sz w:val="24"/>
              </w:rPr>
              <w:t>发改价格</w:t>
            </w:r>
            <w:proofErr w:type="gramEnd"/>
            <w:r>
              <w:rPr>
                <w:rFonts w:ascii="仿宋_GB2312" w:hint="eastAsia"/>
                <w:color w:val="000000"/>
                <w:sz w:val="24"/>
              </w:rPr>
              <w:t>〔2021〕1439号）</w:t>
            </w:r>
          </w:p>
        </w:tc>
        <w:tc>
          <w:tcPr>
            <w:tcW w:w="1119" w:type="pct"/>
            <w:tcBorders>
              <w:tl2br w:val="nil"/>
              <w:tr2bl w:val="nil"/>
            </w:tcBorders>
            <w:vAlign w:val="center"/>
          </w:tcPr>
          <w:p w14:paraId="2D04D2CC"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tc>
        <w:tc>
          <w:tcPr>
            <w:tcW w:w="733" w:type="pct"/>
            <w:tcBorders>
              <w:tl2br w:val="nil"/>
              <w:tr2bl w:val="nil"/>
            </w:tcBorders>
            <w:vAlign w:val="center"/>
          </w:tcPr>
          <w:p w14:paraId="2D179787"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2021年</w:t>
            </w:r>
          </w:p>
          <w:p w14:paraId="7D1CF17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10月11日</w:t>
            </w:r>
          </w:p>
        </w:tc>
      </w:tr>
      <w:tr w:rsidR="00565164" w14:paraId="0D4C8384" w14:textId="77777777">
        <w:trPr>
          <w:trHeight w:val="907"/>
          <w:jc w:val="center"/>
        </w:trPr>
        <w:tc>
          <w:tcPr>
            <w:tcW w:w="440" w:type="pct"/>
            <w:tcBorders>
              <w:tl2br w:val="nil"/>
              <w:tr2bl w:val="nil"/>
            </w:tcBorders>
            <w:vAlign w:val="center"/>
          </w:tcPr>
          <w:p w14:paraId="5E0B6F19" w14:textId="77777777" w:rsidR="00565164" w:rsidRDefault="00000000">
            <w:pPr>
              <w:spacing w:line="340" w:lineRule="exact"/>
              <w:jc w:val="center"/>
              <w:rPr>
                <w:rFonts w:ascii="仿宋_GB2312" w:hAnsi="仿宋_GB2312" w:cs="仿宋_GB2312" w:hint="eastAsia"/>
                <w:sz w:val="24"/>
              </w:rPr>
            </w:pPr>
            <w:r>
              <w:rPr>
                <w:rFonts w:ascii="仿宋_GB2312" w:hAnsi="仿宋_GB2312" w:cs="仿宋_GB2312"/>
                <w:color w:val="000000"/>
                <w:sz w:val="24"/>
              </w:rPr>
              <w:t>6</w:t>
            </w:r>
          </w:p>
        </w:tc>
        <w:tc>
          <w:tcPr>
            <w:tcW w:w="2707" w:type="pct"/>
            <w:tcBorders>
              <w:tl2br w:val="nil"/>
              <w:tr2bl w:val="nil"/>
            </w:tcBorders>
            <w:vAlign w:val="center"/>
          </w:tcPr>
          <w:p w14:paraId="77B1EF2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《关于组织开展电网企业代理购电工作有关事项的通知》（发改办价格〔2021〕809号）</w:t>
            </w:r>
          </w:p>
        </w:tc>
        <w:tc>
          <w:tcPr>
            <w:tcW w:w="1119" w:type="pct"/>
            <w:tcBorders>
              <w:tl2br w:val="nil"/>
              <w:tr2bl w:val="nil"/>
            </w:tcBorders>
            <w:vAlign w:val="center"/>
          </w:tcPr>
          <w:p w14:paraId="003028D9"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国家发展改革委办公厅</w:t>
            </w:r>
          </w:p>
        </w:tc>
        <w:tc>
          <w:tcPr>
            <w:tcW w:w="733" w:type="pct"/>
            <w:tcBorders>
              <w:tl2br w:val="nil"/>
              <w:tr2bl w:val="nil"/>
            </w:tcBorders>
            <w:vAlign w:val="center"/>
          </w:tcPr>
          <w:p w14:paraId="529BCE8B"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2021年</w:t>
            </w:r>
          </w:p>
          <w:p w14:paraId="3E4F8FCD"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10月23日</w:t>
            </w:r>
          </w:p>
        </w:tc>
      </w:tr>
      <w:tr w:rsidR="00565164" w14:paraId="1D3B0981" w14:textId="77777777">
        <w:trPr>
          <w:trHeight w:val="907"/>
          <w:jc w:val="center"/>
        </w:trPr>
        <w:tc>
          <w:tcPr>
            <w:tcW w:w="440" w:type="pct"/>
            <w:tcBorders>
              <w:tl2br w:val="nil"/>
              <w:tr2bl w:val="nil"/>
            </w:tcBorders>
            <w:vAlign w:val="center"/>
          </w:tcPr>
          <w:p w14:paraId="4B5E22D6"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sz w:val="24"/>
              </w:rPr>
              <w:t>7</w:t>
            </w:r>
          </w:p>
        </w:tc>
        <w:tc>
          <w:tcPr>
            <w:tcW w:w="2707" w:type="pct"/>
            <w:tcBorders>
              <w:tl2br w:val="nil"/>
              <w:tr2bl w:val="nil"/>
            </w:tcBorders>
            <w:vAlign w:val="center"/>
          </w:tcPr>
          <w:p w14:paraId="756B5B4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《关于明确2022年京津唐电网电力中长期交易有关事项的通知》（华北</w:t>
            </w:r>
            <w:proofErr w:type="gramStart"/>
            <w:r>
              <w:rPr>
                <w:rFonts w:ascii="仿宋_GB2312" w:hint="eastAsia"/>
                <w:color w:val="000000"/>
                <w:sz w:val="24"/>
              </w:rPr>
              <w:t>监能市场</w:t>
            </w:r>
            <w:proofErr w:type="gramEnd"/>
            <w:r>
              <w:rPr>
                <w:rFonts w:ascii="仿宋_GB2312" w:hint="eastAsia"/>
                <w:color w:val="000000"/>
                <w:sz w:val="24"/>
              </w:rPr>
              <w:t>〔2021〕212号）</w:t>
            </w:r>
          </w:p>
        </w:tc>
        <w:tc>
          <w:tcPr>
            <w:tcW w:w="1119" w:type="pct"/>
            <w:tcBorders>
              <w:tl2br w:val="nil"/>
              <w:tr2bl w:val="nil"/>
            </w:tcBorders>
            <w:vAlign w:val="center"/>
          </w:tcPr>
          <w:p w14:paraId="329AD14C"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国家能源局华北监管局</w:t>
            </w:r>
          </w:p>
        </w:tc>
        <w:tc>
          <w:tcPr>
            <w:tcW w:w="733" w:type="pct"/>
            <w:tcBorders>
              <w:tl2br w:val="nil"/>
              <w:tr2bl w:val="nil"/>
            </w:tcBorders>
            <w:vAlign w:val="center"/>
          </w:tcPr>
          <w:p w14:paraId="785C2427" w14:textId="77777777" w:rsidR="00565164" w:rsidRDefault="00000000">
            <w:pPr>
              <w:pStyle w:val="af9"/>
              <w:spacing w:before="0" w:beforeAutospacing="0" w:line="340" w:lineRule="exact"/>
              <w:rPr>
                <w:rFonts w:ascii="仿宋_GB2312" w:eastAsia="仿宋_GB2312" w:hint="eastAsia"/>
                <w:color w:val="000000"/>
                <w:kern w:val="2"/>
              </w:rPr>
            </w:pPr>
            <w:r>
              <w:rPr>
                <w:rFonts w:ascii="仿宋_GB2312" w:eastAsia="仿宋_GB2312" w:hint="eastAsia"/>
                <w:color w:val="000000"/>
                <w:kern w:val="2"/>
              </w:rPr>
              <w:t>2021年</w:t>
            </w:r>
          </w:p>
          <w:p w14:paraId="01E3DA51" w14:textId="77777777" w:rsidR="00565164" w:rsidRDefault="00000000">
            <w:pPr>
              <w:pStyle w:val="af9"/>
              <w:spacing w:before="0" w:beforeAutospacing="0" w:line="340" w:lineRule="exact"/>
              <w:rPr>
                <w:rFonts w:ascii="仿宋_GB2312" w:eastAsia="仿宋_GB2312" w:hint="eastAsia"/>
                <w:color w:val="000000"/>
                <w:kern w:val="2"/>
              </w:rPr>
            </w:pPr>
            <w:r>
              <w:rPr>
                <w:rFonts w:ascii="仿宋_GB2312" w:eastAsia="仿宋_GB2312" w:hint="eastAsia"/>
                <w:color w:val="000000"/>
                <w:kern w:val="2"/>
              </w:rPr>
              <w:t>12月15日</w:t>
            </w:r>
          </w:p>
        </w:tc>
      </w:tr>
      <w:tr w:rsidR="00565164" w14:paraId="18732539" w14:textId="77777777">
        <w:trPr>
          <w:trHeight w:val="907"/>
          <w:jc w:val="center"/>
        </w:trPr>
        <w:tc>
          <w:tcPr>
            <w:tcW w:w="440" w:type="pct"/>
            <w:tcBorders>
              <w:tl2br w:val="nil"/>
              <w:tr2bl w:val="nil"/>
            </w:tcBorders>
            <w:vAlign w:val="center"/>
          </w:tcPr>
          <w:p w14:paraId="7CE8568E"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8</w:t>
            </w:r>
          </w:p>
        </w:tc>
        <w:tc>
          <w:tcPr>
            <w:tcW w:w="2707" w:type="pct"/>
            <w:tcBorders>
              <w:tl2br w:val="nil"/>
              <w:tr2bl w:val="nil"/>
            </w:tcBorders>
            <w:vAlign w:val="center"/>
          </w:tcPr>
          <w:p w14:paraId="784D7B5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《关于有序推进绿色电力交易有关事项的通知》（发改办体改〔2022〕821号）</w:t>
            </w:r>
          </w:p>
        </w:tc>
        <w:tc>
          <w:tcPr>
            <w:tcW w:w="1119" w:type="pct"/>
            <w:tcBorders>
              <w:tl2br w:val="nil"/>
              <w:tr2bl w:val="nil"/>
            </w:tcBorders>
            <w:vAlign w:val="center"/>
          </w:tcPr>
          <w:p w14:paraId="4F82DA08"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国家发展改革委办公厅</w:t>
            </w:r>
          </w:p>
          <w:p w14:paraId="69F33BB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国家能源局综合司</w:t>
            </w:r>
          </w:p>
        </w:tc>
        <w:tc>
          <w:tcPr>
            <w:tcW w:w="733" w:type="pct"/>
            <w:tcBorders>
              <w:tl2br w:val="nil"/>
              <w:tr2bl w:val="nil"/>
            </w:tcBorders>
            <w:vAlign w:val="center"/>
          </w:tcPr>
          <w:p w14:paraId="3347FC3C" w14:textId="77777777" w:rsidR="00565164" w:rsidRDefault="00000000">
            <w:pPr>
              <w:pStyle w:val="af9"/>
              <w:spacing w:before="0" w:beforeAutospacing="0" w:line="340" w:lineRule="exact"/>
              <w:rPr>
                <w:rFonts w:ascii="仿宋_GB2312" w:eastAsia="仿宋_GB2312" w:hint="eastAsia"/>
                <w:color w:val="000000"/>
                <w:kern w:val="2"/>
              </w:rPr>
            </w:pPr>
            <w:r>
              <w:rPr>
                <w:rFonts w:ascii="仿宋_GB2312" w:eastAsia="仿宋_GB2312" w:hint="eastAsia"/>
                <w:color w:val="000000"/>
                <w:kern w:val="2"/>
              </w:rPr>
              <w:t>2022年</w:t>
            </w:r>
          </w:p>
          <w:p w14:paraId="6BA44836" w14:textId="77777777" w:rsidR="00565164" w:rsidRDefault="00000000">
            <w:pPr>
              <w:pStyle w:val="af9"/>
              <w:spacing w:before="0" w:beforeAutospacing="0" w:line="340" w:lineRule="exact"/>
              <w:rPr>
                <w:rFonts w:ascii="仿宋_GB2312" w:eastAsia="仿宋_GB2312" w:hint="eastAsia"/>
                <w:color w:val="000000"/>
                <w:kern w:val="2"/>
              </w:rPr>
            </w:pPr>
            <w:r>
              <w:rPr>
                <w:rFonts w:ascii="仿宋_GB2312" w:eastAsia="仿宋_GB2312" w:hint="eastAsia"/>
                <w:color w:val="000000"/>
                <w:kern w:val="2"/>
              </w:rPr>
              <w:t>9月22日</w:t>
            </w:r>
          </w:p>
        </w:tc>
      </w:tr>
      <w:tr w:rsidR="00565164" w14:paraId="05426CED" w14:textId="77777777">
        <w:trPr>
          <w:trHeight w:val="907"/>
          <w:jc w:val="center"/>
        </w:trPr>
        <w:tc>
          <w:tcPr>
            <w:tcW w:w="440" w:type="pct"/>
            <w:tcBorders>
              <w:tl2br w:val="nil"/>
              <w:tr2bl w:val="nil"/>
            </w:tcBorders>
            <w:vAlign w:val="center"/>
          </w:tcPr>
          <w:p w14:paraId="1467BAE0"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9</w:t>
            </w:r>
          </w:p>
        </w:tc>
        <w:tc>
          <w:tcPr>
            <w:tcW w:w="2707" w:type="pct"/>
            <w:tcBorders>
              <w:tl2br w:val="nil"/>
              <w:tr2bl w:val="nil"/>
            </w:tcBorders>
            <w:vAlign w:val="center"/>
          </w:tcPr>
          <w:p w14:paraId="6A78DB92"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《关于进一步做好电网企业代理购电工作的通知》（发改办价格〔2022〕1047号）</w:t>
            </w:r>
          </w:p>
        </w:tc>
        <w:tc>
          <w:tcPr>
            <w:tcW w:w="1119" w:type="pct"/>
            <w:tcBorders>
              <w:tl2br w:val="nil"/>
              <w:tr2bl w:val="nil"/>
            </w:tcBorders>
            <w:vAlign w:val="center"/>
          </w:tcPr>
          <w:p w14:paraId="398C52B8"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国家发展改革委办公厅</w:t>
            </w:r>
          </w:p>
        </w:tc>
        <w:tc>
          <w:tcPr>
            <w:tcW w:w="733" w:type="pct"/>
            <w:tcBorders>
              <w:tl2br w:val="nil"/>
              <w:tr2bl w:val="nil"/>
            </w:tcBorders>
            <w:vAlign w:val="center"/>
          </w:tcPr>
          <w:p w14:paraId="574E3F2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2022年</w:t>
            </w:r>
          </w:p>
          <w:p w14:paraId="6FD97AA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12月23日</w:t>
            </w:r>
          </w:p>
        </w:tc>
      </w:tr>
      <w:tr w:rsidR="00565164" w14:paraId="4C97E30B" w14:textId="77777777">
        <w:trPr>
          <w:trHeight w:val="907"/>
          <w:jc w:val="center"/>
        </w:trPr>
        <w:tc>
          <w:tcPr>
            <w:tcW w:w="440" w:type="pct"/>
            <w:tcBorders>
              <w:tl2br w:val="nil"/>
              <w:tr2bl w:val="nil"/>
            </w:tcBorders>
            <w:vAlign w:val="center"/>
          </w:tcPr>
          <w:p w14:paraId="60596C14"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10</w:t>
            </w:r>
          </w:p>
        </w:tc>
        <w:tc>
          <w:tcPr>
            <w:tcW w:w="2707" w:type="pct"/>
            <w:tcBorders>
              <w:tl2br w:val="nil"/>
              <w:tr2bl w:val="nil"/>
            </w:tcBorders>
            <w:vAlign w:val="center"/>
          </w:tcPr>
          <w:p w14:paraId="61942D0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《关于享受中央政府补贴的绿电项目参与绿电交易有关事项的通知》（</w:t>
            </w:r>
            <w:proofErr w:type="gramStart"/>
            <w:r>
              <w:rPr>
                <w:rFonts w:ascii="仿宋_GB2312" w:hint="eastAsia"/>
                <w:color w:val="000000"/>
                <w:sz w:val="24"/>
              </w:rPr>
              <w:t>发改体改</w:t>
            </w:r>
            <w:proofErr w:type="gramEnd"/>
            <w:r>
              <w:rPr>
                <w:rFonts w:ascii="仿宋_GB2312" w:hint="eastAsia"/>
                <w:color w:val="000000"/>
                <w:sz w:val="24"/>
              </w:rPr>
              <w:t>〔2023〕75号）</w:t>
            </w:r>
          </w:p>
        </w:tc>
        <w:tc>
          <w:tcPr>
            <w:tcW w:w="1119" w:type="pct"/>
            <w:tcBorders>
              <w:tl2br w:val="nil"/>
              <w:tr2bl w:val="nil"/>
            </w:tcBorders>
            <w:vAlign w:val="center"/>
          </w:tcPr>
          <w:p w14:paraId="0C8F753B"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p w14:paraId="7691013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财政部</w:t>
            </w:r>
          </w:p>
          <w:p w14:paraId="33E7ADD0"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lastRenderedPageBreak/>
              <w:t>国家能源局</w:t>
            </w:r>
          </w:p>
        </w:tc>
        <w:tc>
          <w:tcPr>
            <w:tcW w:w="733" w:type="pct"/>
            <w:tcBorders>
              <w:tl2br w:val="nil"/>
              <w:tr2bl w:val="nil"/>
            </w:tcBorders>
            <w:vAlign w:val="center"/>
          </w:tcPr>
          <w:p w14:paraId="5A03C58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lastRenderedPageBreak/>
              <w:t>2023年</w:t>
            </w:r>
          </w:p>
          <w:p w14:paraId="5DBD920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2月10日</w:t>
            </w:r>
          </w:p>
        </w:tc>
      </w:tr>
      <w:tr w:rsidR="00565164" w14:paraId="03C79645" w14:textId="77777777">
        <w:trPr>
          <w:trHeight w:val="907"/>
          <w:jc w:val="center"/>
        </w:trPr>
        <w:tc>
          <w:tcPr>
            <w:tcW w:w="440" w:type="pct"/>
            <w:tcBorders>
              <w:tl2br w:val="nil"/>
              <w:tr2bl w:val="nil"/>
            </w:tcBorders>
            <w:vAlign w:val="center"/>
          </w:tcPr>
          <w:p w14:paraId="79EE084A"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11</w:t>
            </w:r>
          </w:p>
        </w:tc>
        <w:tc>
          <w:tcPr>
            <w:tcW w:w="2707" w:type="pct"/>
            <w:tcBorders>
              <w:tl2br w:val="nil"/>
              <w:tr2bl w:val="nil"/>
            </w:tcBorders>
            <w:vAlign w:val="center"/>
          </w:tcPr>
          <w:p w14:paraId="3BC10348"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《关于完善绿电交易机制推动京津唐电网平价新能源项目入市的通知》（华北</w:t>
            </w:r>
            <w:proofErr w:type="gramStart"/>
            <w:r>
              <w:rPr>
                <w:rFonts w:ascii="仿宋_GB2312" w:hint="eastAsia"/>
                <w:color w:val="000000"/>
                <w:sz w:val="24"/>
              </w:rPr>
              <w:t>监能市场</w:t>
            </w:r>
            <w:proofErr w:type="gramEnd"/>
            <w:r>
              <w:rPr>
                <w:rFonts w:ascii="仿宋_GB2312" w:hint="eastAsia"/>
                <w:color w:val="000000"/>
                <w:sz w:val="24"/>
              </w:rPr>
              <w:t>〔2023〕46号）</w:t>
            </w:r>
          </w:p>
        </w:tc>
        <w:tc>
          <w:tcPr>
            <w:tcW w:w="1119" w:type="pct"/>
            <w:tcBorders>
              <w:tl2br w:val="nil"/>
              <w:tr2bl w:val="nil"/>
            </w:tcBorders>
            <w:vAlign w:val="center"/>
          </w:tcPr>
          <w:p w14:paraId="76A7B97E"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华北能源监管局</w:t>
            </w:r>
          </w:p>
        </w:tc>
        <w:tc>
          <w:tcPr>
            <w:tcW w:w="733" w:type="pct"/>
            <w:tcBorders>
              <w:tl2br w:val="nil"/>
              <w:tr2bl w:val="nil"/>
            </w:tcBorders>
            <w:vAlign w:val="center"/>
          </w:tcPr>
          <w:p w14:paraId="1B841CE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2023年</w:t>
            </w:r>
          </w:p>
          <w:p w14:paraId="36555C6D"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3月30日</w:t>
            </w:r>
          </w:p>
        </w:tc>
      </w:tr>
      <w:tr w:rsidR="00565164" w14:paraId="42A015D0" w14:textId="77777777">
        <w:trPr>
          <w:trHeight w:val="907"/>
          <w:jc w:val="center"/>
        </w:trPr>
        <w:tc>
          <w:tcPr>
            <w:tcW w:w="440" w:type="pct"/>
            <w:tcBorders>
              <w:tl2br w:val="nil"/>
              <w:tr2bl w:val="nil"/>
            </w:tcBorders>
            <w:vAlign w:val="center"/>
          </w:tcPr>
          <w:p w14:paraId="1ADC9249" w14:textId="77777777" w:rsidR="00565164" w:rsidRDefault="00000000">
            <w:pPr>
              <w:spacing w:line="340" w:lineRule="exact"/>
              <w:jc w:val="center"/>
              <w:rPr>
                <w:rFonts w:ascii="仿宋_GB2312" w:hAnsi="仿宋_GB2312" w:cs="仿宋_GB2312" w:hint="eastAsia"/>
                <w:color w:val="000000"/>
                <w:sz w:val="24"/>
              </w:rPr>
            </w:pPr>
            <w:bookmarkStart w:id="2" w:name="_Hlk181633264"/>
            <w:r>
              <w:rPr>
                <w:rFonts w:ascii="仿宋_GB2312" w:hAnsi="仿宋_GB2312" w:cs="仿宋_GB2312" w:hint="eastAsia"/>
                <w:color w:val="000000"/>
                <w:sz w:val="24"/>
              </w:rPr>
              <w:t>12</w:t>
            </w:r>
          </w:p>
        </w:tc>
        <w:tc>
          <w:tcPr>
            <w:tcW w:w="2707" w:type="pct"/>
            <w:tcBorders>
              <w:tl2br w:val="nil"/>
              <w:tr2bl w:val="nil"/>
            </w:tcBorders>
            <w:vAlign w:val="center"/>
          </w:tcPr>
          <w:p w14:paraId="1AE4BD5C"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《关于做好可再生能源绿色电力证书全覆盖工作促进可再生能源电力消费的通知》（</w:t>
            </w:r>
            <w:proofErr w:type="gramStart"/>
            <w:r>
              <w:rPr>
                <w:rFonts w:ascii="仿宋_GB2312" w:hint="eastAsia"/>
                <w:color w:val="000000"/>
                <w:sz w:val="24"/>
              </w:rPr>
              <w:t>发改能源</w:t>
            </w:r>
            <w:proofErr w:type="gramEnd"/>
            <w:r>
              <w:rPr>
                <w:rFonts w:ascii="仿宋_GB2312" w:hint="eastAsia"/>
                <w:color w:val="000000"/>
                <w:sz w:val="24"/>
              </w:rPr>
              <w:t>〔2023〕1044号）</w:t>
            </w:r>
          </w:p>
        </w:tc>
        <w:tc>
          <w:tcPr>
            <w:tcW w:w="1119" w:type="pct"/>
            <w:tcBorders>
              <w:tl2br w:val="nil"/>
              <w:tr2bl w:val="nil"/>
            </w:tcBorders>
            <w:vAlign w:val="center"/>
          </w:tcPr>
          <w:p w14:paraId="544126CC"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p w14:paraId="627A38AC"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财政部</w:t>
            </w:r>
          </w:p>
          <w:p w14:paraId="05DD1327"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0D346B87"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2023年</w:t>
            </w:r>
          </w:p>
          <w:p w14:paraId="2F0DE1E7"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7月25日</w:t>
            </w:r>
          </w:p>
        </w:tc>
      </w:tr>
      <w:bookmarkEnd w:id="2"/>
      <w:tr w:rsidR="00565164" w14:paraId="1C1545F4" w14:textId="77777777">
        <w:trPr>
          <w:trHeight w:val="907"/>
          <w:jc w:val="center"/>
        </w:trPr>
        <w:tc>
          <w:tcPr>
            <w:tcW w:w="440" w:type="pct"/>
            <w:tcBorders>
              <w:tl2br w:val="nil"/>
              <w:tr2bl w:val="nil"/>
            </w:tcBorders>
            <w:vAlign w:val="center"/>
          </w:tcPr>
          <w:p w14:paraId="12719D90"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13</w:t>
            </w:r>
          </w:p>
        </w:tc>
        <w:tc>
          <w:tcPr>
            <w:tcW w:w="2707" w:type="pct"/>
            <w:tcBorders>
              <w:tl2br w:val="nil"/>
              <w:tr2bl w:val="nil"/>
            </w:tcBorders>
            <w:vAlign w:val="center"/>
          </w:tcPr>
          <w:p w14:paraId="2BB65E5A"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《关于建立煤电容量电价机制的通知》（</w:t>
            </w:r>
            <w:proofErr w:type="gramStart"/>
            <w:r>
              <w:rPr>
                <w:rFonts w:ascii="仿宋_GB2312" w:hint="eastAsia"/>
                <w:color w:val="000000"/>
                <w:sz w:val="24"/>
              </w:rPr>
              <w:t>发改价格</w:t>
            </w:r>
            <w:proofErr w:type="gramEnd"/>
            <w:r>
              <w:rPr>
                <w:rFonts w:ascii="仿宋_GB2312" w:hint="eastAsia"/>
                <w:color w:val="000000"/>
                <w:sz w:val="24"/>
              </w:rPr>
              <w:t>〔2023〕1501号）</w:t>
            </w:r>
          </w:p>
        </w:tc>
        <w:tc>
          <w:tcPr>
            <w:tcW w:w="1119" w:type="pct"/>
            <w:tcBorders>
              <w:tl2br w:val="nil"/>
              <w:tr2bl w:val="nil"/>
            </w:tcBorders>
            <w:vAlign w:val="center"/>
          </w:tcPr>
          <w:p w14:paraId="0E4E6FA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p w14:paraId="721DFBA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034D5440"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2023年</w:t>
            </w:r>
          </w:p>
          <w:p w14:paraId="48A5CF7A"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11月08日</w:t>
            </w:r>
          </w:p>
        </w:tc>
      </w:tr>
      <w:tr w:rsidR="00565164" w14:paraId="65E0D65F" w14:textId="77777777">
        <w:trPr>
          <w:trHeight w:val="907"/>
          <w:jc w:val="center"/>
        </w:trPr>
        <w:tc>
          <w:tcPr>
            <w:tcW w:w="440" w:type="pct"/>
            <w:tcBorders>
              <w:tl2br w:val="nil"/>
              <w:tr2bl w:val="nil"/>
            </w:tcBorders>
            <w:vAlign w:val="center"/>
          </w:tcPr>
          <w:p w14:paraId="772968D2"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14</w:t>
            </w:r>
          </w:p>
        </w:tc>
        <w:tc>
          <w:tcPr>
            <w:tcW w:w="2707" w:type="pct"/>
            <w:tcBorders>
              <w:tl2br w:val="nil"/>
              <w:tr2bl w:val="nil"/>
            </w:tcBorders>
            <w:vAlign w:val="center"/>
          </w:tcPr>
          <w:p w14:paraId="0AA72F90"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《电力市场信息披露基本规则》(国能发监管〔2024〕9号)</w:t>
            </w:r>
          </w:p>
        </w:tc>
        <w:tc>
          <w:tcPr>
            <w:tcW w:w="1119" w:type="pct"/>
            <w:tcBorders>
              <w:tl2br w:val="nil"/>
              <w:tr2bl w:val="nil"/>
            </w:tcBorders>
            <w:vAlign w:val="center"/>
          </w:tcPr>
          <w:p w14:paraId="4AD850B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679E9A62"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2024年</w:t>
            </w:r>
          </w:p>
          <w:p w14:paraId="4A958A20"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1月31日</w:t>
            </w:r>
          </w:p>
        </w:tc>
      </w:tr>
      <w:tr w:rsidR="00565164" w14:paraId="62D15158" w14:textId="77777777">
        <w:trPr>
          <w:trHeight w:val="907"/>
          <w:jc w:val="center"/>
        </w:trPr>
        <w:tc>
          <w:tcPr>
            <w:tcW w:w="440" w:type="pct"/>
            <w:tcBorders>
              <w:tl2br w:val="nil"/>
              <w:tr2bl w:val="nil"/>
            </w:tcBorders>
            <w:vAlign w:val="center"/>
          </w:tcPr>
          <w:p w14:paraId="7D8CF82A"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15</w:t>
            </w:r>
          </w:p>
        </w:tc>
        <w:tc>
          <w:tcPr>
            <w:tcW w:w="2707" w:type="pct"/>
            <w:tcBorders>
              <w:tl2br w:val="nil"/>
              <w:tr2bl w:val="nil"/>
            </w:tcBorders>
            <w:vAlign w:val="center"/>
          </w:tcPr>
          <w:p w14:paraId="2419548D"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《电力市场运行基本规则》（2024年第20号令）</w:t>
            </w:r>
          </w:p>
        </w:tc>
        <w:tc>
          <w:tcPr>
            <w:tcW w:w="1119" w:type="pct"/>
            <w:tcBorders>
              <w:tl2br w:val="nil"/>
              <w:tr2bl w:val="nil"/>
            </w:tcBorders>
            <w:vAlign w:val="center"/>
          </w:tcPr>
          <w:p w14:paraId="7ACD714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tc>
        <w:tc>
          <w:tcPr>
            <w:tcW w:w="733" w:type="pct"/>
            <w:tcBorders>
              <w:tl2br w:val="nil"/>
              <w:tr2bl w:val="nil"/>
            </w:tcBorders>
            <w:vAlign w:val="center"/>
          </w:tcPr>
          <w:p w14:paraId="367F7248"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2024 年</w:t>
            </w:r>
          </w:p>
          <w:p w14:paraId="525004B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4月25日</w:t>
            </w:r>
          </w:p>
        </w:tc>
      </w:tr>
      <w:tr w:rsidR="00565164" w14:paraId="49C1019A" w14:textId="77777777">
        <w:trPr>
          <w:trHeight w:val="907"/>
          <w:jc w:val="center"/>
        </w:trPr>
        <w:tc>
          <w:tcPr>
            <w:tcW w:w="440" w:type="pct"/>
            <w:tcBorders>
              <w:tl2br w:val="nil"/>
              <w:tr2bl w:val="nil"/>
            </w:tcBorders>
            <w:vAlign w:val="center"/>
          </w:tcPr>
          <w:p w14:paraId="132A82A6"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16</w:t>
            </w:r>
          </w:p>
        </w:tc>
        <w:tc>
          <w:tcPr>
            <w:tcW w:w="2707" w:type="pct"/>
            <w:tcBorders>
              <w:tl2br w:val="nil"/>
              <w:tr2bl w:val="nil"/>
            </w:tcBorders>
            <w:vAlign w:val="center"/>
          </w:tcPr>
          <w:p w14:paraId="60E2E070"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《关于印发〈电力中长期交易基本规则-绿色电力交易专章〉的通知》（</w:t>
            </w:r>
            <w:proofErr w:type="gramStart"/>
            <w:r>
              <w:rPr>
                <w:rFonts w:ascii="仿宋_GB2312" w:hint="eastAsia"/>
                <w:color w:val="000000"/>
                <w:sz w:val="24"/>
              </w:rPr>
              <w:t>发改能源</w:t>
            </w:r>
            <w:proofErr w:type="gramEnd"/>
            <w:r>
              <w:rPr>
                <w:rFonts w:ascii="仿宋_GB2312" w:hint="eastAsia"/>
                <w:color w:val="000000"/>
                <w:sz w:val="24"/>
              </w:rPr>
              <w:t>〔2024〕1123号）</w:t>
            </w:r>
          </w:p>
        </w:tc>
        <w:tc>
          <w:tcPr>
            <w:tcW w:w="1119" w:type="pct"/>
            <w:tcBorders>
              <w:tl2br w:val="nil"/>
              <w:tr2bl w:val="nil"/>
            </w:tcBorders>
            <w:vAlign w:val="center"/>
          </w:tcPr>
          <w:p w14:paraId="7AC9031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r>
              <w:rPr>
                <w:rFonts w:ascii="仿宋_GB2312" w:hint="eastAsia"/>
                <w:color w:val="000000"/>
                <w:sz w:val="24"/>
              </w:rPr>
              <w:br/>
              <w:t>国家能源局</w:t>
            </w:r>
          </w:p>
        </w:tc>
        <w:tc>
          <w:tcPr>
            <w:tcW w:w="733" w:type="pct"/>
            <w:tcBorders>
              <w:tl2br w:val="nil"/>
              <w:tr2bl w:val="nil"/>
            </w:tcBorders>
            <w:vAlign w:val="center"/>
          </w:tcPr>
          <w:p w14:paraId="0C89C5A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2024年</w:t>
            </w:r>
          </w:p>
          <w:p w14:paraId="1C718326"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7月29日</w:t>
            </w:r>
          </w:p>
        </w:tc>
      </w:tr>
      <w:tr w:rsidR="00565164" w14:paraId="2F15E023" w14:textId="77777777">
        <w:trPr>
          <w:trHeight w:val="907"/>
          <w:jc w:val="center"/>
        </w:trPr>
        <w:tc>
          <w:tcPr>
            <w:tcW w:w="440" w:type="pct"/>
            <w:tcBorders>
              <w:tl2br w:val="nil"/>
              <w:tr2bl w:val="nil"/>
            </w:tcBorders>
            <w:vAlign w:val="center"/>
          </w:tcPr>
          <w:p w14:paraId="0C673EA6"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17</w:t>
            </w:r>
          </w:p>
        </w:tc>
        <w:tc>
          <w:tcPr>
            <w:tcW w:w="2707" w:type="pct"/>
            <w:tcBorders>
              <w:tl2br w:val="nil"/>
              <w:tr2bl w:val="nil"/>
            </w:tcBorders>
            <w:vAlign w:val="center"/>
          </w:tcPr>
          <w:p w14:paraId="6FDB27A4" w14:textId="77777777" w:rsidR="00565164" w:rsidRDefault="00000000">
            <w:pPr>
              <w:spacing w:line="340" w:lineRule="exact"/>
              <w:jc w:val="center"/>
              <w:rPr>
                <w:rFonts w:ascii="仿宋_GB2312" w:hint="eastAsia"/>
                <w:color w:val="000000"/>
                <w:sz w:val="24"/>
              </w:rPr>
            </w:pPr>
            <w:proofErr w:type="gramStart"/>
            <w:r>
              <w:rPr>
                <w:rFonts w:ascii="仿宋_GB2312" w:hint="eastAsia"/>
                <w:color w:val="000000"/>
                <w:sz w:val="24"/>
              </w:rPr>
              <w:t>《</w:t>
            </w:r>
            <w:proofErr w:type="gramEnd"/>
            <w:r>
              <w:rPr>
                <w:rFonts w:ascii="仿宋_GB2312" w:hint="eastAsia"/>
                <w:color w:val="000000"/>
                <w:sz w:val="24"/>
              </w:rPr>
              <w:t>关于印发</w:t>
            </w:r>
            <w:proofErr w:type="gramStart"/>
            <w:r>
              <w:rPr>
                <w:rFonts w:ascii="仿宋_GB2312" w:hint="eastAsia"/>
                <w:color w:val="000000"/>
                <w:sz w:val="24"/>
              </w:rPr>
              <w:t>《</w:t>
            </w:r>
            <w:proofErr w:type="gramEnd"/>
            <w:r>
              <w:rPr>
                <w:rFonts w:ascii="仿宋_GB2312" w:hint="eastAsia"/>
                <w:color w:val="000000"/>
                <w:sz w:val="24"/>
              </w:rPr>
              <w:t>可再生能源绿色电力证书核发和交易规则</w:t>
            </w:r>
            <w:proofErr w:type="gramStart"/>
            <w:r>
              <w:rPr>
                <w:rFonts w:ascii="仿宋_GB2312" w:hint="eastAsia"/>
                <w:color w:val="000000"/>
                <w:sz w:val="24"/>
              </w:rPr>
              <w:t>》</w:t>
            </w:r>
            <w:proofErr w:type="gramEnd"/>
            <w:r>
              <w:rPr>
                <w:rFonts w:ascii="仿宋_GB2312" w:hint="eastAsia"/>
                <w:color w:val="000000"/>
                <w:sz w:val="24"/>
              </w:rPr>
              <w:t>的通知</w:t>
            </w:r>
            <w:proofErr w:type="gramStart"/>
            <w:r>
              <w:rPr>
                <w:rFonts w:ascii="仿宋_GB2312" w:hint="eastAsia"/>
                <w:color w:val="000000"/>
                <w:sz w:val="24"/>
              </w:rPr>
              <w:t>》</w:t>
            </w:r>
            <w:proofErr w:type="gramEnd"/>
            <w:r>
              <w:rPr>
                <w:rFonts w:ascii="仿宋_GB2312" w:hint="eastAsia"/>
                <w:color w:val="000000"/>
                <w:sz w:val="24"/>
              </w:rPr>
              <w:t>（国能发新能</w:t>
            </w:r>
            <w:proofErr w:type="gramStart"/>
            <w:r>
              <w:rPr>
                <w:rFonts w:ascii="仿宋_GB2312" w:hint="eastAsia"/>
                <w:color w:val="000000"/>
                <w:sz w:val="24"/>
              </w:rPr>
              <w:t>规</w:t>
            </w:r>
            <w:proofErr w:type="gramEnd"/>
            <w:r>
              <w:rPr>
                <w:rFonts w:ascii="仿宋_GB2312" w:hint="eastAsia"/>
                <w:color w:val="000000"/>
                <w:sz w:val="24"/>
              </w:rPr>
              <w:t>〔2024〕67号）</w:t>
            </w:r>
          </w:p>
        </w:tc>
        <w:tc>
          <w:tcPr>
            <w:tcW w:w="1119" w:type="pct"/>
            <w:tcBorders>
              <w:tl2br w:val="nil"/>
              <w:tr2bl w:val="nil"/>
            </w:tcBorders>
            <w:vAlign w:val="center"/>
          </w:tcPr>
          <w:p w14:paraId="458CA767"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3FFEF8C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2024年</w:t>
            </w:r>
          </w:p>
          <w:p w14:paraId="3399D1E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8月26日</w:t>
            </w:r>
          </w:p>
        </w:tc>
      </w:tr>
      <w:tr w:rsidR="00565164" w14:paraId="6D7E3E01" w14:textId="77777777">
        <w:trPr>
          <w:trHeight w:val="907"/>
          <w:jc w:val="center"/>
        </w:trPr>
        <w:tc>
          <w:tcPr>
            <w:tcW w:w="440" w:type="pct"/>
            <w:tcBorders>
              <w:tl2br w:val="nil"/>
              <w:tr2bl w:val="nil"/>
            </w:tcBorders>
            <w:vAlign w:val="center"/>
          </w:tcPr>
          <w:p w14:paraId="75445D0D"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18</w:t>
            </w:r>
          </w:p>
        </w:tc>
        <w:tc>
          <w:tcPr>
            <w:tcW w:w="2707" w:type="pct"/>
            <w:tcBorders>
              <w:tl2br w:val="nil"/>
              <w:tr2bl w:val="nil"/>
            </w:tcBorders>
            <w:vAlign w:val="center"/>
          </w:tcPr>
          <w:p w14:paraId="5AB2C0B8"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《关于印发〈电力市场注册基本规则〉的通知》（国能发监管</w:t>
            </w:r>
            <w:proofErr w:type="gramStart"/>
            <w:r>
              <w:rPr>
                <w:rFonts w:ascii="仿宋_GB2312" w:hint="eastAsia"/>
                <w:color w:val="000000"/>
                <w:sz w:val="24"/>
              </w:rPr>
              <w:t>规</w:t>
            </w:r>
            <w:proofErr w:type="gramEnd"/>
            <w:r>
              <w:rPr>
                <w:rFonts w:ascii="仿宋_GB2312" w:hint="eastAsia"/>
                <w:color w:val="000000"/>
                <w:sz w:val="24"/>
              </w:rPr>
              <w:t>〔2024〕76号）</w:t>
            </w:r>
          </w:p>
        </w:tc>
        <w:tc>
          <w:tcPr>
            <w:tcW w:w="1119" w:type="pct"/>
            <w:tcBorders>
              <w:tl2br w:val="nil"/>
              <w:tr2bl w:val="nil"/>
            </w:tcBorders>
            <w:vAlign w:val="center"/>
          </w:tcPr>
          <w:p w14:paraId="16983C92"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69586BD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2024年</w:t>
            </w:r>
          </w:p>
          <w:p w14:paraId="002D861A"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9月13日</w:t>
            </w:r>
          </w:p>
        </w:tc>
      </w:tr>
      <w:tr w:rsidR="00565164" w14:paraId="3FFDE1EF" w14:textId="77777777">
        <w:trPr>
          <w:trHeight w:val="907"/>
          <w:jc w:val="center"/>
        </w:trPr>
        <w:tc>
          <w:tcPr>
            <w:tcW w:w="440" w:type="pct"/>
            <w:tcBorders>
              <w:tl2br w:val="nil"/>
              <w:tr2bl w:val="nil"/>
            </w:tcBorders>
            <w:vAlign w:val="center"/>
          </w:tcPr>
          <w:p w14:paraId="1F1D8CCD" w14:textId="77777777" w:rsidR="00565164" w:rsidRDefault="00000000">
            <w:pPr>
              <w:spacing w:line="340" w:lineRule="exact"/>
              <w:jc w:val="center"/>
              <w:rPr>
                <w:rFonts w:ascii="仿宋_GB2312" w:hAnsi="仿宋_GB2312" w:cs="仿宋_GB2312" w:hint="eastAsia"/>
                <w:color w:val="000000"/>
                <w:sz w:val="24"/>
              </w:rPr>
            </w:pPr>
            <w:r>
              <w:rPr>
                <w:rFonts w:ascii="仿宋_GB2312" w:hAnsi="仿宋_GB2312" w:cs="仿宋_GB2312" w:hint="eastAsia"/>
                <w:color w:val="000000"/>
                <w:sz w:val="24"/>
              </w:rPr>
              <w:t>19</w:t>
            </w:r>
          </w:p>
        </w:tc>
        <w:tc>
          <w:tcPr>
            <w:tcW w:w="2707" w:type="pct"/>
            <w:tcBorders>
              <w:tl2br w:val="nil"/>
              <w:tr2bl w:val="nil"/>
            </w:tcBorders>
            <w:vAlign w:val="center"/>
          </w:tcPr>
          <w:p w14:paraId="4BAF4DA4"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《关于深化新能源上网电价市场化改革促进新能源高质量发展的通知》（</w:t>
            </w:r>
            <w:proofErr w:type="gramStart"/>
            <w:r>
              <w:rPr>
                <w:rFonts w:ascii="仿宋_GB2312" w:hint="eastAsia"/>
                <w:color w:val="000000"/>
                <w:sz w:val="24"/>
              </w:rPr>
              <w:t>发改价格</w:t>
            </w:r>
            <w:proofErr w:type="gramEnd"/>
            <w:r>
              <w:rPr>
                <w:rFonts w:ascii="仿宋_GB2312" w:hint="eastAsia"/>
                <w:color w:val="000000"/>
                <w:sz w:val="24"/>
              </w:rPr>
              <w:t>〔2025〕136号）</w:t>
            </w:r>
          </w:p>
        </w:tc>
        <w:tc>
          <w:tcPr>
            <w:tcW w:w="1119" w:type="pct"/>
            <w:tcBorders>
              <w:tl2br w:val="nil"/>
              <w:tr2bl w:val="nil"/>
            </w:tcBorders>
            <w:vAlign w:val="center"/>
          </w:tcPr>
          <w:p w14:paraId="1F427D1F"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国家发展改革委</w:t>
            </w:r>
          </w:p>
          <w:p w14:paraId="54C6E15B"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国家能源局</w:t>
            </w:r>
          </w:p>
        </w:tc>
        <w:tc>
          <w:tcPr>
            <w:tcW w:w="733" w:type="pct"/>
            <w:tcBorders>
              <w:tl2br w:val="nil"/>
              <w:tr2bl w:val="nil"/>
            </w:tcBorders>
            <w:vAlign w:val="center"/>
          </w:tcPr>
          <w:p w14:paraId="6CC04AC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2025年</w:t>
            </w:r>
          </w:p>
          <w:p w14:paraId="2800C121" w14:textId="77777777" w:rsidR="00565164" w:rsidRDefault="00000000">
            <w:pPr>
              <w:spacing w:line="340" w:lineRule="exact"/>
              <w:jc w:val="center"/>
              <w:rPr>
                <w:rFonts w:ascii="仿宋_GB2312" w:hint="eastAsia"/>
                <w:color w:val="000000"/>
                <w:sz w:val="24"/>
              </w:rPr>
            </w:pPr>
            <w:r>
              <w:rPr>
                <w:rFonts w:ascii="仿宋_GB2312" w:hint="eastAsia"/>
                <w:color w:val="000000"/>
                <w:sz w:val="24"/>
              </w:rPr>
              <w:t>1月27日</w:t>
            </w:r>
          </w:p>
        </w:tc>
      </w:tr>
    </w:tbl>
    <w:p w14:paraId="09D16A97" w14:textId="2D66C294" w:rsidR="00565164" w:rsidRDefault="00565164">
      <w:pPr>
        <w:pStyle w:val="a8"/>
        <w:spacing w:after="0" w:line="600" w:lineRule="exact"/>
        <w:rPr>
          <w:rFonts w:ascii="仿宋_GB2312" w:hAnsi="仿宋_GB2312" w:cs="仿宋_GB2312" w:hint="eastAsia"/>
          <w:snapToGrid/>
          <w:color w:val="000000"/>
          <w:kern w:val="0"/>
          <w:shd w:val="clear" w:color="auto" w:fill="FFFFFF"/>
        </w:rPr>
      </w:pPr>
    </w:p>
    <w:sectPr w:rsidR="00565164" w:rsidSect="00666F29">
      <w:pgSz w:w="11906" w:h="16838"/>
      <w:pgMar w:top="1984" w:right="1587" w:bottom="2098" w:left="1474" w:header="851" w:footer="1304" w:gutter="0"/>
      <w:cols w:space="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690D" w14:textId="77777777" w:rsidR="00185670" w:rsidRDefault="00185670">
      <w:pPr>
        <w:rPr>
          <w:rFonts w:hint="eastAsia"/>
        </w:rPr>
      </w:pPr>
      <w:r>
        <w:separator/>
      </w:r>
    </w:p>
  </w:endnote>
  <w:endnote w:type="continuationSeparator" w:id="0">
    <w:p w14:paraId="58BE7269" w14:textId="77777777" w:rsidR="00185670" w:rsidRDefault="001856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Noto Serif Bengali"/>
    <w:panose1 w:val="02020404030301010803"/>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小标宋_GBK">
    <w:charset w:val="86"/>
    <w:family w:val="script"/>
    <w:pitch w:val="default"/>
    <w:sig w:usb0="A00002BF" w:usb1="38CF7CFA" w:usb2="00082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2507" w14:textId="77777777" w:rsidR="00185670" w:rsidRDefault="00185670">
      <w:pPr>
        <w:rPr>
          <w:rFonts w:hint="eastAsia"/>
        </w:rPr>
      </w:pPr>
      <w:r>
        <w:separator/>
      </w:r>
    </w:p>
  </w:footnote>
  <w:footnote w:type="continuationSeparator" w:id="0">
    <w:p w14:paraId="5734ECA0" w14:textId="77777777" w:rsidR="00185670" w:rsidRDefault="001856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64307"/>
    <w:multiLevelType w:val="singleLevel"/>
    <w:tmpl w:val="F8264307"/>
    <w:lvl w:ilvl="0">
      <w:start w:val="2"/>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
      <w:suff w:val="nothing"/>
      <w:lvlText w:val="（%1）"/>
      <w:lvlJc w:val="left"/>
      <w:pPr>
        <w:ind w:left="0" w:firstLine="420"/>
      </w:pPr>
      <w:rPr>
        <w:rFonts w:hint="eastAsia"/>
      </w:rPr>
    </w:lvl>
  </w:abstractNum>
  <w:abstractNum w:abstractNumId="2" w15:restartNumberingAfterBreak="0">
    <w:nsid w:val="3917CBA7"/>
    <w:multiLevelType w:val="singleLevel"/>
    <w:tmpl w:val="3917CBA7"/>
    <w:lvl w:ilvl="0">
      <w:start w:val="1"/>
      <w:numFmt w:val="chineseCounting"/>
      <w:suff w:val="nothing"/>
      <w:lvlText w:val="%1、"/>
      <w:lvlJc w:val="left"/>
      <w:rPr>
        <w:rFonts w:ascii="黑体" w:eastAsia="黑体" w:hAnsi="黑体" w:cs="黑体" w:hint="eastAsia"/>
      </w:rPr>
    </w:lvl>
  </w:abstractNum>
  <w:abstractNum w:abstractNumId="3" w15:restartNumberingAfterBreak="0">
    <w:nsid w:val="637C5B49"/>
    <w:multiLevelType w:val="singleLevel"/>
    <w:tmpl w:val="637C5B49"/>
    <w:lvl w:ilvl="0">
      <w:start w:val="1"/>
      <w:numFmt w:val="chineseCounting"/>
      <w:suff w:val="nothing"/>
      <w:lvlText w:val="（%1）"/>
      <w:lvlJc w:val="left"/>
      <w:pPr>
        <w:ind w:left="0" w:firstLine="420"/>
      </w:pPr>
      <w:rPr>
        <w:rFonts w:ascii="仿宋_GB2312" w:eastAsia="仿宋_GB2312" w:hint="eastAsia"/>
        <w:sz w:val="32"/>
        <w:szCs w:val="32"/>
      </w:rPr>
    </w:lvl>
  </w:abstractNum>
  <w:abstractNum w:abstractNumId="4" w15:restartNumberingAfterBreak="0">
    <w:nsid w:val="654A144B"/>
    <w:multiLevelType w:val="singleLevel"/>
    <w:tmpl w:val="654A144B"/>
    <w:lvl w:ilvl="0">
      <w:start w:val="1"/>
      <w:numFmt w:val="chineseCounting"/>
      <w:suff w:val="nothing"/>
      <w:lvlText w:val="%1、"/>
      <w:lvlJc w:val="left"/>
      <w:pPr>
        <w:ind w:left="0" w:firstLine="420"/>
      </w:pPr>
      <w:rPr>
        <w:rFonts w:hint="eastAsia"/>
      </w:rPr>
    </w:lvl>
  </w:abstractNum>
  <w:abstractNum w:abstractNumId="5" w15:restartNumberingAfterBreak="0">
    <w:nsid w:val="76C75909"/>
    <w:multiLevelType w:val="singleLevel"/>
    <w:tmpl w:val="76C75909"/>
    <w:lvl w:ilvl="0">
      <w:start w:val="1"/>
      <w:numFmt w:val="chineseCounting"/>
      <w:suff w:val="nothing"/>
      <w:lvlText w:val="%1、"/>
      <w:lvlJc w:val="left"/>
      <w:pPr>
        <w:ind w:left="0" w:firstLine="420"/>
      </w:pPr>
      <w:rPr>
        <w:rFonts w:hint="eastAsia"/>
      </w:rPr>
    </w:lvl>
  </w:abstractNum>
  <w:num w:numId="1" w16cid:durableId="873228807">
    <w:abstractNumId w:val="4"/>
  </w:num>
  <w:num w:numId="2" w16cid:durableId="596520905">
    <w:abstractNumId w:val="3"/>
  </w:num>
  <w:num w:numId="3" w16cid:durableId="716397600">
    <w:abstractNumId w:val="0"/>
  </w:num>
  <w:num w:numId="4" w16cid:durableId="434253554">
    <w:abstractNumId w:val="1"/>
  </w:num>
  <w:num w:numId="5" w16cid:durableId="237135643">
    <w:abstractNumId w:val="5"/>
  </w:num>
  <w:num w:numId="6" w16cid:durableId="1481340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6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I1NDNmMjBmZjExNTQyMzAzZjQ3ZjU2YTJjZDliMDUifQ=="/>
  </w:docVars>
  <w:rsids>
    <w:rsidRoot w:val="00172A27"/>
    <w:rsid w:val="84EFBA69"/>
    <w:rsid w:val="87F11C36"/>
    <w:rsid w:val="8AEF76BF"/>
    <w:rsid w:val="8B57D699"/>
    <w:rsid w:val="8BFFC82F"/>
    <w:rsid w:val="8CEFDA45"/>
    <w:rsid w:val="8DD4566B"/>
    <w:rsid w:val="92FA315A"/>
    <w:rsid w:val="937B6F8D"/>
    <w:rsid w:val="95FAE282"/>
    <w:rsid w:val="96F60ECB"/>
    <w:rsid w:val="9AFB791E"/>
    <w:rsid w:val="9D7E851D"/>
    <w:rsid w:val="9EB31FE7"/>
    <w:rsid w:val="9EF39A63"/>
    <w:rsid w:val="9F2F0417"/>
    <w:rsid w:val="9F7D7693"/>
    <w:rsid w:val="9FF3D805"/>
    <w:rsid w:val="A7794EE5"/>
    <w:rsid w:val="A7BE59F9"/>
    <w:rsid w:val="AB91D909"/>
    <w:rsid w:val="ABFE4FD6"/>
    <w:rsid w:val="ADDBF4A8"/>
    <w:rsid w:val="B2E50FF9"/>
    <w:rsid w:val="B2F4132A"/>
    <w:rsid w:val="B6FE6A5A"/>
    <w:rsid w:val="B77F763B"/>
    <w:rsid w:val="B77F8FEA"/>
    <w:rsid w:val="B77FFBBF"/>
    <w:rsid w:val="B7FFED75"/>
    <w:rsid w:val="B95B8AC3"/>
    <w:rsid w:val="B9AFDCF4"/>
    <w:rsid w:val="BBB713F8"/>
    <w:rsid w:val="BBDE0A00"/>
    <w:rsid w:val="BBE89E9D"/>
    <w:rsid w:val="BBF6860C"/>
    <w:rsid w:val="BBFFA7EF"/>
    <w:rsid w:val="BD67CC89"/>
    <w:rsid w:val="BDBF4B1D"/>
    <w:rsid w:val="BDF6C8D8"/>
    <w:rsid w:val="BDFDF24F"/>
    <w:rsid w:val="BE9AA65E"/>
    <w:rsid w:val="BEBF7AAF"/>
    <w:rsid w:val="BF724B80"/>
    <w:rsid w:val="BF769558"/>
    <w:rsid w:val="BF7F0AF0"/>
    <w:rsid w:val="BF962978"/>
    <w:rsid w:val="BFB68485"/>
    <w:rsid w:val="BFBE1C76"/>
    <w:rsid w:val="BFC8FBC7"/>
    <w:rsid w:val="BFF16AF4"/>
    <w:rsid w:val="BFF3429E"/>
    <w:rsid w:val="BFFB5F82"/>
    <w:rsid w:val="BFFD6490"/>
    <w:rsid w:val="BFFF8812"/>
    <w:rsid w:val="C57F19DA"/>
    <w:rsid w:val="C6C7844C"/>
    <w:rsid w:val="C8FF2700"/>
    <w:rsid w:val="CB3F1175"/>
    <w:rsid w:val="CCEAF677"/>
    <w:rsid w:val="CDB3AD1F"/>
    <w:rsid w:val="CFBD5B7F"/>
    <w:rsid w:val="CFEF5BAB"/>
    <w:rsid w:val="D07F2DF6"/>
    <w:rsid w:val="D29FAE75"/>
    <w:rsid w:val="D5D382EE"/>
    <w:rsid w:val="D6F90AFD"/>
    <w:rsid w:val="D7BF231F"/>
    <w:rsid w:val="D7DEC0DD"/>
    <w:rsid w:val="D7DF7C12"/>
    <w:rsid w:val="D7FD0F89"/>
    <w:rsid w:val="DAFDF0E0"/>
    <w:rsid w:val="DB7ED6CB"/>
    <w:rsid w:val="DBED9BDA"/>
    <w:rsid w:val="DD314086"/>
    <w:rsid w:val="DD7F0086"/>
    <w:rsid w:val="DDCD6140"/>
    <w:rsid w:val="DDED440F"/>
    <w:rsid w:val="DDF74E82"/>
    <w:rsid w:val="DEBD2D84"/>
    <w:rsid w:val="DEE7B509"/>
    <w:rsid w:val="DEFF1367"/>
    <w:rsid w:val="DF5750D5"/>
    <w:rsid w:val="DF5B7A9D"/>
    <w:rsid w:val="DF9F1424"/>
    <w:rsid w:val="DFDF685B"/>
    <w:rsid w:val="DFEF6434"/>
    <w:rsid w:val="DFF88CD7"/>
    <w:rsid w:val="DFFAAECC"/>
    <w:rsid w:val="DFFB3215"/>
    <w:rsid w:val="DFFB8B7A"/>
    <w:rsid w:val="DFFF15F0"/>
    <w:rsid w:val="DFFF3E58"/>
    <w:rsid w:val="E7B4310E"/>
    <w:rsid w:val="E7D2B630"/>
    <w:rsid w:val="E7DBF087"/>
    <w:rsid w:val="E7F77AFC"/>
    <w:rsid w:val="E7FC56C5"/>
    <w:rsid w:val="E7FF6F89"/>
    <w:rsid w:val="E97B7166"/>
    <w:rsid w:val="EAB1C343"/>
    <w:rsid w:val="EBD7E3F0"/>
    <w:rsid w:val="EBDFC361"/>
    <w:rsid w:val="EC9F5989"/>
    <w:rsid w:val="ECCF85EC"/>
    <w:rsid w:val="EEDF0300"/>
    <w:rsid w:val="EF7FD19E"/>
    <w:rsid w:val="EFAD1FF4"/>
    <w:rsid w:val="EFB437D5"/>
    <w:rsid w:val="EFC73F7C"/>
    <w:rsid w:val="EFCE6DD2"/>
    <w:rsid w:val="EFE75DF5"/>
    <w:rsid w:val="EFEFAA88"/>
    <w:rsid w:val="EFEFFD5E"/>
    <w:rsid w:val="EFF143F9"/>
    <w:rsid w:val="EFF72413"/>
    <w:rsid w:val="EFF7FA2D"/>
    <w:rsid w:val="EFF938A8"/>
    <w:rsid w:val="EFFBA383"/>
    <w:rsid w:val="F1AD6C41"/>
    <w:rsid w:val="F27C5B8C"/>
    <w:rsid w:val="F2F61215"/>
    <w:rsid w:val="F3BE4C61"/>
    <w:rsid w:val="F3DF75B3"/>
    <w:rsid w:val="F53E91DF"/>
    <w:rsid w:val="F53F3753"/>
    <w:rsid w:val="F56F15A7"/>
    <w:rsid w:val="F57FFADB"/>
    <w:rsid w:val="F5FDA7D9"/>
    <w:rsid w:val="F6FC0824"/>
    <w:rsid w:val="F767FBB1"/>
    <w:rsid w:val="F7BAED10"/>
    <w:rsid w:val="F7D79C11"/>
    <w:rsid w:val="F7DF87A2"/>
    <w:rsid w:val="F7DFBB3C"/>
    <w:rsid w:val="F7EB09F8"/>
    <w:rsid w:val="F7F5FE29"/>
    <w:rsid w:val="F7FE2C09"/>
    <w:rsid w:val="F7FF9315"/>
    <w:rsid w:val="F90F8F7C"/>
    <w:rsid w:val="F97FDD2B"/>
    <w:rsid w:val="F9AB903F"/>
    <w:rsid w:val="F9BFAF22"/>
    <w:rsid w:val="F9F32820"/>
    <w:rsid w:val="F9FB6609"/>
    <w:rsid w:val="F9FF4599"/>
    <w:rsid w:val="FA6F5E89"/>
    <w:rsid w:val="FABC319B"/>
    <w:rsid w:val="FAFFA69D"/>
    <w:rsid w:val="FB56B0C2"/>
    <w:rsid w:val="FB81453C"/>
    <w:rsid w:val="FB96F91F"/>
    <w:rsid w:val="FBB36CAF"/>
    <w:rsid w:val="FD3785CC"/>
    <w:rsid w:val="FD7B0087"/>
    <w:rsid w:val="FDBD2CFA"/>
    <w:rsid w:val="FDBF4BC4"/>
    <w:rsid w:val="FDDF2402"/>
    <w:rsid w:val="FDF6A749"/>
    <w:rsid w:val="FDFD23B3"/>
    <w:rsid w:val="FE4D6CDE"/>
    <w:rsid w:val="FE62708A"/>
    <w:rsid w:val="FE8FD1F9"/>
    <w:rsid w:val="FEB10F91"/>
    <w:rsid w:val="FECDD73C"/>
    <w:rsid w:val="FEDD5D85"/>
    <w:rsid w:val="FEEE2160"/>
    <w:rsid w:val="FEEF0B76"/>
    <w:rsid w:val="FEF573FA"/>
    <w:rsid w:val="FEF7226B"/>
    <w:rsid w:val="FEF97E2C"/>
    <w:rsid w:val="FF4363BD"/>
    <w:rsid w:val="FF6A1EAC"/>
    <w:rsid w:val="FF795FD4"/>
    <w:rsid w:val="FF7BCA5A"/>
    <w:rsid w:val="FF7FA287"/>
    <w:rsid w:val="FF7FFAB1"/>
    <w:rsid w:val="FF9E5115"/>
    <w:rsid w:val="FFAF1D2E"/>
    <w:rsid w:val="FFB4DABA"/>
    <w:rsid w:val="FFBF9976"/>
    <w:rsid w:val="FFD5D403"/>
    <w:rsid w:val="FFD65B47"/>
    <w:rsid w:val="FFD7658D"/>
    <w:rsid w:val="FFDB4044"/>
    <w:rsid w:val="FFDF00DE"/>
    <w:rsid w:val="FFDF3120"/>
    <w:rsid w:val="FFDF4D62"/>
    <w:rsid w:val="FFDF8C57"/>
    <w:rsid w:val="FFE7DECB"/>
    <w:rsid w:val="FFE8271B"/>
    <w:rsid w:val="FFEB05CE"/>
    <w:rsid w:val="FFEE8F39"/>
    <w:rsid w:val="FFEFE519"/>
    <w:rsid w:val="FFF3430A"/>
    <w:rsid w:val="FFF5AF3A"/>
    <w:rsid w:val="FFF6915B"/>
    <w:rsid w:val="FFFD9234"/>
    <w:rsid w:val="FFFF01CB"/>
    <w:rsid w:val="FFFF7066"/>
    <w:rsid w:val="FFFFCF5E"/>
    <w:rsid w:val="00000446"/>
    <w:rsid w:val="000008EF"/>
    <w:rsid w:val="00000AC4"/>
    <w:rsid w:val="000010DA"/>
    <w:rsid w:val="00001367"/>
    <w:rsid w:val="00001BF6"/>
    <w:rsid w:val="00002985"/>
    <w:rsid w:val="00003142"/>
    <w:rsid w:val="00003733"/>
    <w:rsid w:val="00003B08"/>
    <w:rsid w:val="00003CE3"/>
    <w:rsid w:val="00003F62"/>
    <w:rsid w:val="000049A2"/>
    <w:rsid w:val="00004C7B"/>
    <w:rsid w:val="00004D78"/>
    <w:rsid w:val="00005289"/>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692D"/>
    <w:rsid w:val="00057A0B"/>
    <w:rsid w:val="00057D35"/>
    <w:rsid w:val="00057F85"/>
    <w:rsid w:val="000625C3"/>
    <w:rsid w:val="00062B9E"/>
    <w:rsid w:val="00063693"/>
    <w:rsid w:val="000646E6"/>
    <w:rsid w:val="00064852"/>
    <w:rsid w:val="00064896"/>
    <w:rsid w:val="000652A4"/>
    <w:rsid w:val="00065D01"/>
    <w:rsid w:val="00066D4A"/>
    <w:rsid w:val="00066E6D"/>
    <w:rsid w:val="00066F46"/>
    <w:rsid w:val="00067343"/>
    <w:rsid w:val="000675A6"/>
    <w:rsid w:val="00072AA9"/>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4D57"/>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3FEF"/>
    <w:rsid w:val="000C4EC7"/>
    <w:rsid w:val="000C6243"/>
    <w:rsid w:val="000C65BD"/>
    <w:rsid w:val="000C69C7"/>
    <w:rsid w:val="000C69FF"/>
    <w:rsid w:val="000C774E"/>
    <w:rsid w:val="000D0A06"/>
    <w:rsid w:val="000D195B"/>
    <w:rsid w:val="000D3D4A"/>
    <w:rsid w:val="000D3F03"/>
    <w:rsid w:val="000D40D6"/>
    <w:rsid w:val="000D7B38"/>
    <w:rsid w:val="000E02D4"/>
    <w:rsid w:val="000E18E5"/>
    <w:rsid w:val="000E1F66"/>
    <w:rsid w:val="000E4519"/>
    <w:rsid w:val="000E4CDA"/>
    <w:rsid w:val="000E4D33"/>
    <w:rsid w:val="000E5276"/>
    <w:rsid w:val="000E5FC5"/>
    <w:rsid w:val="000E64F6"/>
    <w:rsid w:val="000F1F88"/>
    <w:rsid w:val="000F1FC8"/>
    <w:rsid w:val="000F4AB0"/>
    <w:rsid w:val="000F4B52"/>
    <w:rsid w:val="000F4E12"/>
    <w:rsid w:val="000F4F3A"/>
    <w:rsid w:val="000F571B"/>
    <w:rsid w:val="000F5DF5"/>
    <w:rsid w:val="000F78E7"/>
    <w:rsid w:val="000F794B"/>
    <w:rsid w:val="000F7E52"/>
    <w:rsid w:val="001007A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3BED"/>
    <w:rsid w:val="00125CE3"/>
    <w:rsid w:val="00131727"/>
    <w:rsid w:val="00131B9D"/>
    <w:rsid w:val="00132B0F"/>
    <w:rsid w:val="00133357"/>
    <w:rsid w:val="00135DD1"/>
    <w:rsid w:val="00136586"/>
    <w:rsid w:val="001368A0"/>
    <w:rsid w:val="0014029E"/>
    <w:rsid w:val="00141CC6"/>
    <w:rsid w:val="001421F5"/>
    <w:rsid w:val="0014299A"/>
    <w:rsid w:val="001432E8"/>
    <w:rsid w:val="00144478"/>
    <w:rsid w:val="00144A04"/>
    <w:rsid w:val="001455FB"/>
    <w:rsid w:val="0014652F"/>
    <w:rsid w:val="00146DE8"/>
    <w:rsid w:val="00147566"/>
    <w:rsid w:val="0014775D"/>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51E"/>
    <w:rsid w:val="00162EB8"/>
    <w:rsid w:val="00164357"/>
    <w:rsid w:val="001646A1"/>
    <w:rsid w:val="00164988"/>
    <w:rsid w:val="00165688"/>
    <w:rsid w:val="00166654"/>
    <w:rsid w:val="001667B1"/>
    <w:rsid w:val="00166A95"/>
    <w:rsid w:val="00167376"/>
    <w:rsid w:val="001675D6"/>
    <w:rsid w:val="0017147F"/>
    <w:rsid w:val="00171840"/>
    <w:rsid w:val="001718AD"/>
    <w:rsid w:val="00172A27"/>
    <w:rsid w:val="00172D66"/>
    <w:rsid w:val="00173690"/>
    <w:rsid w:val="00174703"/>
    <w:rsid w:val="00174A0B"/>
    <w:rsid w:val="00174A5A"/>
    <w:rsid w:val="001753F3"/>
    <w:rsid w:val="00175558"/>
    <w:rsid w:val="001755C0"/>
    <w:rsid w:val="0017584C"/>
    <w:rsid w:val="00176EF8"/>
    <w:rsid w:val="001771DB"/>
    <w:rsid w:val="001774B2"/>
    <w:rsid w:val="001801E7"/>
    <w:rsid w:val="001817B5"/>
    <w:rsid w:val="00182158"/>
    <w:rsid w:val="00182DBE"/>
    <w:rsid w:val="001837D3"/>
    <w:rsid w:val="001839FC"/>
    <w:rsid w:val="00184214"/>
    <w:rsid w:val="00184F49"/>
    <w:rsid w:val="00185164"/>
    <w:rsid w:val="00185670"/>
    <w:rsid w:val="001866D6"/>
    <w:rsid w:val="00187BEF"/>
    <w:rsid w:val="001927B1"/>
    <w:rsid w:val="00192C3E"/>
    <w:rsid w:val="00192CBE"/>
    <w:rsid w:val="00192DC0"/>
    <w:rsid w:val="00193B65"/>
    <w:rsid w:val="00193D60"/>
    <w:rsid w:val="00194B69"/>
    <w:rsid w:val="00194BFC"/>
    <w:rsid w:val="00195A78"/>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623"/>
    <w:rsid w:val="001C3C94"/>
    <w:rsid w:val="001C4570"/>
    <w:rsid w:val="001C4742"/>
    <w:rsid w:val="001C4B70"/>
    <w:rsid w:val="001C598E"/>
    <w:rsid w:val="001C5B8B"/>
    <w:rsid w:val="001D05B1"/>
    <w:rsid w:val="001D0B3B"/>
    <w:rsid w:val="001D1826"/>
    <w:rsid w:val="001D214A"/>
    <w:rsid w:val="001D2B65"/>
    <w:rsid w:val="001D3FCE"/>
    <w:rsid w:val="001D4C52"/>
    <w:rsid w:val="001D623C"/>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365C"/>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3C32"/>
    <w:rsid w:val="00244643"/>
    <w:rsid w:val="0024514E"/>
    <w:rsid w:val="0024571B"/>
    <w:rsid w:val="00247045"/>
    <w:rsid w:val="002474E8"/>
    <w:rsid w:val="002476CC"/>
    <w:rsid w:val="002479F9"/>
    <w:rsid w:val="00247FDF"/>
    <w:rsid w:val="0025138E"/>
    <w:rsid w:val="00251F3D"/>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6C8E"/>
    <w:rsid w:val="002779A6"/>
    <w:rsid w:val="00280028"/>
    <w:rsid w:val="002808B2"/>
    <w:rsid w:val="002824A9"/>
    <w:rsid w:val="00282646"/>
    <w:rsid w:val="00285ED0"/>
    <w:rsid w:val="00286570"/>
    <w:rsid w:val="0028671D"/>
    <w:rsid w:val="00286FFE"/>
    <w:rsid w:val="00287945"/>
    <w:rsid w:val="00287F20"/>
    <w:rsid w:val="00287F8D"/>
    <w:rsid w:val="00290BB6"/>
    <w:rsid w:val="0029115C"/>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2A2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0D"/>
    <w:rsid w:val="002C2A34"/>
    <w:rsid w:val="002C3ED3"/>
    <w:rsid w:val="002C77D2"/>
    <w:rsid w:val="002D00D8"/>
    <w:rsid w:val="002D27B8"/>
    <w:rsid w:val="002D291D"/>
    <w:rsid w:val="002D2E70"/>
    <w:rsid w:val="002D3E2A"/>
    <w:rsid w:val="002D4F73"/>
    <w:rsid w:val="002D5C8D"/>
    <w:rsid w:val="002D6180"/>
    <w:rsid w:val="002D672E"/>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5DC8"/>
    <w:rsid w:val="002F631D"/>
    <w:rsid w:val="002F6403"/>
    <w:rsid w:val="003005AF"/>
    <w:rsid w:val="00300C29"/>
    <w:rsid w:val="00302BE6"/>
    <w:rsid w:val="00303680"/>
    <w:rsid w:val="00304B6F"/>
    <w:rsid w:val="00304CF3"/>
    <w:rsid w:val="00304E68"/>
    <w:rsid w:val="003056D2"/>
    <w:rsid w:val="00306D60"/>
    <w:rsid w:val="0030767C"/>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6E"/>
    <w:rsid w:val="00351FE3"/>
    <w:rsid w:val="0035227A"/>
    <w:rsid w:val="00352B28"/>
    <w:rsid w:val="003536C6"/>
    <w:rsid w:val="00354A9E"/>
    <w:rsid w:val="00355810"/>
    <w:rsid w:val="00357054"/>
    <w:rsid w:val="00357B4C"/>
    <w:rsid w:val="00360A6F"/>
    <w:rsid w:val="003611F4"/>
    <w:rsid w:val="00362052"/>
    <w:rsid w:val="00362F67"/>
    <w:rsid w:val="003639BF"/>
    <w:rsid w:val="003647E3"/>
    <w:rsid w:val="0036525D"/>
    <w:rsid w:val="00365FD1"/>
    <w:rsid w:val="00367279"/>
    <w:rsid w:val="0037058D"/>
    <w:rsid w:val="003706D5"/>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6E95"/>
    <w:rsid w:val="003879C4"/>
    <w:rsid w:val="00391C55"/>
    <w:rsid w:val="00392030"/>
    <w:rsid w:val="00392D17"/>
    <w:rsid w:val="003937A0"/>
    <w:rsid w:val="003957AA"/>
    <w:rsid w:val="00395834"/>
    <w:rsid w:val="00395EF2"/>
    <w:rsid w:val="0039799E"/>
    <w:rsid w:val="003A01EB"/>
    <w:rsid w:val="003A1C82"/>
    <w:rsid w:val="003A227E"/>
    <w:rsid w:val="003A24D4"/>
    <w:rsid w:val="003A2503"/>
    <w:rsid w:val="003A4764"/>
    <w:rsid w:val="003A4916"/>
    <w:rsid w:val="003A4BCD"/>
    <w:rsid w:val="003A5258"/>
    <w:rsid w:val="003A7F47"/>
    <w:rsid w:val="003B0478"/>
    <w:rsid w:val="003B0CC1"/>
    <w:rsid w:val="003B163E"/>
    <w:rsid w:val="003B412E"/>
    <w:rsid w:val="003B45F4"/>
    <w:rsid w:val="003B4ACD"/>
    <w:rsid w:val="003C1534"/>
    <w:rsid w:val="003C1A2B"/>
    <w:rsid w:val="003C1EFF"/>
    <w:rsid w:val="003C3B8B"/>
    <w:rsid w:val="003C5759"/>
    <w:rsid w:val="003C645C"/>
    <w:rsid w:val="003C7123"/>
    <w:rsid w:val="003C7F90"/>
    <w:rsid w:val="003D222C"/>
    <w:rsid w:val="003D23CF"/>
    <w:rsid w:val="003D5547"/>
    <w:rsid w:val="003D5914"/>
    <w:rsid w:val="003D67CB"/>
    <w:rsid w:val="003D6B57"/>
    <w:rsid w:val="003D6DA4"/>
    <w:rsid w:val="003D788B"/>
    <w:rsid w:val="003D79D4"/>
    <w:rsid w:val="003D7A3A"/>
    <w:rsid w:val="003E0735"/>
    <w:rsid w:val="003E0B30"/>
    <w:rsid w:val="003E21C8"/>
    <w:rsid w:val="003E2DAF"/>
    <w:rsid w:val="003E32D5"/>
    <w:rsid w:val="003E39BC"/>
    <w:rsid w:val="003E4692"/>
    <w:rsid w:val="003E62A0"/>
    <w:rsid w:val="003E68DA"/>
    <w:rsid w:val="003E7974"/>
    <w:rsid w:val="003E7D9C"/>
    <w:rsid w:val="003E7DAB"/>
    <w:rsid w:val="003F0222"/>
    <w:rsid w:val="003F14A6"/>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3A42"/>
    <w:rsid w:val="00423F95"/>
    <w:rsid w:val="00424FB9"/>
    <w:rsid w:val="004310C9"/>
    <w:rsid w:val="0043110A"/>
    <w:rsid w:val="0043184D"/>
    <w:rsid w:val="00433639"/>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1F4C"/>
    <w:rsid w:val="00452027"/>
    <w:rsid w:val="004520AC"/>
    <w:rsid w:val="00452D6E"/>
    <w:rsid w:val="00453DB4"/>
    <w:rsid w:val="004547CE"/>
    <w:rsid w:val="0045485A"/>
    <w:rsid w:val="00454874"/>
    <w:rsid w:val="00454BE9"/>
    <w:rsid w:val="0045585D"/>
    <w:rsid w:val="00456E13"/>
    <w:rsid w:val="00460CEB"/>
    <w:rsid w:val="00460E9E"/>
    <w:rsid w:val="0046107E"/>
    <w:rsid w:val="00461DCB"/>
    <w:rsid w:val="0046213B"/>
    <w:rsid w:val="004621D3"/>
    <w:rsid w:val="00462D5A"/>
    <w:rsid w:val="00463BDC"/>
    <w:rsid w:val="00464316"/>
    <w:rsid w:val="00464585"/>
    <w:rsid w:val="0046536F"/>
    <w:rsid w:val="00465F63"/>
    <w:rsid w:val="004660A5"/>
    <w:rsid w:val="0046622A"/>
    <w:rsid w:val="00466468"/>
    <w:rsid w:val="00470300"/>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259"/>
    <w:rsid w:val="00487DB7"/>
    <w:rsid w:val="00487E8C"/>
    <w:rsid w:val="00491A7F"/>
    <w:rsid w:val="004920EF"/>
    <w:rsid w:val="004929BC"/>
    <w:rsid w:val="00492AED"/>
    <w:rsid w:val="00492F4F"/>
    <w:rsid w:val="0049340F"/>
    <w:rsid w:val="0049456B"/>
    <w:rsid w:val="00494F69"/>
    <w:rsid w:val="004953D8"/>
    <w:rsid w:val="004955CE"/>
    <w:rsid w:val="00495C1D"/>
    <w:rsid w:val="00497699"/>
    <w:rsid w:val="004A02E8"/>
    <w:rsid w:val="004A1E6B"/>
    <w:rsid w:val="004A1ED7"/>
    <w:rsid w:val="004A31DA"/>
    <w:rsid w:val="004A3B60"/>
    <w:rsid w:val="004A3C6D"/>
    <w:rsid w:val="004A4CEB"/>
    <w:rsid w:val="004A6D49"/>
    <w:rsid w:val="004A703F"/>
    <w:rsid w:val="004A73E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8D8"/>
    <w:rsid w:val="004E3E51"/>
    <w:rsid w:val="004E44E9"/>
    <w:rsid w:val="004E59BA"/>
    <w:rsid w:val="004E5B66"/>
    <w:rsid w:val="004E74A5"/>
    <w:rsid w:val="004E7ED5"/>
    <w:rsid w:val="004F13CC"/>
    <w:rsid w:val="004F219A"/>
    <w:rsid w:val="004F22F1"/>
    <w:rsid w:val="004F273A"/>
    <w:rsid w:val="004F4370"/>
    <w:rsid w:val="004F4E19"/>
    <w:rsid w:val="004F5BD2"/>
    <w:rsid w:val="004F5ED1"/>
    <w:rsid w:val="004F6C00"/>
    <w:rsid w:val="004F710D"/>
    <w:rsid w:val="004F7BB1"/>
    <w:rsid w:val="004F7F3F"/>
    <w:rsid w:val="0050250A"/>
    <w:rsid w:val="005030B1"/>
    <w:rsid w:val="00504BF3"/>
    <w:rsid w:val="0050751B"/>
    <w:rsid w:val="005106AC"/>
    <w:rsid w:val="0051076B"/>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164"/>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1F9E"/>
    <w:rsid w:val="005824AC"/>
    <w:rsid w:val="00582657"/>
    <w:rsid w:val="00584B94"/>
    <w:rsid w:val="00585668"/>
    <w:rsid w:val="00585B2B"/>
    <w:rsid w:val="00586E28"/>
    <w:rsid w:val="00586F42"/>
    <w:rsid w:val="005873F3"/>
    <w:rsid w:val="00587557"/>
    <w:rsid w:val="005902FE"/>
    <w:rsid w:val="00592372"/>
    <w:rsid w:val="0059365B"/>
    <w:rsid w:val="0059528B"/>
    <w:rsid w:val="005958AC"/>
    <w:rsid w:val="00595B79"/>
    <w:rsid w:val="00596577"/>
    <w:rsid w:val="00596E64"/>
    <w:rsid w:val="00596F91"/>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1B62"/>
    <w:rsid w:val="005D27A0"/>
    <w:rsid w:val="005D488A"/>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45EB"/>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6EB6"/>
    <w:rsid w:val="005F738E"/>
    <w:rsid w:val="005F7549"/>
    <w:rsid w:val="0060035C"/>
    <w:rsid w:val="00600E3D"/>
    <w:rsid w:val="00601049"/>
    <w:rsid w:val="006014B9"/>
    <w:rsid w:val="00601659"/>
    <w:rsid w:val="006026D7"/>
    <w:rsid w:val="0060595A"/>
    <w:rsid w:val="006073C8"/>
    <w:rsid w:val="00607A81"/>
    <w:rsid w:val="00607C05"/>
    <w:rsid w:val="00611CFD"/>
    <w:rsid w:val="00612198"/>
    <w:rsid w:val="00612D6B"/>
    <w:rsid w:val="00612E55"/>
    <w:rsid w:val="006134AD"/>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C0E"/>
    <w:rsid w:val="00631F36"/>
    <w:rsid w:val="00632E52"/>
    <w:rsid w:val="0063306F"/>
    <w:rsid w:val="006332AF"/>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6F29"/>
    <w:rsid w:val="00667FBD"/>
    <w:rsid w:val="00670344"/>
    <w:rsid w:val="006703A1"/>
    <w:rsid w:val="00671AD8"/>
    <w:rsid w:val="00672763"/>
    <w:rsid w:val="006732BD"/>
    <w:rsid w:val="006736C9"/>
    <w:rsid w:val="006736E1"/>
    <w:rsid w:val="00673AE6"/>
    <w:rsid w:val="00673F59"/>
    <w:rsid w:val="0067425B"/>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79"/>
    <w:rsid w:val="006A529C"/>
    <w:rsid w:val="006A535A"/>
    <w:rsid w:val="006A60B5"/>
    <w:rsid w:val="006A666F"/>
    <w:rsid w:val="006A7111"/>
    <w:rsid w:val="006A77E0"/>
    <w:rsid w:val="006B0FA0"/>
    <w:rsid w:val="006B1891"/>
    <w:rsid w:val="006B3D9B"/>
    <w:rsid w:val="006B417C"/>
    <w:rsid w:val="006B4B33"/>
    <w:rsid w:val="006B63B3"/>
    <w:rsid w:val="006B67EB"/>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58E"/>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171"/>
    <w:rsid w:val="006E39BE"/>
    <w:rsid w:val="006E4B6A"/>
    <w:rsid w:val="006E4EC4"/>
    <w:rsid w:val="006E5A19"/>
    <w:rsid w:val="006E6FDF"/>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145"/>
    <w:rsid w:val="00700E7E"/>
    <w:rsid w:val="00701B06"/>
    <w:rsid w:val="00702930"/>
    <w:rsid w:val="00705242"/>
    <w:rsid w:val="007060EA"/>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0E2"/>
    <w:rsid w:val="00722289"/>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37A4B"/>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252F"/>
    <w:rsid w:val="007638E3"/>
    <w:rsid w:val="00763C26"/>
    <w:rsid w:val="00763EC2"/>
    <w:rsid w:val="00764DF3"/>
    <w:rsid w:val="00765009"/>
    <w:rsid w:val="007655D2"/>
    <w:rsid w:val="007658B9"/>
    <w:rsid w:val="00767974"/>
    <w:rsid w:val="007733D9"/>
    <w:rsid w:val="00773E0C"/>
    <w:rsid w:val="00775489"/>
    <w:rsid w:val="00775BFE"/>
    <w:rsid w:val="007770C9"/>
    <w:rsid w:val="00777E3F"/>
    <w:rsid w:val="00780024"/>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4CEC"/>
    <w:rsid w:val="007956AB"/>
    <w:rsid w:val="00795E34"/>
    <w:rsid w:val="00796A51"/>
    <w:rsid w:val="00796F0C"/>
    <w:rsid w:val="007978FA"/>
    <w:rsid w:val="007A0624"/>
    <w:rsid w:val="007A0A31"/>
    <w:rsid w:val="007A0C7F"/>
    <w:rsid w:val="007A2A58"/>
    <w:rsid w:val="007A2BFA"/>
    <w:rsid w:val="007A30A0"/>
    <w:rsid w:val="007A3B65"/>
    <w:rsid w:val="007A3C96"/>
    <w:rsid w:val="007A3DBB"/>
    <w:rsid w:val="007A6892"/>
    <w:rsid w:val="007A7414"/>
    <w:rsid w:val="007A7461"/>
    <w:rsid w:val="007B0646"/>
    <w:rsid w:val="007B116B"/>
    <w:rsid w:val="007B1F9D"/>
    <w:rsid w:val="007B23A4"/>
    <w:rsid w:val="007B33FD"/>
    <w:rsid w:val="007B35B8"/>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5F8E"/>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C"/>
    <w:rsid w:val="007E460F"/>
    <w:rsid w:val="007E6FFC"/>
    <w:rsid w:val="007E7EF8"/>
    <w:rsid w:val="007F028E"/>
    <w:rsid w:val="007F0F3E"/>
    <w:rsid w:val="007F2DB3"/>
    <w:rsid w:val="007F320F"/>
    <w:rsid w:val="007F3A44"/>
    <w:rsid w:val="007F444C"/>
    <w:rsid w:val="007F5079"/>
    <w:rsid w:val="007F6049"/>
    <w:rsid w:val="007F7092"/>
    <w:rsid w:val="007F72D3"/>
    <w:rsid w:val="007F7E91"/>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629"/>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7B2"/>
    <w:rsid w:val="0086294F"/>
    <w:rsid w:val="00863204"/>
    <w:rsid w:val="008648DF"/>
    <w:rsid w:val="00865334"/>
    <w:rsid w:val="0086555F"/>
    <w:rsid w:val="00865CC2"/>
    <w:rsid w:val="00867098"/>
    <w:rsid w:val="00867B63"/>
    <w:rsid w:val="008704C6"/>
    <w:rsid w:val="008705D1"/>
    <w:rsid w:val="008708CD"/>
    <w:rsid w:val="008714C0"/>
    <w:rsid w:val="008716CA"/>
    <w:rsid w:val="00872BDE"/>
    <w:rsid w:val="00874108"/>
    <w:rsid w:val="00877204"/>
    <w:rsid w:val="00877478"/>
    <w:rsid w:val="00877C6C"/>
    <w:rsid w:val="008803A0"/>
    <w:rsid w:val="008806E2"/>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02"/>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447"/>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5F5"/>
    <w:rsid w:val="00902F1E"/>
    <w:rsid w:val="00903883"/>
    <w:rsid w:val="009043F9"/>
    <w:rsid w:val="00905276"/>
    <w:rsid w:val="00906813"/>
    <w:rsid w:val="00906B87"/>
    <w:rsid w:val="00907516"/>
    <w:rsid w:val="00907CDC"/>
    <w:rsid w:val="009109C6"/>
    <w:rsid w:val="00911046"/>
    <w:rsid w:val="00911DAF"/>
    <w:rsid w:val="009125C7"/>
    <w:rsid w:val="00912721"/>
    <w:rsid w:val="00912B94"/>
    <w:rsid w:val="00925268"/>
    <w:rsid w:val="00927A1E"/>
    <w:rsid w:val="00930581"/>
    <w:rsid w:val="00931B82"/>
    <w:rsid w:val="00932352"/>
    <w:rsid w:val="0093449C"/>
    <w:rsid w:val="00935EC3"/>
    <w:rsid w:val="00936AD5"/>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22D"/>
    <w:rsid w:val="0096477A"/>
    <w:rsid w:val="00964ECF"/>
    <w:rsid w:val="009658F6"/>
    <w:rsid w:val="00966F79"/>
    <w:rsid w:val="009674CF"/>
    <w:rsid w:val="009703AD"/>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A09"/>
    <w:rsid w:val="009B5FFE"/>
    <w:rsid w:val="009B6528"/>
    <w:rsid w:val="009B78E3"/>
    <w:rsid w:val="009B7B21"/>
    <w:rsid w:val="009C0171"/>
    <w:rsid w:val="009C225A"/>
    <w:rsid w:val="009C2516"/>
    <w:rsid w:val="009C26B5"/>
    <w:rsid w:val="009C33E6"/>
    <w:rsid w:val="009C4B9A"/>
    <w:rsid w:val="009C5B84"/>
    <w:rsid w:val="009C6915"/>
    <w:rsid w:val="009C694E"/>
    <w:rsid w:val="009C70BE"/>
    <w:rsid w:val="009C7DFE"/>
    <w:rsid w:val="009C7F60"/>
    <w:rsid w:val="009D04F3"/>
    <w:rsid w:val="009D1394"/>
    <w:rsid w:val="009D1E40"/>
    <w:rsid w:val="009D2460"/>
    <w:rsid w:val="009D543C"/>
    <w:rsid w:val="009D5CE9"/>
    <w:rsid w:val="009D615B"/>
    <w:rsid w:val="009D6380"/>
    <w:rsid w:val="009D6FCD"/>
    <w:rsid w:val="009D7CF8"/>
    <w:rsid w:val="009E0B2F"/>
    <w:rsid w:val="009E176C"/>
    <w:rsid w:val="009E21EA"/>
    <w:rsid w:val="009E2327"/>
    <w:rsid w:val="009E276C"/>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591"/>
    <w:rsid w:val="00A069A0"/>
    <w:rsid w:val="00A10A28"/>
    <w:rsid w:val="00A117A7"/>
    <w:rsid w:val="00A124D2"/>
    <w:rsid w:val="00A20B13"/>
    <w:rsid w:val="00A2130D"/>
    <w:rsid w:val="00A21612"/>
    <w:rsid w:val="00A21A11"/>
    <w:rsid w:val="00A21A21"/>
    <w:rsid w:val="00A21FCA"/>
    <w:rsid w:val="00A233CD"/>
    <w:rsid w:val="00A234CA"/>
    <w:rsid w:val="00A23D52"/>
    <w:rsid w:val="00A30DC0"/>
    <w:rsid w:val="00A319C8"/>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6D1"/>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561"/>
    <w:rsid w:val="00A91D53"/>
    <w:rsid w:val="00A93F12"/>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295A"/>
    <w:rsid w:val="00AC39B4"/>
    <w:rsid w:val="00AC489B"/>
    <w:rsid w:val="00AC527C"/>
    <w:rsid w:val="00AC56BA"/>
    <w:rsid w:val="00AC578E"/>
    <w:rsid w:val="00AC604E"/>
    <w:rsid w:val="00AC65F9"/>
    <w:rsid w:val="00AC6ACE"/>
    <w:rsid w:val="00AC7703"/>
    <w:rsid w:val="00AC7D83"/>
    <w:rsid w:val="00AD0961"/>
    <w:rsid w:val="00AD0988"/>
    <w:rsid w:val="00AD0B06"/>
    <w:rsid w:val="00AD0E40"/>
    <w:rsid w:val="00AD0F44"/>
    <w:rsid w:val="00AD1B79"/>
    <w:rsid w:val="00AD3A0B"/>
    <w:rsid w:val="00AD4A9E"/>
    <w:rsid w:val="00AD5A56"/>
    <w:rsid w:val="00AD621C"/>
    <w:rsid w:val="00AD6E04"/>
    <w:rsid w:val="00AE01D2"/>
    <w:rsid w:val="00AE1765"/>
    <w:rsid w:val="00AE5BB4"/>
    <w:rsid w:val="00AE6177"/>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5163"/>
    <w:rsid w:val="00B055C9"/>
    <w:rsid w:val="00B05F5B"/>
    <w:rsid w:val="00B10113"/>
    <w:rsid w:val="00B1166F"/>
    <w:rsid w:val="00B12057"/>
    <w:rsid w:val="00B123E0"/>
    <w:rsid w:val="00B12AC5"/>
    <w:rsid w:val="00B13175"/>
    <w:rsid w:val="00B166CC"/>
    <w:rsid w:val="00B17D05"/>
    <w:rsid w:val="00B20152"/>
    <w:rsid w:val="00B21813"/>
    <w:rsid w:val="00B23D55"/>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7D9"/>
    <w:rsid w:val="00B50ADE"/>
    <w:rsid w:val="00B512C6"/>
    <w:rsid w:val="00B515D7"/>
    <w:rsid w:val="00B53546"/>
    <w:rsid w:val="00B5389F"/>
    <w:rsid w:val="00B544F7"/>
    <w:rsid w:val="00B54D09"/>
    <w:rsid w:val="00B54D79"/>
    <w:rsid w:val="00B55423"/>
    <w:rsid w:val="00B55F5E"/>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D61"/>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241"/>
    <w:rsid w:val="00B93912"/>
    <w:rsid w:val="00B94771"/>
    <w:rsid w:val="00B95469"/>
    <w:rsid w:val="00B96F85"/>
    <w:rsid w:val="00B975A7"/>
    <w:rsid w:val="00BA1114"/>
    <w:rsid w:val="00BA3549"/>
    <w:rsid w:val="00BA3E16"/>
    <w:rsid w:val="00BA5D10"/>
    <w:rsid w:val="00BA755F"/>
    <w:rsid w:val="00BA79D0"/>
    <w:rsid w:val="00BA7F6D"/>
    <w:rsid w:val="00BB1307"/>
    <w:rsid w:val="00BB175A"/>
    <w:rsid w:val="00BB1DD4"/>
    <w:rsid w:val="00BB2393"/>
    <w:rsid w:val="00BB3A0B"/>
    <w:rsid w:val="00BB4F64"/>
    <w:rsid w:val="00BB502A"/>
    <w:rsid w:val="00BB5060"/>
    <w:rsid w:val="00BB5159"/>
    <w:rsid w:val="00BB5451"/>
    <w:rsid w:val="00BB5E2D"/>
    <w:rsid w:val="00BB614C"/>
    <w:rsid w:val="00BB67F4"/>
    <w:rsid w:val="00BC1E2D"/>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D7F53"/>
    <w:rsid w:val="00BE144D"/>
    <w:rsid w:val="00BE16C2"/>
    <w:rsid w:val="00BE227F"/>
    <w:rsid w:val="00BE26D0"/>
    <w:rsid w:val="00BE2BF3"/>
    <w:rsid w:val="00BE2E5B"/>
    <w:rsid w:val="00BE380F"/>
    <w:rsid w:val="00BE387C"/>
    <w:rsid w:val="00BE3B32"/>
    <w:rsid w:val="00BE4511"/>
    <w:rsid w:val="00BE5D61"/>
    <w:rsid w:val="00BE6AF7"/>
    <w:rsid w:val="00BF0B46"/>
    <w:rsid w:val="00BF0DE0"/>
    <w:rsid w:val="00BF204E"/>
    <w:rsid w:val="00BF33B0"/>
    <w:rsid w:val="00BF3629"/>
    <w:rsid w:val="00BF64A7"/>
    <w:rsid w:val="00C00480"/>
    <w:rsid w:val="00C0063E"/>
    <w:rsid w:val="00C01616"/>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2193"/>
    <w:rsid w:val="00C43741"/>
    <w:rsid w:val="00C4377E"/>
    <w:rsid w:val="00C439D9"/>
    <w:rsid w:val="00C448F8"/>
    <w:rsid w:val="00C45F06"/>
    <w:rsid w:val="00C461B1"/>
    <w:rsid w:val="00C46D28"/>
    <w:rsid w:val="00C5003D"/>
    <w:rsid w:val="00C505DA"/>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2AE4"/>
    <w:rsid w:val="00C75CC6"/>
    <w:rsid w:val="00C771C4"/>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23BA"/>
    <w:rsid w:val="00CA3344"/>
    <w:rsid w:val="00CA4E93"/>
    <w:rsid w:val="00CA4FF9"/>
    <w:rsid w:val="00CA67B5"/>
    <w:rsid w:val="00CA6A8D"/>
    <w:rsid w:val="00CA6AFB"/>
    <w:rsid w:val="00CB1182"/>
    <w:rsid w:val="00CB247D"/>
    <w:rsid w:val="00CB24A5"/>
    <w:rsid w:val="00CB25DB"/>
    <w:rsid w:val="00CB3D15"/>
    <w:rsid w:val="00CB3E5F"/>
    <w:rsid w:val="00CB3EB8"/>
    <w:rsid w:val="00CB4E15"/>
    <w:rsid w:val="00CB564A"/>
    <w:rsid w:val="00CB6CF6"/>
    <w:rsid w:val="00CB6D1E"/>
    <w:rsid w:val="00CB7109"/>
    <w:rsid w:val="00CB798D"/>
    <w:rsid w:val="00CC0A71"/>
    <w:rsid w:val="00CC0AED"/>
    <w:rsid w:val="00CC1BB7"/>
    <w:rsid w:val="00CD0574"/>
    <w:rsid w:val="00CD0907"/>
    <w:rsid w:val="00CD0AE5"/>
    <w:rsid w:val="00CD10A2"/>
    <w:rsid w:val="00CD1C9B"/>
    <w:rsid w:val="00CD3160"/>
    <w:rsid w:val="00CD39E4"/>
    <w:rsid w:val="00CD5135"/>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1EEC"/>
    <w:rsid w:val="00D12296"/>
    <w:rsid w:val="00D12497"/>
    <w:rsid w:val="00D13B74"/>
    <w:rsid w:val="00D149C4"/>
    <w:rsid w:val="00D165F9"/>
    <w:rsid w:val="00D2061C"/>
    <w:rsid w:val="00D20B07"/>
    <w:rsid w:val="00D21AA0"/>
    <w:rsid w:val="00D21D86"/>
    <w:rsid w:val="00D2270F"/>
    <w:rsid w:val="00D22827"/>
    <w:rsid w:val="00D2314F"/>
    <w:rsid w:val="00D23BCA"/>
    <w:rsid w:val="00D273FA"/>
    <w:rsid w:val="00D30131"/>
    <w:rsid w:val="00D306D6"/>
    <w:rsid w:val="00D34535"/>
    <w:rsid w:val="00D35481"/>
    <w:rsid w:val="00D4006B"/>
    <w:rsid w:val="00D40D2A"/>
    <w:rsid w:val="00D40DC7"/>
    <w:rsid w:val="00D40E9A"/>
    <w:rsid w:val="00D4130B"/>
    <w:rsid w:val="00D4144A"/>
    <w:rsid w:val="00D416BE"/>
    <w:rsid w:val="00D434EE"/>
    <w:rsid w:val="00D44488"/>
    <w:rsid w:val="00D44868"/>
    <w:rsid w:val="00D450A2"/>
    <w:rsid w:val="00D4545A"/>
    <w:rsid w:val="00D45D61"/>
    <w:rsid w:val="00D46975"/>
    <w:rsid w:val="00D46C58"/>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437"/>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5743"/>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0C"/>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E7C2B"/>
    <w:rsid w:val="00DF1F83"/>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0B4E"/>
    <w:rsid w:val="00E318B9"/>
    <w:rsid w:val="00E3296F"/>
    <w:rsid w:val="00E35E85"/>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60"/>
    <w:rsid w:val="00E539A5"/>
    <w:rsid w:val="00E53B49"/>
    <w:rsid w:val="00E54EF7"/>
    <w:rsid w:val="00E56547"/>
    <w:rsid w:val="00E56D44"/>
    <w:rsid w:val="00E572C9"/>
    <w:rsid w:val="00E601FE"/>
    <w:rsid w:val="00E60A9F"/>
    <w:rsid w:val="00E60E16"/>
    <w:rsid w:val="00E60E34"/>
    <w:rsid w:val="00E6127D"/>
    <w:rsid w:val="00E63C31"/>
    <w:rsid w:val="00E64012"/>
    <w:rsid w:val="00E6470D"/>
    <w:rsid w:val="00E65319"/>
    <w:rsid w:val="00E67AE1"/>
    <w:rsid w:val="00E67D24"/>
    <w:rsid w:val="00E70CE5"/>
    <w:rsid w:val="00E71BDE"/>
    <w:rsid w:val="00E72E8D"/>
    <w:rsid w:val="00E748DD"/>
    <w:rsid w:val="00E75F5D"/>
    <w:rsid w:val="00E769A1"/>
    <w:rsid w:val="00E76AEB"/>
    <w:rsid w:val="00E777B0"/>
    <w:rsid w:val="00E818FC"/>
    <w:rsid w:val="00E84B59"/>
    <w:rsid w:val="00E85C05"/>
    <w:rsid w:val="00E85C8B"/>
    <w:rsid w:val="00E86784"/>
    <w:rsid w:val="00E86BBB"/>
    <w:rsid w:val="00E87293"/>
    <w:rsid w:val="00E873A3"/>
    <w:rsid w:val="00E90252"/>
    <w:rsid w:val="00E92005"/>
    <w:rsid w:val="00E92EB4"/>
    <w:rsid w:val="00E934BE"/>
    <w:rsid w:val="00E934F3"/>
    <w:rsid w:val="00E9543D"/>
    <w:rsid w:val="00E9686F"/>
    <w:rsid w:val="00E971E7"/>
    <w:rsid w:val="00E973EB"/>
    <w:rsid w:val="00E9764D"/>
    <w:rsid w:val="00E97A66"/>
    <w:rsid w:val="00E97FE1"/>
    <w:rsid w:val="00EA0186"/>
    <w:rsid w:val="00EA02C5"/>
    <w:rsid w:val="00EA13FF"/>
    <w:rsid w:val="00EA44B9"/>
    <w:rsid w:val="00EA494A"/>
    <w:rsid w:val="00EA6670"/>
    <w:rsid w:val="00EA6DBB"/>
    <w:rsid w:val="00EA75DE"/>
    <w:rsid w:val="00EA7630"/>
    <w:rsid w:val="00EB3007"/>
    <w:rsid w:val="00EB3418"/>
    <w:rsid w:val="00EB41AF"/>
    <w:rsid w:val="00EB43F3"/>
    <w:rsid w:val="00EB5362"/>
    <w:rsid w:val="00EB5A21"/>
    <w:rsid w:val="00EB651C"/>
    <w:rsid w:val="00EB68CD"/>
    <w:rsid w:val="00EB6B3A"/>
    <w:rsid w:val="00EB72DD"/>
    <w:rsid w:val="00EC250E"/>
    <w:rsid w:val="00EC39B6"/>
    <w:rsid w:val="00EC3A90"/>
    <w:rsid w:val="00EC4C13"/>
    <w:rsid w:val="00EC69C5"/>
    <w:rsid w:val="00EC796D"/>
    <w:rsid w:val="00ED02BA"/>
    <w:rsid w:val="00ED0E58"/>
    <w:rsid w:val="00ED1379"/>
    <w:rsid w:val="00ED1E5B"/>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3E27"/>
    <w:rsid w:val="00EF41E3"/>
    <w:rsid w:val="00EF476C"/>
    <w:rsid w:val="00EF4CF5"/>
    <w:rsid w:val="00EF4E42"/>
    <w:rsid w:val="00EF55C2"/>
    <w:rsid w:val="00EF56AF"/>
    <w:rsid w:val="00EF59F7"/>
    <w:rsid w:val="00EF691C"/>
    <w:rsid w:val="00EF6FD0"/>
    <w:rsid w:val="00EF74A3"/>
    <w:rsid w:val="00EF7910"/>
    <w:rsid w:val="00F002C9"/>
    <w:rsid w:val="00F00317"/>
    <w:rsid w:val="00F006B6"/>
    <w:rsid w:val="00F009BB"/>
    <w:rsid w:val="00F02579"/>
    <w:rsid w:val="00F03269"/>
    <w:rsid w:val="00F042EB"/>
    <w:rsid w:val="00F04FFB"/>
    <w:rsid w:val="00F0631F"/>
    <w:rsid w:val="00F06E70"/>
    <w:rsid w:val="00F06ED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86C"/>
    <w:rsid w:val="00F26F29"/>
    <w:rsid w:val="00F3086B"/>
    <w:rsid w:val="00F314E4"/>
    <w:rsid w:val="00F315EB"/>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05A5"/>
    <w:rsid w:val="00F71502"/>
    <w:rsid w:val="00F7183F"/>
    <w:rsid w:val="00F71C81"/>
    <w:rsid w:val="00F723AC"/>
    <w:rsid w:val="00F72768"/>
    <w:rsid w:val="00F77612"/>
    <w:rsid w:val="00F8018D"/>
    <w:rsid w:val="00F80303"/>
    <w:rsid w:val="00F80D85"/>
    <w:rsid w:val="00F823F3"/>
    <w:rsid w:val="00F82875"/>
    <w:rsid w:val="00F8360D"/>
    <w:rsid w:val="00F84E35"/>
    <w:rsid w:val="00F84F77"/>
    <w:rsid w:val="00F86503"/>
    <w:rsid w:val="00F87537"/>
    <w:rsid w:val="00F87927"/>
    <w:rsid w:val="00F911B3"/>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64"/>
    <w:rsid w:val="00FA5ED6"/>
    <w:rsid w:val="00FA664A"/>
    <w:rsid w:val="00FA7039"/>
    <w:rsid w:val="00FA7A34"/>
    <w:rsid w:val="00FB001B"/>
    <w:rsid w:val="00FB00A3"/>
    <w:rsid w:val="00FB0603"/>
    <w:rsid w:val="00FB153E"/>
    <w:rsid w:val="00FB6262"/>
    <w:rsid w:val="00FB6D9D"/>
    <w:rsid w:val="00FB7FED"/>
    <w:rsid w:val="00FC01FF"/>
    <w:rsid w:val="00FC164F"/>
    <w:rsid w:val="00FC206F"/>
    <w:rsid w:val="00FC2F8D"/>
    <w:rsid w:val="00FC5833"/>
    <w:rsid w:val="00FC5948"/>
    <w:rsid w:val="00FC66A9"/>
    <w:rsid w:val="00FD0CE2"/>
    <w:rsid w:val="00FD31B2"/>
    <w:rsid w:val="00FD32EA"/>
    <w:rsid w:val="00FD3404"/>
    <w:rsid w:val="00FD3561"/>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6A40"/>
    <w:rsid w:val="00FE7C2E"/>
    <w:rsid w:val="00FE7F36"/>
    <w:rsid w:val="00FF3A17"/>
    <w:rsid w:val="00FF4B59"/>
    <w:rsid w:val="00FF4D7D"/>
    <w:rsid w:val="00FF785C"/>
    <w:rsid w:val="01791CD3"/>
    <w:rsid w:val="01C502E0"/>
    <w:rsid w:val="0205793E"/>
    <w:rsid w:val="023764B2"/>
    <w:rsid w:val="02533F80"/>
    <w:rsid w:val="03944676"/>
    <w:rsid w:val="03D114CB"/>
    <w:rsid w:val="03F21BCC"/>
    <w:rsid w:val="0433251E"/>
    <w:rsid w:val="047B0B3A"/>
    <w:rsid w:val="04EB0EE2"/>
    <w:rsid w:val="063C29C9"/>
    <w:rsid w:val="06832477"/>
    <w:rsid w:val="06856661"/>
    <w:rsid w:val="073B62FE"/>
    <w:rsid w:val="078966FD"/>
    <w:rsid w:val="07BD4336"/>
    <w:rsid w:val="08A01674"/>
    <w:rsid w:val="0920039A"/>
    <w:rsid w:val="095E54F2"/>
    <w:rsid w:val="09FF1157"/>
    <w:rsid w:val="0A015D01"/>
    <w:rsid w:val="0A4C255E"/>
    <w:rsid w:val="0A4F1CC6"/>
    <w:rsid w:val="0A7F56D8"/>
    <w:rsid w:val="0A854839"/>
    <w:rsid w:val="0ACA0AE6"/>
    <w:rsid w:val="0AD94570"/>
    <w:rsid w:val="0AEB48B5"/>
    <w:rsid w:val="0BAE1B1C"/>
    <w:rsid w:val="0C0E7A39"/>
    <w:rsid w:val="0D1F336B"/>
    <w:rsid w:val="0DD6300D"/>
    <w:rsid w:val="0DDB4FA9"/>
    <w:rsid w:val="0DE03378"/>
    <w:rsid w:val="0E2B2918"/>
    <w:rsid w:val="0E7D4BEE"/>
    <w:rsid w:val="0E9A33AE"/>
    <w:rsid w:val="0EE408D5"/>
    <w:rsid w:val="0EF71738"/>
    <w:rsid w:val="0F655FB1"/>
    <w:rsid w:val="0FCD31DE"/>
    <w:rsid w:val="100C2663"/>
    <w:rsid w:val="100D7D1E"/>
    <w:rsid w:val="107F782F"/>
    <w:rsid w:val="11094D4C"/>
    <w:rsid w:val="111C3487"/>
    <w:rsid w:val="117B3ACB"/>
    <w:rsid w:val="11803E11"/>
    <w:rsid w:val="11B147AE"/>
    <w:rsid w:val="11F052D6"/>
    <w:rsid w:val="122A59BD"/>
    <w:rsid w:val="12761244"/>
    <w:rsid w:val="12A76E20"/>
    <w:rsid w:val="12B20277"/>
    <w:rsid w:val="147C4B0B"/>
    <w:rsid w:val="14BE5F44"/>
    <w:rsid w:val="15194B44"/>
    <w:rsid w:val="1546345F"/>
    <w:rsid w:val="15891CCA"/>
    <w:rsid w:val="15C55D50"/>
    <w:rsid w:val="15CC6A3A"/>
    <w:rsid w:val="15E907B0"/>
    <w:rsid w:val="15FD3A42"/>
    <w:rsid w:val="163F73D8"/>
    <w:rsid w:val="16C9AC94"/>
    <w:rsid w:val="17373E4C"/>
    <w:rsid w:val="17EEF9BF"/>
    <w:rsid w:val="18CD0120"/>
    <w:rsid w:val="19010B5E"/>
    <w:rsid w:val="193B6702"/>
    <w:rsid w:val="199865BF"/>
    <w:rsid w:val="1A321375"/>
    <w:rsid w:val="1AE6371B"/>
    <w:rsid w:val="1AEE8575"/>
    <w:rsid w:val="1B125BAC"/>
    <w:rsid w:val="1B150798"/>
    <w:rsid w:val="1B287E1F"/>
    <w:rsid w:val="1BDF427D"/>
    <w:rsid w:val="1C11583C"/>
    <w:rsid w:val="1C212338"/>
    <w:rsid w:val="1C634634"/>
    <w:rsid w:val="1C803DCB"/>
    <w:rsid w:val="1CA064D4"/>
    <w:rsid w:val="1CB60B01"/>
    <w:rsid w:val="1D0F0676"/>
    <w:rsid w:val="1D68505D"/>
    <w:rsid w:val="1DDF7107"/>
    <w:rsid w:val="1DF613D9"/>
    <w:rsid w:val="1E0D352E"/>
    <w:rsid w:val="1E1835F3"/>
    <w:rsid w:val="1E8E66B7"/>
    <w:rsid w:val="1EB5526B"/>
    <w:rsid w:val="1EF354FD"/>
    <w:rsid w:val="1F2703FC"/>
    <w:rsid w:val="1FB902AF"/>
    <w:rsid w:val="1FDB18A8"/>
    <w:rsid w:val="1FDF7FCD"/>
    <w:rsid w:val="1FF35677"/>
    <w:rsid w:val="207A470F"/>
    <w:rsid w:val="210B463E"/>
    <w:rsid w:val="21104AD5"/>
    <w:rsid w:val="212E710B"/>
    <w:rsid w:val="217106AC"/>
    <w:rsid w:val="21943D46"/>
    <w:rsid w:val="21D043CE"/>
    <w:rsid w:val="21F5556B"/>
    <w:rsid w:val="2288155B"/>
    <w:rsid w:val="22F94293"/>
    <w:rsid w:val="246B6A3F"/>
    <w:rsid w:val="255B6AC9"/>
    <w:rsid w:val="25DC07E7"/>
    <w:rsid w:val="267D6303"/>
    <w:rsid w:val="267E36E0"/>
    <w:rsid w:val="277D4073"/>
    <w:rsid w:val="27824BF7"/>
    <w:rsid w:val="278D7DFF"/>
    <w:rsid w:val="27A75FE0"/>
    <w:rsid w:val="27F7B3D6"/>
    <w:rsid w:val="28685886"/>
    <w:rsid w:val="289C1037"/>
    <w:rsid w:val="28B05A59"/>
    <w:rsid w:val="28B97D6A"/>
    <w:rsid w:val="28F10DEC"/>
    <w:rsid w:val="29572F1C"/>
    <w:rsid w:val="29D12225"/>
    <w:rsid w:val="2A3D0E7D"/>
    <w:rsid w:val="2A675B61"/>
    <w:rsid w:val="2A9F4381"/>
    <w:rsid w:val="2AD35F6A"/>
    <w:rsid w:val="2B337D29"/>
    <w:rsid w:val="2B746879"/>
    <w:rsid w:val="2BC4E4FA"/>
    <w:rsid w:val="2BDFA08F"/>
    <w:rsid w:val="2BE17618"/>
    <w:rsid w:val="2C7C3FCF"/>
    <w:rsid w:val="2C8972E8"/>
    <w:rsid w:val="2D126703"/>
    <w:rsid w:val="2D653220"/>
    <w:rsid w:val="2D7E4089"/>
    <w:rsid w:val="2D7F3696"/>
    <w:rsid w:val="2D9178FC"/>
    <w:rsid w:val="2E0C4867"/>
    <w:rsid w:val="2E460B24"/>
    <w:rsid w:val="2EAEC9F1"/>
    <w:rsid w:val="2F1321AD"/>
    <w:rsid w:val="2F257996"/>
    <w:rsid w:val="2F5F1AD0"/>
    <w:rsid w:val="2F79B7FF"/>
    <w:rsid w:val="2F8A7425"/>
    <w:rsid w:val="2FB11BF0"/>
    <w:rsid w:val="30C85830"/>
    <w:rsid w:val="30F50996"/>
    <w:rsid w:val="30FC548F"/>
    <w:rsid w:val="31286E31"/>
    <w:rsid w:val="32C21E80"/>
    <w:rsid w:val="32CC4585"/>
    <w:rsid w:val="32D833CC"/>
    <w:rsid w:val="32FF0045"/>
    <w:rsid w:val="33222F79"/>
    <w:rsid w:val="33446C47"/>
    <w:rsid w:val="337D6FDA"/>
    <w:rsid w:val="337E48D0"/>
    <w:rsid w:val="338D7B37"/>
    <w:rsid w:val="33D632D4"/>
    <w:rsid w:val="33ED121E"/>
    <w:rsid w:val="341337CB"/>
    <w:rsid w:val="347E7F55"/>
    <w:rsid w:val="34983880"/>
    <w:rsid w:val="34D33B5B"/>
    <w:rsid w:val="35DEB453"/>
    <w:rsid w:val="35F452AD"/>
    <w:rsid w:val="35FA18FA"/>
    <w:rsid w:val="35FDA9A0"/>
    <w:rsid w:val="36057C4F"/>
    <w:rsid w:val="369D7621"/>
    <w:rsid w:val="36D13079"/>
    <w:rsid w:val="36EFD636"/>
    <w:rsid w:val="36F42249"/>
    <w:rsid w:val="370B5D0C"/>
    <w:rsid w:val="372DF4E4"/>
    <w:rsid w:val="373B347C"/>
    <w:rsid w:val="37540AA2"/>
    <w:rsid w:val="37CEC8E3"/>
    <w:rsid w:val="37EFC505"/>
    <w:rsid w:val="38073074"/>
    <w:rsid w:val="383A64FE"/>
    <w:rsid w:val="38E87BC9"/>
    <w:rsid w:val="392320EF"/>
    <w:rsid w:val="392F64B6"/>
    <w:rsid w:val="3953468E"/>
    <w:rsid w:val="3997BC09"/>
    <w:rsid w:val="39FBDF40"/>
    <w:rsid w:val="3A296FBE"/>
    <w:rsid w:val="3A49346A"/>
    <w:rsid w:val="3AB63421"/>
    <w:rsid w:val="3AF7C7FE"/>
    <w:rsid w:val="3B3C48E8"/>
    <w:rsid w:val="3B6F22B3"/>
    <w:rsid w:val="3B7C21DC"/>
    <w:rsid w:val="3B9E1077"/>
    <w:rsid w:val="3BAF13BF"/>
    <w:rsid w:val="3BB64A76"/>
    <w:rsid w:val="3BE65550"/>
    <w:rsid w:val="3BF533B1"/>
    <w:rsid w:val="3BF64AAD"/>
    <w:rsid w:val="3BFF7820"/>
    <w:rsid w:val="3BFF8763"/>
    <w:rsid w:val="3BFFEA80"/>
    <w:rsid w:val="3C02752B"/>
    <w:rsid w:val="3C271159"/>
    <w:rsid w:val="3C9D1F87"/>
    <w:rsid w:val="3CEA23BD"/>
    <w:rsid w:val="3D366A4A"/>
    <w:rsid w:val="3D4476E5"/>
    <w:rsid w:val="3D49013B"/>
    <w:rsid w:val="3D6E79D2"/>
    <w:rsid w:val="3D7D2179"/>
    <w:rsid w:val="3DB70AD3"/>
    <w:rsid w:val="3DDD6D33"/>
    <w:rsid w:val="3DFD8960"/>
    <w:rsid w:val="3DFF6A48"/>
    <w:rsid w:val="3E0D90E0"/>
    <w:rsid w:val="3E4FDD81"/>
    <w:rsid w:val="3F2FF45A"/>
    <w:rsid w:val="3F4B2142"/>
    <w:rsid w:val="3F4EFA06"/>
    <w:rsid w:val="3F67181A"/>
    <w:rsid w:val="3F6FB961"/>
    <w:rsid w:val="3F7AE3C0"/>
    <w:rsid w:val="3F841762"/>
    <w:rsid w:val="3FAE82D2"/>
    <w:rsid w:val="3FB9CFD9"/>
    <w:rsid w:val="3FC43BC9"/>
    <w:rsid w:val="3FDD800F"/>
    <w:rsid w:val="3FDF0E39"/>
    <w:rsid w:val="3FDFD8B7"/>
    <w:rsid w:val="3FE0CCD5"/>
    <w:rsid w:val="3FE2218B"/>
    <w:rsid w:val="3FF74EEE"/>
    <w:rsid w:val="3FFA062E"/>
    <w:rsid w:val="3FFDF18F"/>
    <w:rsid w:val="3FFF356A"/>
    <w:rsid w:val="3FFF4E45"/>
    <w:rsid w:val="3FFF89BB"/>
    <w:rsid w:val="40360E64"/>
    <w:rsid w:val="408C4C8F"/>
    <w:rsid w:val="413B40E9"/>
    <w:rsid w:val="414E51F3"/>
    <w:rsid w:val="41B10AC2"/>
    <w:rsid w:val="41D95413"/>
    <w:rsid w:val="4259386D"/>
    <w:rsid w:val="431866C6"/>
    <w:rsid w:val="434D3B25"/>
    <w:rsid w:val="438F73C5"/>
    <w:rsid w:val="43C5EFCC"/>
    <w:rsid w:val="43D44955"/>
    <w:rsid w:val="44585D35"/>
    <w:rsid w:val="445B21D4"/>
    <w:rsid w:val="44FA1861"/>
    <w:rsid w:val="45453B9B"/>
    <w:rsid w:val="466E52B3"/>
    <w:rsid w:val="46CA7E9E"/>
    <w:rsid w:val="46F65E21"/>
    <w:rsid w:val="4744128D"/>
    <w:rsid w:val="47504770"/>
    <w:rsid w:val="47921C09"/>
    <w:rsid w:val="47D479C8"/>
    <w:rsid w:val="47EE1D62"/>
    <w:rsid w:val="47F1197B"/>
    <w:rsid w:val="48E56A2C"/>
    <w:rsid w:val="495E4CB3"/>
    <w:rsid w:val="497B4A43"/>
    <w:rsid w:val="498E1E37"/>
    <w:rsid w:val="49EFCEA3"/>
    <w:rsid w:val="4A064368"/>
    <w:rsid w:val="4A2F5D4E"/>
    <w:rsid w:val="4AA05FC0"/>
    <w:rsid w:val="4AA20354"/>
    <w:rsid w:val="4ADB22A1"/>
    <w:rsid w:val="4AEC34B5"/>
    <w:rsid w:val="4B5005B9"/>
    <w:rsid w:val="4BFFDA48"/>
    <w:rsid w:val="4C1414C8"/>
    <w:rsid w:val="4C2067BE"/>
    <w:rsid w:val="4CB5461B"/>
    <w:rsid w:val="4CBC5762"/>
    <w:rsid w:val="4D100E7F"/>
    <w:rsid w:val="4D1F38CE"/>
    <w:rsid w:val="4DB766CD"/>
    <w:rsid w:val="4DB8CA2B"/>
    <w:rsid w:val="4E4D5452"/>
    <w:rsid w:val="4E8778D4"/>
    <w:rsid w:val="4EAF389A"/>
    <w:rsid w:val="4F5812B6"/>
    <w:rsid w:val="4F5A5B74"/>
    <w:rsid w:val="4F671238"/>
    <w:rsid w:val="4FB31116"/>
    <w:rsid w:val="4FBD4F30"/>
    <w:rsid w:val="4FE53972"/>
    <w:rsid w:val="503C68AA"/>
    <w:rsid w:val="50CE02B2"/>
    <w:rsid w:val="50E04BBA"/>
    <w:rsid w:val="50F95C4E"/>
    <w:rsid w:val="51086BB6"/>
    <w:rsid w:val="51326EB6"/>
    <w:rsid w:val="514D6B2E"/>
    <w:rsid w:val="516E5206"/>
    <w:rsid w:val="51EB103B"/>
    <w:rsid w:val="527926DA"/>
    <w:rsid w:val="52FB52AE"/>
    <w:rsid w:val="5358751C"/>
    <w:rsid w:val="53740B45"/>
    <w:rsid w:val="53C83586"/>
    <w:rsid w:val="548E6E95"/>
    <w:rsid w:val="54915733"/>
    <w:rsid w:val="54DE1417"/>
    <w:rsid w:val="5549276B"/>
    <w:rsid w:val="554F368F"/>
    <w:rsid w:val="556B45C1"/>
    <w:rsid w:val="55FF452A"/>
    <w:rsid w:val="56104FC2"/>
    <w:rsid w:val="56262319"/>
    <w:rsid w:val="56513061"/>
    <w:rsid w:val="569B2BBD"/>
    <w:rsid w:val="569C760E"/>
    <w:rsid w:val="569F7CC5"/>
    <w:rsid w:val="56FB12FA"/>
    <w:rsid w:val="57250B4B"/>
    <w:rsid w:val="57571CC6"/>
    <w:rsid w:val="576E2CC0"/>
    <w:rsid w:val="578A4B45"/>
    <w:rsid w:val="57FE5A6A"/>
    <w:rsid w:val="57FFABDC"/>
    <w:rsid w:val="58234BB9"/>
    <w:rsid w:val="584B08BD"/>
    <w:rsid w:val="58A67FE8"/>
    <w:rsid w:val="591FD123"/>
    <w:rsid w:val="596C0CB3"/>
    <w:rsid w:val="5A222771"/>
    <w:rsid w:val="5AD46575"/>
    <w:rsid w:val="5B146098"/>
    <w:rsid w:val="5B4A0DDA"/>
    <w:rsid w:val="5BC3325E"/>
    <w:rsid w:val="5BF1578E"/>
    <w:rsid w:val="5C193A65"/>
    <w:rsid w:val="5CF2576A"/>
    <w:rsid w:val="5CFFBE88"/>
    <w:rsid w:val="5DB911BC"/>
    <w:rsid w:val="5DE6657A"/>
    <w:rsid w:val="5DF5819D"/>
    <w:rsid w:val="5E7C376C"/>
    <w:rsid w:val="5E8D6361"/>
    <w:rsid w:val="5EA837C9"/>
    <w:rsid w:val="5EC02968"/>
    <w:rsid w:val="5EF71B2E"/>
    <w:rsid w:val="5F0E45BB"/>
    <w:rsid w:val="5F3DC737"/>
    <w:rsid w:val="5F5F5F0E"/>
    <w:rsid w:val="5F606F7D"/>
    <w:rsid w:val="5F6F27E6"/>
    <w:rsid w:val="5F7A91EA"/>
    <w:rsid w:val="5F8624F1"/>
    <w:rsid w:val="5F8D37B7"/>
    <w:rsid w:val="5F9B53A1"/>
    <w:rsid w:val="5FC50B3D"/>
    <w:rsid w:val="5FDB1D92"/>
    <w:rsid w:val="5FEA2932"/>
    <w:rsid w:val="5FEDC342"/>
    <w:rsid w:val="5FF23595"/>
    <w:rsid w:val="5FF35171"/>
    <w:rsid w:val="5FF60412"/>
    <w:rsid w:val="5FF65026"/>
    <w:rsid w:val="5FFFAC80"/>
    <w:rsid w:val="60124C12"/>
    <w:rsid w:val="60393A72"/>
    <w:rsid w:val="603A516E"/>
    <w:rsid w:val="60754B42"/>
    <w:rsid w:val="60B30F76"/>
    <w:rsid w:val="60C237D0"/>
    <w:rsid w:val="60C931D4"/>
    <w:rsid w:val="61572DAE"/>
    <w:rsid w:val="61AC78CC"/>
    <w:rsid w:val="620307DD"/>
    <w:rsid w:val="62176D39"/>
    <w:rsid w:val="62343ED9"/>
    <w:rsid w:val="62467BC8"/>
    <w:rsid w:val="63311331"/>
    <w:rsid w:val="63532FF1"/>
    <w:rsid w:val="63903516"/>
    <w:rsid w:val="63EC7FE2"/>
    <w:rsid w:val="63FC06B4"/>
    <w:rsid w:val="6444055B"/>
    <w:rsid w:val="644E7E74"/>
    <w:rsid w:val="647057FB"/>
    <w:rsid w:val="6478757A"/>
    <w:rsid w:val="647975EC"/>
    <w:rsid w:val="64A954DC"/>
    <w:rsid w:val="6502744D"/>
    <w:rsid w:val="65064292"/>
    <w:rsid w:val="650937C9"/>
    <w:rsid w:val="653E7284"/>
    <w:rsid w:val="65464BB6"/>
    <w:rsid w:val="65D97BA7"/>
    <w:rsid w:val="65DFA4BB"/>
    <w:rsid w:val="66010196"/>
    <w:rsid w:val="663A1AF8"/>
    <w:rsid w:val="66D03EF3"/>
    <w:rsid w:val="66FFC039"/>
    <w:rsid w:val="67480B1F"/>
    <w:rsid w:val="67596562"/>
    <w:rsid w:val="67AA3B19"/>
    <w:rsid w:val="67AB656F"/>
    <w:rsid w:val="67C15479"/>
    <w:rsid w:val="67CE48E7"/>
    <w:rsid w:val="67DA7FEE"/>
    <w:rsid w:val="67F32B26"/>
    <w:rsid w:val="69165C6D"/>
    <w:rsid w:val="693B6DFD"/>
    <w:rsid w:val="69551473"/>
    <w:rsid w:val="69627389"/>
    <w:rsid w:val="696D0284"/>
    <w:rsid w:val="6978C146"/>
    <w:rsid w:val="6AFFD4D3"/>
    <w:rsid w:val="6B0A723D"/>
    <w:rsid w:val="6B6E2CBD"/>
    <w:rsid w:val="6B777F18"/>
    <w:rsid w:val="6B79A76F"/>
    <w:rsid w:val="6BBE0DBA"/>
    <w:rsid w:val="6BBF2186"/>
    <w:rsid w:val="6BD12F95"/>
    <w:rsid w:val="6BDD5CD8"/>
    <w:rsid w:val="6BF1475D"/>
    <w:rsid w:val="6C075DAC"/>
    <w:rsid w:val="6C325657"/>
    <w:rsid w:val="6C6B2312"/>
    <w:rsid w:val="6CB46AE8"/>
    <w:rsid w:val="6CB60ACE"/>
    <w:rsid w:val="6CF94851"/>
    <w:rsid w:val="6D3C221B"/>
    <w:rsid w:val="6D7ECAAD"/>
    <w:rsid w:val="6DE7CE4B"/>
    <w:rsid w:val="6DF565CB"/>
    <w:rsid w:val="6DFED50D"/>
    <w:rsid w:val="6E453429"/>
    <w:rsid w:val="6E5A7A01"/>
    <w:rsid w:val="6EFFB660"/>
    <w:rsid w:val="6F294684"/>
    <w:rsid w:val="6F6F8BEC"/>
    <w:rsid w:val="6FA71920"/>
    <w:rsid w:val="6FA9BF99"/>
    <w:rsid w:val="6FF7860B"/>
    <w:rsid w:val="6FF7992D"/>
    <w:rsid w:val="6FFF247A"/>
    <w:rsid w:val="70611F6D"/>
    <w:rsid w:val="714675D6"/>
    <w:rsid w:val="715F666C"/>
    <w:rsid w:val="7167914E"/>
    <w:rsid w:val="7177133C"/>
    <w:rsid w:val="71CB4D56"/>
    <w:rsid w:val="71CD44E8"/>
    <w:rsid w:val="71EA0DE7"/>
    <w:rsid w:val="72166513"/>
    <w:rsid w:val="72606A84"/>
    <w:rsid w:val="72BB6DAD"/>
    <w:rsid w:val="72C305F0"/>
    <w:rsid w:val="7314021C"/>
    <w:rsid w:val="73221EA9"/>
    <w:rsid w:val="733A4EA6"/>
    <w:rsid w:val="737C9016"/>
    <w:rsid w:val="73A579AE"/>
    <w:rsid w:val="73B42CFD"/>
    <w:rsid w:val="73BDD73B"/>
    <w:rsid w:val="73C34AAB"/>
    <w:rsid w:val="73CFFE02"/>
    <w:rsid w:val="73FF6DDB"/>
    <w:rsid w:val="740B41CC"/>
    <w:rsid w:val="74B310ED"/>
    <w:rsid w:val="74C86784"/>
    <w:rsid w:val="74C96B93"/>
    <w:rsid w:val="74D1261A"/>
    <w:rsid w:val="754C32EF"/>
    <w:rsid w:val="75616B80"/>
    <w:rsid w:val="758B6266"/>
    <w:rsid w:val="75BF1117"/>
    <w:rsid w:val="75BFF44D"/>
    <w:rsid w:val="75F93477"/>
    <w:rsid w:val="761A6DB5"/>
    <w:rsid w:val="7670288E"/>
    <w:rsid w:val="767F5CD0"/>
    <w:rsid w:val="76DA085C"/>
    <w:rsid w:val="76FC257D"/>
    <w:rsid w:val="770C1377"/>
    <w:rsid w:val="775EF835"/>
    <w:rsid w:val="776F4ECF"/>
    <w:rsid w:val="7779BE38"/>
    <w:rsid w:val="777F12DD"/>
    <w:rsid w:val="77D38755"/>
    <w:rsid w:val="77DC18A8"/>
    <w:rsid w:val="77EB6883"/>
    <w:rsid w:val="77F75118"/>
    <w:rsid w:val="77FA470C"/>
    <w:rsid w:val="77FEC560"/>
    <w:rsid w:val="781F6771"/>
    <w:rsid w:val="78255199"/>
    <w:rsid w:val="786700B7"/>
    <w:rsid w:val="786B0AB7"/>
    <w:rsid w:val="78733EB0"/>
    <w:rsid w:val="788C3F57"/>
    <w:rsid w:val="78921B99"/>
    <w:rsid w:val="78BFEC86"/>
    <w:rsid w:val="791B3704"/>
    <w:rsid w:val="791E388B"/>
    <w:rsid w:val="79594C61"/>
    <w:rsid w:val="795D00B8"/>
    <w:rsid w:val="796B643A"/>
    <w:rsid w:val="797F92FA"/>
    <w:rsid w:val="798D76BC"/>
    <w:rsid w:val="79E00940"/>
    <w:rsid w:val="79E87DBE"/>
    <w:rsid w:val="79F9DA57"/>
    <w:rsid w:val="7A1C6403"/>
    <w:rsid w:val="7A7988CF"/>
    <w:rsid w:val="7A8A2F5E"/>
    <w:rsid w:val="7AAE7A61"/>
    <w:rsid w:val="7AB811A1"/>
    <w:rsid w:val="7AC95D67"/>
    <w:rsid w:val="7AE72BEC"/>
    <w:rsid w:val="7AF34313"/>
    <w:rsid w:val="7AF5498E"/>
    <w:rsid w:val="7AF76CC1"/>
    <w:rsid w:val="7B424F78"/>
    <w:rsid w:val="7B5BAF94"/>
    <w:rsid w:val="7B762783"/>
    <w:rsid w:val="7BCE2005"/>
    <w:rsid w:val="7BD587CA"/>
    <w:rsid w:val="7BDF6CE4"/>
    <w:rsid w:val="7BEA2C24"/>
    <w:rsid w:val="7BF5B145"/>
    <w:rsid w:val="7BF97A4A"/>
    <w:rsid w:val="7BFB630F"/>
    <w:rsid w:val="7BFF0BDB"/>
    <w:rsid w:val="7BFF47BD"/>
    <w:rsid w:val="7C1E72C4"/>
    <w:rsid w:val="7C5B42CF"/>
    <w:rsid w:val="7C5C2F75"/>
    <w:rsid w:val="7CF4E9C8"/>
    <w:rsid w:val="7D5176F5"/>
    <w:rsid w:val="7D824051"/>
    <w:rsid w:val="7D9667B8"/>
    <w:rsid w:val="7D9D3854"/>
    <w:rsid w:val="7DB3162D"/>
    <w:rsid w:val="7DBE7D6B"/>
    <w:rsid w:val="7DBF71B5"/>
    <w:rsid w:val="7DBF7645"/>
    <w:rsid w:val="7DE46888"/>
    <w:rsid w:val="7DFA1D19"/>
    <w:rsid w:val="7DFB2714"/>
    <w:rsid w:val="7E2B5206"/>
    <w:rsid w:val="7E341237"/>
    <w:rsid w:val="7E9B601A"/>
    <w:rsid w:val="7E9E710D"/>
    <w:rsid w:val="7EB5E7B0"/>
    <w:rsid w:val="7EBFF3D7"/>
    <w:rsid w:val="7EE24A62"/>
    <w:rsid w:val="7EED353C"/>
    <w:rsid w:val="7EFF31A0"/>
    <w:rsid w:val="7F3BA972"/>
    <w:rsid w:val="7F4DD6AD"/>
    <w:rsid w:val="7F565496"/>
    <w:rsid w:val="7F6D63DB"/>
    <w:rsid w:val="7F71A189"/>
    <w:rsid w:val="7F759C5B"/>
    <w:rsid w:val="7F7B572D"/>
    <w:rsid w:val="7F7BDD0F"/>
    <w:rsid w:val="7F7E0EE6"/>
    <w:rsid w:val="7F9D4FA1"/>
    <w:rsid w:val="7FAB3839"/>
    <w:rsid w:val="7FAB3D96"/>
    <w:rsid w:val="7FAFFCE2"/>
    <w:rsid w:val="7FB64187"/>
    <w:rsid w:val="7FBA455F"/>
    <w:rsid w:val="7FBEBD3B"/>
    <w:rsid w:val="7FBF1EB0"/>
    <w:rsid w:val="7FCF42A1"/>
    <w:rsid w:val="7FCF5FC9"/>
    <w:rsid w:val="7FD58920"/>
    <w:rsid w:val="7FDF3874"/>
    <w:rsid w:val="7FE7E89E"/>
    <w:rsid w:val="7FEEB066"/>
    <w:rsid w:val="7FEF5B90"/>
    <w:rsid w:val="7FF7EBBA"/>
    <w:rsid w:val="7FF9BFD1"/>
    <w:rsid w:val="7FFA3120"/>
    <w:rsid w:val="7FFB1E89"/>
    <w:rsid w:val="7FFDD19D"/>
    <w:rsid w:val="7FFF6D36"/>
    <w:rsid w:val="7FFF9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688BD"/>
  <w15:docId w15:val="{8E66A310-F374-444C-A3E1-089FD31A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qFormat="1"/>
    <w:lsdException w:name="footnote text" w:uiPriority="99" w:qFormat="1"/>
    <w:lsdException w:name="annotation text" w:qFormat="1"/>
    <w:lsdException w:name="header" w:qFormat="1"/>
    <w:lsdException w:name="footer" w:qFormat="1"/>
    <w:lsdException w:name="caption" w:uiPriority="35" w:unhideWhenUsed="1" w:qFormat="1"/>
    <w:lsdException w:name="envelope return" w:qFormat="1"/>
    <w:lsdException w:name="footnote reference" w:uiPriority="99" w:qFormat="1"/>
    <w:lsdException w:name="annotation reference" w:qFormat="1"/>
    <w:lsdException w:name="page number" w:qFormat="1"/>
    <w:lsdException w:name="List"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仿宋_GB2312" w:hAnsi="宋体"/>
      <w:snapToGrid w:val="0"/>
      <w:kern w:val="32"/>
      <w:sz w:val="32"/>
      <w:szCs w:val="32"/>
    </w:rPr>
  </w:style>
  <w:style w:type="paragraph" w:styleId="1">
    <w:name w:val="heading 1"/>
    <w:basedOn w:val="a"/>
    <w:next w:val="a"/>
    <w:qFormat/>
    <w:pPr>
      <w:jc w:val="left"/>
      <w:outlineLvl w:val="0"/>
    </w:pPr>
    <w:rPr>
      <w:rFonts w:ascii="黑体" w:eastAsia="黑体"/>
      <w:bCs/>
    </w:rPr>
  </w:style>
  <w:style w:type="paragraph" w:styleId="2">
    <w:name w:val="heading 2"/>
    <w:basedOn w:val="a"/>
    <w:next w:val="a"/>
    <w:qFormat/>
    <w:pPr>
      <w:outlineLvl w:val="1"/>
    </w:pPr>
    <w:rPr>
      <w:b/>
      <w:bCs/>
    </w:rPr>
  </w:style>
  <w:style w:type="paragraph" w:styleId="3">
    <w:name w:val="heading 3"/>
    <w:basedOn w:val="a"/>
    <w:next w:val="a"/>
    <w:qFormat/>
    <w:pPr>
      <w:adjustRightInd w:val="0"/>
      <w:snapToGrid w:val="0"/>
      <w:spacing w:line="336" w:lineRule="auto"/>
      <w:ind w:firstLineChars="200" w:firstLine="200"/>
      <w:outlineLvl w:val="2"/>
    </w:pPr>
    <w:rPr>
      <w:rFonts w:eastAsia="楷体_GB2312"/>
      <w:bCs/>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caption"/>
    <w:basedOn w:val="a"/>
    <w:next w:val="a"/>
    <w:uiPriority w:val="35"/>
    <w:unhideWhenUsed/>
    <w:qFormat/>
    <w:rPr>
      <w:rFonts w:ascii="Cambria" w:eastAsia="黑体" w:hAnsi="Cambria"/>
      <w:snapToGrid/>
      <w:kern w:val="2"/>
      <w:sz w:val="20"/>
      <w:szCs w:val="20"/>
    </w:rPr>
  </w:style>
  <w:style w:type="paragraph" w:styleId="a5">
    <w:name w:val="Document Map"/>
    <w:basedOn w:val="a"/>
    <w:qFormat/>
    <w:pPr>
      <w:shd w:val="clear" w:color="auto" w:fill="000080"/>
    </w:pPr>
  </w:style>
  <w:style w:type="paragraph" w:styleId="a6">
    <w:name w:val="annotation text"/>
    <w:basedOn w:val="a"/>
    <w:link w:val="a7"/>
    <w:qFormat/>
    <w:pPr>
      <w:jc w:val="left"/>
    </w:pPr>
    <w:rPr>
      <w:rFonts w:ascii="Times New Roman" w:eastAsia="宋体" w:hAnsi="Times New Roman"/>
      <w:snapToGrid/>
      <w:kern w:val="2"/>
      <w:sz w:val="21"/>
      <w:szCs w:val="20"/>
    </w:rPr>
  </w:style>
  <w:style w:type="paragraph" w:styleId="a8">
    <w:name w:val="Body Text"/>
    <w:basedOn w:val="a"/>
    <w:next w:val="a"/>
    <w:link w:val="a9"/>
    <w:qFormat/>
    <w:pPr>
      <w:spacing w:after="120"/>
    </w:pPr>
  </w:style>
  <w:style w:type="paragraph" w:styleId="aa">
    <w:name w:val="Body Text Indent"/>
    <w:basedOn w:val="a"/>
    <w:link w:val="ab"/>
    <w:qFormat/>
    <w:pPr>
      <w:ind w:left="570" w:hanging="30"/>
    </w:pPr>
    <w:rPr>
      <w:rFonts w:ascii="Times New Roman" w:eastAsia="宋体" w:hAnsi="Times New Roman"/>
      <w:snapToGrid/>
      <w:kern w:val="2"/>
      <w:sz w:val="28"/>
      <w:szCs w:val="20"/>
    </w:rPr>
  </w:style>
  <w:style w:type="paragraph" w:styleId="ac">
    <w:name w:val="Block Text"/>
    <w:basedOn w:val="a"/>
    <w:qFormat/>
    <w:pPr>
      <w:ind w:leftChars="-342" w:left="-718" w:rightChars="-244" w:right="-512"/>
      <w:jc w:val="center"/>
    </w:pPr>
    <w:rPr>
      <w:rFonts w:ascii="仿宋_GB2312"/>
      <w:snapToGrid/>
      <w:kern w:val="2"/>
      <w:sz w:val="44"/>
    </w:r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snapToGrid/>
      <w:kern w:val="0"/>
      <w:sz w:val="22"/>
      <w:szCs w:val="22"/>
    </w:rPr>
  </w:style>
  <w:style w:type="paragraph" w:styleId="ad">
    <w:name w:val="Plain Text"/>
    <w:basedOn w:val="a"/>
    <w:link w:val="ae"/>
    <w:qFormat/>
    <w:rPr>
      <w:rFonts w:eastAsia="宋体" w:hAnsi="Courier New" w:cs="Courier New"/>
      <w:kern w:val="2"/>
      <w:sz w:val="21"/>
      <w:szCs w:val="21"/>
    </w:rPr>
  </w:style>
  <w:style w:type="paragraph" w:styleId="af">
    <w:name w:val="Date"/>
    <w:basedOn w:val="a"/>
    <w:next w:val="a"/>
    <w:link w:val="af0"/>
    <w:qFormat/>
    <w:pPr>
      <w:ind w:leftChars="2500" w:left="100"/>
    </w:pPr>
  </w:style>
  <w:style w:type="paragraph" w:styleId="20">
    <w:name w:val="Body Text Indent 2"/>
    <w:basedOn w:val="a"/>
    <w:qFormat/>
    <w:pPr>
      <w:spacing w:after="120" w:line="480" w:lineRule="auto"/>
      <w:ind w:leftChars="200" w:left="420"/>
    </w:pPr>
    <w:rPr>
      <w:rFonts w:ascii="Times New Roman" w:hAnsi="Times New Roman"/>
      <w:snapToGrid/>
      <w:kern w:val="2"/>
      <w:szCs w:val="24"/>
    </w:rPr>
  </w:style>
  <w:style w:type="paragraph" w:styleId="af1">
    <w:name w:val="Balloon Text"/>
    <w:basedOn w:val="a"/>
    <w:qFormat/>
    <w:rPr>
      <w:sz w:val="18"/>
      <w:szCs w:val="18"/>
    </w:rPr>
  </w:style>
  <w:style w:type="paragraph" w:styleId="af2">
    <w:name w:val="footer"/>
    <w:basedOn w:val="a"/>
    <w:next w:val="a"/>
    <w:link w:val="af3"/>
    <w:qFormat/>
    <w:pPr>
      <w:tabs>
        <w:tab w:val="center" w:pos="4153"/>
        <w:tab w:val="right" w:pos="8306"/>
      </w:tabs>
      <w:snapToGrid w:val="0"/>
      <w:jc w:val="left"/>
    </w:pPr>
    <w:rPr>
      <w:sz w:val="18"/>
      <w:szCs w:val="18"/>
    </w:rPr>
  </w:style>
  <w:style w:type="paragraph" w:styleId="af4">
    <w:name w:val="envelope return"/>
    <w:basedOn w:val="a"/>
    <w:qFormat/>
    <w:pPr>
      <w:widowControl/>
      <w:jc w:val="left"/>
    </w:pPr>
    <w:rPr>
      <w:rFonts w:ascii="Garamond" w:eastAsia="宋体" w:hAnsi="Garamond"/>
      <w:snapToGrid/>
      <w:kern w:val="0"/>
      <w:sz w:val="24"/>
      <w:szCs w:val="20"/>
      <w:lang w:val="fr-CH" w:eastAsia="en-US"/>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630"/>
      </w:tabs>
      <w:jc w:val="center"/>
    </w:pPr>
    <w:rPr>
      <w:rFonts w:ascii="华文楷体" w:eastAsia="华文楷体" w:hAnsi="华文楷体"/>
      <w:b/>
      <w:snapToGrid/>
      <w:kern w:val="2"/>
      <w:sz w:val="36"/>
    </w:rPr>
  </w:style>
  <w:style w:type="paragraph" w:styleId="af7">
    <w:name w:val="List"/>
    <w:basedOn w:val="a8"/>
    <w:qFormat/>
    <w:pPr>
      <w:suppressAutoHyphens/>
      <w:spacing w:after="0" w:line="0" w:lineRule="atLeast"/>
      <w:jc w:val="center"/>
    </w:pPr>
    <w:rPr>
      <w:rFonts w:ascii="方正小标宋简体" w:eastAsia="方正小标宋简体" w:hAnsi="方正小标宋简体"/>
      <w:snapToGrid/>
      <w:kern w:val="1"/>
      <w:sz w:val="44"/>
      <w:szCs w:val="24"/>
    </w:rPr>
  </w:style>
  <w:style w:type="paragraph" w:styleId="af8">
    <w:name w:val="footnote text"/>
    <w:basedOn w:val="a"/>
    <w:uiPriority w:val="99"/>
    <w:qFormat/>
    <w:pPr>
      <w:snapToGrid w:val="0"/>
      <w:jc w:val="left"/>
    </w:pPr>
    <w:rPr>
      <w:sz w:val="18"/>
    </w:rPr>
  </w:style>
  <w:style w:type="paragraph" w:styleId="30">
    <w:name w:val="Body Text Indent 3"/>
    <w:basedOn w:val="a"/>
    <w:qFormat/>
    <w:pPr>
      <w:spacing w:after="120"/>
      <w:ind w:leftChars="200" w:left="420"/>
    </w:pPr>
    <w:rPr>
      <w:sz w:val="16"/>
      <w:szCs w:val="16"/>
    </w:rPr>
  </w:style>
  <w:style w:type="paragraph" w:styleId="TOC2">
    <w:name w:val="toc 2"/>
    <w:basedOn w:val="a"/>
    <w:next w:val="a"/>
    <w:uiPriority w:val="39"/>
    <w:unhideWhenUsed/>
    <w:qFormat/>
    <w:pPr>
      <w:ind w:leftChars="200" w:left="420"/>
    </w:pPr>
    <w:rPr>
      <w:rFonts w:ascii="Calibri" w:eastAsia="宋体" w:hAnsi="Calibri"/>
      <w:snapToGrid/>
      <w:kern w:val="2"/>
      <w:sz w:val="21"/>
      <w:szCs w:val="22"/>
    </w:rPr>
  </w:style>
  <w:style w:type="paragraph" w:styleId="21">
    <w:name w:val="Body Text 2"/>
    <w:basedOn w:val="a"/>
    <w:qFormat/>
    <w:pPr>
      <w:spacing w:after="120" w:line="480" w:lineRule="auto"/>
    </w:pPr>
    <w:rPr>
      <w:rFonts w:ascii="Times New Roman" w:eastAsia="宋体" w:hAnsi="Times New Roman"/>
      <w:snapToGrid/>
      <w:kern w:val="2"/>
      <w:sz w:val="21"/>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af9">
    <w:name w:val="Normal (Web)"/>
    <w:basedOn w:val="a"/>
    <w:qFormat/>
    <w:pPr>
      <w:widowControl/>
      <w:spacing w:before="100" w:beforeAutospacing="1"/>
      <w:jc w:val="center"/>
    </w:pPr>
    <w:rPr>
      <w:rFonts w:eastAsia="宋体"/>
      <w:snapToGrid/>
      <w:kern w:val="0"/>
      <w:sz w:val="24"/>
      <w:szCs w:val="24"/>
    </w:rPr>
  </w:style>
  <w:style w:type="paragraph" w:styleId="afa">
    <w:name w:val="Title"/>
    <w:basedOn w:val="a"/>
    <w:link w:val="afb"/>
    <w:qFormat/>
    <w:pPr>
      <w:spacing w:line="216" w:lineRule="auto"/>
      <w:jc w:val="center"/>
      <w:outlineLvl w:val="0"/>
    </w:pPr>
    <w:rPr>
      <w:rFonts w:ascii="方正小标宋简体" w:eastAsia="方正小标宋简体" w:hAnsi="Arial" w:cs="Arial"/>
      <w:bCs/>
      <w:kern w:val="44"/>
      <w:sz w:val="44"/>
      <w:szCs w:val="44"/>
    </w:rPr>
  </w:style>
  <w:style w:type="paragraph" w:styleId="afc">
    <w:name w:val="annotation subject"/>
    <w:basedOn w:val="a6"/>
    <w:next w:val="a6"/>
    <w:link w:val="afd"/>
    <w:qFormat/>
    <w:rPr>
      <w:rFonts w:ascii="宋体" w:eastAsia="仿宋_GB2312" w:hAnsi="宋体"/>
      <w:b/>
      <w:bCs/>
      <w:snapToGrid w:val="0"/>
      <w:kern w:val="32"/>
      <w:sz w:val="32"/>
      <w:szCs w:val="32"/>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qFormat/>
    <w:rPr>
      <w:color w:val="800080"/>
      <w:u w:val="single"/>
    </w:rPr>
  </w:style>
  <w:style w:type="character" w:styleId="aff2">
    <w:name w:val="Hyperlink"/>
    <w:basedOn w:val="a0"/>
    <w:qFormat/>
    <w:rPr>
      <w:color w:val="0000FF"/>
      <w:u w:val="single"/>
    </w:rPr>
  </w:style>
  <w:style w:type="character" w:styleId="aff3">
    <w:name w:val="annotation reference"/>
    <w:basedOn w:val="a0"/>
    <w:qFormat/>
    <w:rPr>
      <w:sz w:val="21"/>
      <w:szCs w:val="21"/>
    </w:rPr>
  </w:style>
  <w:style w:type="character" w:styleId="aff4">
    <w:name w:val="footnote reference"/>
    <w:basedOn w:val="a0"/>
    <w:uiPriority w:val="99"/>
    <w:qFormat/>
    <w:rPr>
      <w:vertAlign w:val="superscript"/>
    </w:rPr>
  </w:style>
  <w:style w:type="paragraph" w:customStyle="1" w:styleId="toc11">
    <w:name w:val="toc 11"/>
    <w:next w:val="a"/>
    <w:qFormat/>
    <w:pPr>
      <w:wordWrap w:val="0"/>
      <w:jc w:val="both"/>
    </w:pPr>
    <w:rPr>
      <w:sz w:val="21"/>
      <w:szCs w:val="22"/>
    </w:rPr>
  </w:style>
  <w:style w:type="paragraph" w:customStyle="1" w:styleId="TOC110">
    <w:name w:val="TOC 11"/>
    <w:next w:val="a"/>
    <w:qFormat/>
    <w:pPr>
      <w:wordWrap w:val="0"/>
      <w:jc w:val="both"/>
    </w:pPr>
    <w:rPr>
      <w:sz w:val="21"/>
      <w:szCs w:val="22"/>
    </w:rPr>
  </w:style>
  <w:style w:type="character" w:customStyle="1" w:styleId="ab">
    <w:name w:val="正文文本缩进 字符"/>
    <w:basedOn w:val="a0"/>
    <w:link w:val="aa"/>
    <w:qFormat/>
    <w:rPr>
      <w:rFonts w:eastAsia="宋体"/>
      <w:kern w:val="2"/>
      <w:sz w:val="28"/>
      <w:lang w:val="en-US" w:eastAsia="zh-CN" w:bidi="ar-SA"/>
    </w:rPr>
  </w:style>
  <w:style w:type="character" w:customStyle="1" w:styleId="ae">
    <w:name w:val="纯文本 字符"/>
    <w:basedOn w:val="a0"/>
    <w:link w:val="ad"/>
    <w:qFormat/>
    <w:rPr>
      <w:rFonts w:ascii="宋体" w:eastAsia="宋体" w:hAnsi="Courier New" w:cs="Courier New"/>
      <w:kern w:val="2"/>
      <w:sz w:val="21"/>
      <w:szCs w:val="21"/>
      <w:lang w:val="en-US" w:eastAsia="zh-CN" w:bidi="ar-SA"/>
    </w:rPr>
  </w:style>
  <w:style w:type="character" w:customStyle="1" w:styleId="af0">
    <w:name w:val="日期 字符"/>
    <w:basedOn w:val="a0"/>
    <w:link w:val="af"/>
    <w:semiHidden/>
    <w:qFormat/>
    <w:locked/>
    <w:rPr>
      <w:rFonts w:ascii="宋体" w:eastAsia="仿宋_GB2312" w:hAnsi="宋体"/>
      <w:snapToGrid w:val="0"/>
      <w:kern w:val="32"/>
      <w:sz w:val="32"/>
      <w:szCs w:val="32"/>
      <w:lang w:val="en-US" w:eastAsia="zh-CN" w:bidi="ar-SA"/>
    </w:rPr>
  </w:style>
  <w:style w:type="character" w:customStyle="1" w:styleId="af3">
    <w:name w:val="页脚 字符"/>
    <w:basedOn w:val="a0"/>
    <w:link w:val="af2"/>
    <w:semiHidden/>
    <w:qFormat/>
    <w:locked/>
    <w:rPr>
      <w:rFonts w:ascii="宋体" w:eastAsia="仿宋_GB2312" w:hAnsi="宋体"/>
      <w:snapToGrid w:val="0"/>
      <w:kern w:val="32"/>
      <w:sz w:val="18"/>
      <w:szCs w:val="18"/>
      <w:lang w:val="en-US" w:eastAsia="zh-CN" w:bidi="ar-SA"/>
    </w:rPr>
  </w:style>
  <w:style w:type="character" w:customStyle="1" w:styleId="af6">
    <w:name w:val="页眉 字符"/>
    <w:basedOn w:val="a0"/>
    <w:link w:val="af5"/>
    <w:semiHidden/>
    <w:qFormat/>
    <w:locked/>
    <w:rPr>
      <w:rFonts w:ascii="宋体" w:eastAsia="仿宋_GB2312" w:hAnsi="宋体"/>
      <w:snapToGrid w:val="0"/>
      <w:kern w:val="32"/>
      <w:sz w:val="18"/>
      <w:szCs w:val="18"/>
      <w:lang w:val="en-US" w:eastAsia="zh-CN" w:bidi="ar-SA"/>
    </w:rPr>
  </w:style>
  <w:style w:type="character" w:customStyle="1" w:styleId="HTML0">
    <w:name w:val="HTML 预设格式 字符"/>
    <w:link w:val="HTML"/>
    <w:qFormat/>
    <w:locked/>
    <w:rPr>
      <w:rFonts w:ascii="宋体" w:eastAsia="宋体" w:hAnsi="宋体"/>
      <w:sz w:val="24"/>
      <w:szCs w:val="24"/>
      <w:lang w:val="en-US" w:eastAsia="zh-CN" w:bidi="ar-SA"/>
    </w:rPr>
  </w:style>
  <w:style w:type="character" w:customStyle="1" w:styleId="afb">
    <w:name w:val="标题 字符"/>
    <w:basedOn w:val="a0"/>
    <w:link w:val="afa"/>
    <w:qFormat/>
    <w:locked/>
    <w:rPr>
      <w:rFonts w:ascii="方正小标宋简体" w:eastAsia="方正小标宋简体" w:hAnsi="Arial" w:cs="Arial"/>
      <w:bCs/>
      <w:snapToGrid w:val="0"/>
      <w:kern w:val="44"/>
      <w:sz w:val="44"/>
      <w:szCs w:val="44"/>
      <w:lang w:val="en-US" w:eastAsia="zh-CN" w:bidi="ar-SA"/>
    </w:rPr>
  </w:style>
  <w:style w:type="character" w:customStyle="1" w:styleId="heise12c">
    <w:name w:val="heise_12c"/>
    <w:basedOn w:val="a0"/>
    <w:qFormat/>
  </w:style>
  <w:style w:type="character" w:customStyle="1" w:styleId="content1">
    <w:name w:val="content1"/>
    <w:basedOn w:val="a0"/>
    <w:qFormat/>
    <w:rPr>
      <w:sz w:val="21"/>
      <w:szCs w:val="21"/>
    </w:rPr>
  </w:style>
  <w:style w:type="character" w:customStyle="1" w:styleId="PlainTextChar">
    <w:name w:val="Plain Text Char"/>
    <w:basedOn w:val="a0"/>
    <w:qFormat/>
    <w:rPr>
      <w:rFonts w:ascii="宋体" w:eastAsia="宋体" w:hAnsi="Courier New" w:cs="Courier New"/>
      <w:sz w:val="21"/>
      <w:szCs w:val="21"/>
    </w:rPr>
  </w:style>
  <w:style w:type="character" w:customStyle="1" w:styleId="apple-style-span">
    <w:name w:val="apple-style-span"/>
    <w:basedOn w:val="a0"/>
    <w:qFormat/>
  </w:style>
  <w:style w:type="character" w:customStyle="1" w:styleId="oalinshistyle21">
    <w:name w:val="oalinshistyle21"/>
    <w:basedOn w:val="a0"/>
    <w:qFormat/>
    <w:rPr>
      <w:rFonts w:ascii="Arial" w:hAnsi="Arial" w:cs="Arial" w:hint="default"/>
      <w:sz w:val="27"/>
      <w:szCs w:val="27"/>
    </w:rPr>
  </w:style>
  <w:style w:type="character" w:customStyle="1" w:styleId="bz12">
    <w:name w:val="bz_12"/>
    <w:basedOn w:val="a0"/>
    <w:qFormat/>
  </w:style>
  <w:style w:type="character" w:customStyle="1" w:styleId="font1">
    <w:name w:val="font1"/>
    <w:basedOn w:val="a0"/>
    <w:qFormat/>
    <w:rPr>
      <w:sz w:val="18"/>
      <w:szCs w:val="18"/>
    </w:rPr>
  </w:style>
  <w:style w:type="character" w:customStyle="1" w:styleId="1CharChar">
    <w:name w:val="样式1 Char Char"/>
    <w:basedOn w:val="a0"/>
    <w:link w:val="10"/>
    <w:qFormat/>
    <w:rPr>
      <w:rFonts w:ascii="方正小标宋简体" w:eastAsia="方正小标宋简体" w:hAnsi="Calibri"/>
      <w:kern w:val="2"/>
      <w:sz w:val="44"/>
      <w:szCs w:val="44"/>
      <w:lang w:val="en-US" w:eastAsia="zh-CN" w:bidi="ar-SA"/>
    </w:rPr>
  </w:style>
  <w:style w:type="paragraph" w:customStyle="1" w:styleId="10">
    <w:name w:val="样式1"/>
    <w:basedOn w:val="a"/>
    <w:link w:val="1CharChar"/>
    <w:qFormat/>
    <w:pPr>
      <w:jc w:val="center"/>
    </w:pPr>
    <w:rPr>
      <w:rFonts w:ascii="方正小标宋简体" w:eastAsia="方正小标宋简体" w:hAnsi="Calibri"/>
      <w:kern w:val="2"/>
      <w:sz w:val="44"/>
      <w:szCs w:val="44"/>
    </w:rPr>
  </w:style>
  <w:style w:type="paragraph" w:customStyle="1" w:styleId="ListParagraph1">
    <w:name w:val="List Paragraph1"/>
    <w:basedOn w:val="a"/>
    <w:qFormat/>
    <w:pPr>
      <w:ind w:firstLineChars="200" w:firstLine="420"/>
    </w:pPr>
    <w:rPr>
      <w:rFonts w:ascii="Calibri" w:eastAsia="宋体" w:hAnsi="Calibri" w:cs="Calibri"/>
      <w:snapToGrid/>
      <w:kern w:val="2"/>
      <w:sz w:val="21"/>
      <w:szCs w:val="21"/>
    </w:rPr>
  </w:style>
  <w:style w:type="paragraph" w:customStyle="1" w:styleId="Char1CharCharChar">
    <w:name w:val="Char1 Char Char Char"/>
    <w:basedOn w:val="a"/>
    <w:qFormat/>
  </w:style>
  <w:style w:type="paragraph" w:customStyle="1" w:styleId="11">
    <w:name w:val="无间隔1"/>
    <w:qFormat/>
    <w:pPr>
      <w:widowControl w:val="0"/>
      <w:jc w:val="both"/>
    </w:pPr>
    <w:rPr>
      <w:rFonts w:ascii="Calibri" w:hAnsi="Calibri"/>
      <w:kern w:val="2"/>
      <w:sz w:val="21"/>
      <w:szCs w:val="22"/>
    </w:rPr>
  </w:style>
  <w:style w:type="paragraph" w:customStyle="1" w:styleId="Char1CharCharChar1">
    <w:name w:val="Char1 Char Char Char1"/>
    <w:basedOn w:val="a"/>
    <w:qFormat/>
    <w:rPr>
      <w:rFonts w:ascii="Tahoma" w:eastAsia="宋体" w:hAnsi="Tahoma"/>
      <w:snapToGrid/>
      <w:kern w:val="2"/>
      <w:sz w:val="24"/>
      <w:szCs w:val="20"/>
    </w:rPr>
  </w:style>
  <w:style w:type="paragraph" w:customStyle="1" w:styleId="CharCharCharCharCharCharChar">
    <w:name w:val="样式 正文缩进正文（首行缩进两字）正文（首行缩进两字） Char Char Char Char Char Char Char..."/>
    <w:basedOn w:val="a3"/>
    <w:qFormat/>
    <w:pPr>
      <w:spacing w:line="312" w:lineRule="auto"/>
      <w:ind w:firstLineChars="0" w:firstLine="539"/>
    </w:pPr>
    <w:rPr>
      <w:rFonts w:ascii="Times New Roman" w:eastAsia="宋体" w:hAnsi="Times New Roman" w:cs="宋体"/>
      <w:snapToGrid/>
      <w:kern w:val="2"/>
      <w:sz w:val="28"/>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rFonts w:ascii="Times New Roman" w:eastAsia="宋体" w:hAnsi="Times New Roman"/>
      <w:snapToGrid/>
      <w:kern w:val="2"/>
      <w:sz w:val="21"/>
      <w:szCs w:val="20"/>
    </w:rPr>
  </w:style>
  <w:style w:type="paragraph" w:customStyle="1" w:styleId="aff5">
    <w:name w:val="规划正文"/>
    <w:basedOn w:val="a"/>
    <w:qFormat/>
    <w:pPr>
      <w:spacing w:afterLines="50" w:after="156" w:line="480" w:lineRule="exact"/>
      <w:ind w:firstLineChars="200" w:firstLine="200"/>
    </w:pPr>
    <w:rPr>
      <w:rFonts w:ascii="仿宋_GB2312" w:hAnsi="Times New Roman"/>
      <w:snapToGrid/>
      <w:kern w:val="2"/>
      <w:sz w:val="30"/>
      <w:szCs w:val="30"/>
    </w:rPr>
  </w:style>
  <w:style w:type="paragraph" w:customStyle="1" w:styleId="113125">
    <w:name w:val="样式 三号 首行缩进:  1.13 厘米 行距: 多倍行距 1.25 字行"/>
    <w:basedOn w:val="a"/>
    <w:qFormat/>
    <w:pPr>
      <w:adjustRightInd w:val="0"/>
      <w:snapToGrid w:val="0"/>
      <w:spacing w:line="360" w:lineRule="auto"/>
      <w:ind w:firstLineChars="200" w:firstLine="200"/>
    </w:pPr>
    <w:rPr>
      <w:rFonts w:ascii="Times New Roman" w:hAnsi="Times New Roman"/>
      <w:snapToGrid/>
      <w:kern w:val="2"/>
    </w:rPr>
  </w:style>
  <w:style w:type="paragraph" w:customStyle="1" w:styleId="CharChar2Char">
    <w:name w:val="Char Char2 Char"/>
    <w:basedOn w:val="a"/>
    <w:qFormat/>
    <w:rPr>
      <w:rFonts w:eastAsia="宋体" w:cs="Courier New"/>
      <w:snapToGrid/>
      <w:kern w:val="2"/>
    </w:rPr>
  </w:style>
  <w:style w:type="paragraph" w:customStyle="1" w:styleId="aff6">
    <w:name w:val="封面副标题"/>
    <w:qFormat/>
    <w:pPr>
      <w:adjustRightInd w:val="0"/>
      <w:snapToGrid w:val="0"/>
      <w:spacing w:beforeLines="50" w:before="156" w:line="360" w:lineRule="auto"/>
      <w:jc w:val="center"/>
    </w:pPr>
    <w:rPr>
      <w:rFonts w:eastAsia="黑体"/>
      <w:b/>
      <w:snapToGrid w:val="0"/>
      <w:spacing w:val="20"/>
      <w:sz w:val="52"/>
    </w:rPr>
  </w:style>
  <w:style w:type="paragraph" w:customStyle="1" w:styleId="ddddd">
    <w:name w:val="ddddd"/>
    <w:basedOn w:val="a"/>
    <w:qFormat/>
    <w:pPr>
      <w:pageBreakBefore/>
    </w:pPr>
    <w:rPr>
      <w:rFonts w:ascii="Times New Roman" w:eastAsia="宋体" w:hAnsi="Times New Roman"/>
      <w:snapToGrid/>
      <w:kern w:val="2"/>
      <w:sz w:val="21"/>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ascii="Tahoma" w:eastAsia="宋体" w:hAnsi="Tahoma"/>
      <w:b/>
      <w:snapToGrid/>
      <w:kern w:val="2"/>
      <w:sz w:val="24"/>
      <w:szCs w:val="24"/>
    </w:rPr>
  </w:style>
  <w:style w:type="paragraph" w:customStyle="1" w:styleId="aff7">
    <w:name w:val="封面标准名称"/>
    <w:qFormat/>
    <w:pPr>
      <w:widowControl w:val="0"/>
      <w:spacing w:line="680" w:lineRule="exact"/>
      <w:jc w:val="center"/>
      <w:textAlignment w:val="center"/>
    </w:pPr>
    <w:rPr>
      <w:rFonts w:ascii="黑体" w:eastAsia="黑体"/>
      <w:sz w:val="52"/>
    </w:rPr>
  </w:style>
  <w:style w:type="paragraph" w:customStyle="1" w:styleId="CharChar1">
    <w:name w:val="Char Char1"/>
    <w:basedOn w:val="a5"/>
    <w:qFormat/>
    <w:rPr>
      <w:rFonts w:ascii="Tahoma" w:eastAsia="宋体" w:hAnsi="Tahoma"/>
      <w:snapToGrid/>
      <w:kern w:val="2"/>
      <w:sz w:val="24"/>
      <w:szCs w:val="24"/>
    </w:rPr>
  </w:style>
  <w:style w:type="paragraph" w:customStyle="1" w:styleId="CharCharCharChar">
    <w:name w:val="Char Char Char Char"/>
    <w:basedOn w:val="a"/>
    <w:qFormat/>
    <w:rPr>
      <w:rFonts w:ascii="Times New Roman" w:eastAsia="宋体" w:hAnsi="Times New Roman"/>
      <w:snapToGrid/>
      <w:kern w:val="2"/>
      <w:sz w:val="21"/>
      <w:szCs w:val="24"/>
    </w:rPr>
  </w:style>
  <w:style w:type="paragraph" w:customStyle="1" w:styleId="aff8">
    <w:name w:val="首信标准正文"/>
    <w:basedOn w:val="a"/>
    <w:qFormat/>
    <w:pPr>
      <w:spacing w:line="360" w:lineRule="auto"/>
    </w:pPr>
    <w:rPr>
      <w:rFonts w:ascii="Tahoma" w:eastAsia="宋体" w:hAnsi="Tahoma"/>
      <w:snapToGrid/>
      <w:kern w:val="2"/>
      <w:sz w:val="24"/>
      <w:szCs w:val="20"/>
    </w:rPr>
  </w:style>
  <w:style w:type="paragraph" w:customStyle="1" w:styleId="ParaCharCharChar2CharCharCharCharCharCharCharCharCharChar">
    <w:name w:val="默认段落字体 Para Char Char Char2 Char Char Char Char Char Char Char Char Char Char"/>
    <w:basedOn w:val="a"/>
    <w:qFormat/>
    <w:rPr>
      <w:rFonts w:eastAsia="宋体" w:cs="Courier New"/>
      <w:snapToGrid/>
      <w:kern w:val="2"/>
    </w:rPr>
  </w:style>
  <w:style w:type="paragraph" w:customStyle="1" w:styleId="Char">
    <w:name w:val="Char"/>
    <w:basedOn w:val="a"/>
    <w:qFormat/>
    <w:pPr>
      <w:widowControl/>
      <w:spacing w:after="160" w:line="240" w:lineRule="exact"/>
      <w:jc w:val="left"/>
    </w:pPr>
    <w:rPr>
      <w:rFonts w:ascii="Verdana" w:hAnsi="Verdana"/>
      <w:snapToGrid/>
      <w:kern w:val="0"/>
      <w:sz w:val="24"/>
      <w:szCs w:val="20"/>
      <w:lang w:eastAsia="en-US"/>
    </w:rPr>
  </w:style>
  <w:style w:type="paragraph" w:customStyle="1" w:styleId="CharCharCharCharCharCharCharCharCharChar">
    <w:name w:val="Char Char Char Char Char Char Char Char Char Char"/>
    <w:basedOn w:val="a"/>
    <w:qFormat/>
    <w:rPr>
      <w:rFonts w:ascii="Tahoma" w:eastAsia="宋体" w:hAnsi="Tahoma"/>
      <w:snapToGrid/>
      <w:kern w:val="2"/>
      <w:sz w:val="24"/>
      <w:szCs w:val="20"/>
    </w:rPr>
  </w:style>
  <w:style w:type="paragraph" w:customStyle="1" w:styleId="cjk">
    <w:name w:val="cjk"/>
    <w:basedOn w:val="a"/>
    <w:qFormat/>
    <w:pPr>
      <w:widowControl/>
      <w:spacing w:before="100" w:beforeAutospacing="1"/>
      <w:jc w:val="center"/>
    </w:pPr>
    <w:rPr>
      <w:rFonts w:eastAsia="宋体"/>
      <w:b/>
      <w:bCs/>
      <w:snapToGrid/>
      <w:kern w:val="0"/>
    </w:rPr>
  </w:style>
  <w:style w:type="paragraph" w:customStyle="1" w:styleId="CharCharCharChar1">
    <w:name w:val="Char Char Char Char1"/>
    <w:basedOn w:val="a"/>
    <w:qFormat/>
    <w:pPr>
      <w:adjustRightInd w:val="0"/>
      <w:spacing w:line="360" w:lineRule="auto"/>
    </w:pPr>
    <w:rPr>
      <w:rFonts w:ascii="Times New Roman" w:eastAsia="宋体" w:hAnsi="Times New Roman"/>
      <w:snapToGrid/>
      <w:kern w:val="0"/>
      <w:sz w:val="24"/>
      <w:szCs w:val="20"/>
    </w:rPr>
  </w:style>
  <w:style w:type="paragraph" w:customStyle="1" w:styleId="12">
    <w:name w:val="列表段落1"/>
    <w:basedOn w:val="a"/>
    <w:qFormat/>
    <w:pPr>
      <w:ind w:firstLineChars="200" w:firstLine="420"/>
    </w:pPr>
    <w:rPr>
      <w:rFonts w:ascii="Calibri" w:eastAsia="宋体" w:hAnsi="Calibri"/>
      <w:snapToGrid/>
      <w:kern w:val="2"/>
      <w:sz w:val="21"/>
      <w:szCs w:val="22"/>
    </w:rPr>
  </w:style>
  <w:style w:type="paragraph" w:customStyle="1" w:styleId="aff9">
    <w:name w:val="正文（基准，首行不缩进）"/>
    <w:qFormat/>
    <w:pPr>
      <w:widowControl w:val="0"/>
      <w:autoSpaceDE w:val="0"/>
      <w:autoSpaceDN w:val="0"/>
      <w:adjustRightInd w:val="0"/>
      <w:jc w:val="both"/>
    </w:pPr>
    <w:rPr>
      <w:sz w:val="21"/>
    </w:rPr>
  </w:style>
  <w:style w:type="paragraph" w:customStyle="1" w:styleId="WW-2">
    <w:name w:val="WW-正文文字缩进 2"/>
    <w:basedOn w:val="a"/>
    <w:qFormat/>
    <w:pPr>
      <w:suppressAutoHyphens/>
      <w:spacing w:line="276" w:lineRule="auto"/>
      <w:ind w:firstLine="630"/>
    </w:pPr>
    <w:rPr>
      <w:rFonts w:ascii="楷体_GB2312" w:eastAsia="宋体" w:hAnsi="楷体_GB2312"/>
      <w:snapToGrid/>
      <w:kern w:val="1"/>
      <w:szCs w:val="20"/>
    </w:rPr>
  </w:style>
  <w:style w:type="paragraph" w:customStyle="1" w:styleId="Char11">
    <w:name w:val="Char11"/>
    <w:basedOn w:val="a"/>
    <w:qFormat/>
    <w:rPr>
      <w:rFonts w:eastAsia="宋体" w:cs="Courier New"/>
      <w:snapToGrid/>
      <w:kern w:val="2"/>
    </w:rPr>
  </w:style>
  <w:style w:type="paragraph" w:customStyle="1" w:styleId="CharCharCharCharCharChar">
    <w:name w:val="Char Char Char Char Char Char"/>
    <w:basedOn w:val="a"/>
    <w:qFormat/>
    <w:pPr>
      <w:widowControl/>
      <w:spacing w:after="160" w:line="240" w:lineRule="exact"/>
      <w:jc w:val="left"/>
    </w:pPr>
    <w:rPr>
      <w:rFonts w:ascii="Arial" w:eastAsia="Times New Roman" w:hAnsi="Arial" w:cs="Verdana"/>
      <w:b/>
      <w:snapToGrid/>
      <w:kern w:val="0"/>
      <w:sz w:val="24"/>
      <w:szCs w:val="20"/>
      <w:lang w:eastAsia="en-US"/>
    </w:rPr>
  </w:style>
  <w:style w:type="paragraph" w:customStyle="1" w:styleId="CharCharCharCharCharCharCharCharCharCharCharCharChar">
    <w:name w:val="Char Char Char Char Char Char Char Char Char Char Char Char Char"/>
    <w:basedOn w:val="a"/>
    <w:qFormat/>
    <w:rPr>
      <w:rFonts w:ascii="Tahoma" w:eastAsia="宋体" w:hAnsi="Tahoma"/>
      <w:snapToGrid/>
      <w:kern w:val="2"/>
      <w:sz w:val="24"/>
      <w:szCs w:val="20"/>
    </w:rPr>
  </w:style>
  <w:style w:type="paragraph" w:customStyle="1" w:styleId="Char2CharCharCharCharCharChar">
    <w:name w:val="Char2 Char Char Char Char Char Char"/>
    <w:basedOn w:val="a"/>
    <w:qFormat/>
    <w:pPr>
      <w:snapToGrid w:val="0"/>
      <w:spacing w:line="360" w:lineRule="auto"/>
      <w:ind w:firstLineChars="200" w:firstLine="200"/>
    </w:pPr>
    <w:rPr>
      <w:rFonts w:ascii="Times New Roman" w:hAnsi="Times New Roman"/>
      <w:snapToGrid/>
      <w:kern w:val="2"/>
      <w:sz w:val="24"/>
      <w:szCs w:val="24"/>
    </w:rPr>
  </w:style>
  <w:style w:type="paragraph" w:customStyle="1" w:styleId="CharCharCharCharCharCharChar0">
    <w:name w:val="Char Char Char Char Char Char Char"/>
    <w:basedOn w:val="a"/>
    <w:qFormat/>
    <w:rPr>
      <w:rFonts w:eastAsia="宋体" w:cs="Courier New"/>
      <w:snapToGrid/>
      <w:kern w:val="2"/>
    </w:rPr>
  </w:style>
  <w:style w:type="paragraph" w:customStyle="1" w:styleId="CharCharCharCharCharCharCharCharCharCharCharCharCharCharCharChar">
    <w:name w:val="Char Char Char Char Char Char Char Char Char Char Char Char Char Char Char Char"/>
    <w:basedOn w:val="a"/>
    <w:qFormat/>
    <w:pPr>
      <w:jc w:val="center"/>
    </w:pPr>
    <w:rPr>
      <w:rFonts w:ascii="Tahoma" w:eastAsia="宋体" w:hAnsi="Tahoma"/>
      <w:snapToGrid/>
      <w:kern w:val="2"/>
      <w:sz w:val="24"/>
      <w:szCs w:val="20"/>
    </w:rPr>
  </w:style>
  <w:style w:type="paragraph" w:customStyle="1" w:styleId="Char1">
    <w:name w:val="Char1"/>
    <w:basedOn w:val="a"/>
    <w:qFormat/>
    <w:rPr>
      <w:rFonts w:ascii="Tahoma" w:eastAsia="宋体" w:hAnsi="Tahoma"/>
      <w:snapToGrid/>
      <w:kern w:val="2"/>
      <w:sz w:val="24"/>
      <w:szCs w:val="20"/>
    </w:rPr>
  </w:style>
  <w:style w:type="paragraph" w:customStyle="1" w:styleId="ParaCharCharCharChar">
    <w:name w:val="默认段落字体 Para Char Char Char Char"/>
    <w:basedOn w:val="a"/>
    <w:qFormat/>
    <w:rPr>
      <w:rFonts w:ascii="Times New Roman" w:eastAsia="宋体" w:hAnsi="Times New Roman"/>
      <w:snapToGrid/>
      <w:kern w:val="2"/>
      <w:sz w:val="21"/>
      <w:szCs w:val="24"/>
    </w:rPr>
  </w:style>
  <w:style w:type="paragraph" w:customStyle="1" w:styleId="msolistparagraph0">
    <w:name w:val="msolistparagraph"/>
    <w:basedOn w:val="a"/>
    <w:qFormat/>
    <w:pPr>
      <w:widowControl/>
      <w:spacing w:before="100" w:beforeAutospacing="1" w:after="100" w:afterAutospacing="1"/>
      <w:jc w:val="left"/>
    </w:pPr>
    <w:rPr>
      <w:rFonts w:eastAsia="宋体" w:cs="宋体"/>
      <w:snapToGrid/>
      <w:kern w:val="0"/>
      <w:sz w:val="24"/>
      <w:szCs w:val="24"/>
    </w:rPr>
  </w:style>
  <w:style w:type="character" w:customStyle="1" w:styleId="content">
    <w:name w:val="content"/>
    <w:basedOn w:val="a0"/>
    <w:qFormat/>
  </w:style>
  <w:style w:type="paragraph" w:customStyle="1" w:styleId="affa">
    <w:name w:val="主题词"/>
    <w:basedOn w:val="a"/>
    <w:qFormat/>
    <w:pPr>
      <w:jc w:val="left"/>
    </w:pPr>
    <w:rPr>
      <w:rFonts w:ascii="Times New Roman" w:eastAsia="宋体" w:hAnsi="Times New Roman"/>
      <w:snapToGrid/>
      <w:kern w:val="2"/>
      <w:szCs w:val="20"/>
    </w:rPr>
  </w:style>
  <w:style w:type="paragraph" w:customStyle="1" w:styleId="affb">
    <w:name w:val="我的正文"/>
    <w:basedOn w:val="a"/>
    <w:qFormat/>
    <w:pPr>
      <w:ind w:firstLineChars="200" w:firstLine="200"/>
    </w:pPr>
    <w:rPr>
      <w:rFonts w:ascii="Calibri" w:eastAsia="宋体" w:hAnsi="Calibri"/>
      <w:snapToGrid/>
      <w:kern w:val="2"/>
      <w:sz w:val="24"/>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cxspmiddle">
    <w:name w:val="msonormalcxspmiddle"/>
    <w:basedOn w:val="a"/>
    <w:qFormat/>
    <w:pPr>
      <w:widowControl/>
      <w:spacing w:before="100" w:beforeAutospacing="1" w:after="100" w:afterAutospacing="1"/>
      <w:jc w:val="left"/>
    </w:pPr>
    <w:rPr>
      <w:rFonts w:eastAsia="宋体" w:cs="宋体"/>
      <w:snapToGrid/>
      <w:kern w:val="0"/>
      <w:sz w:val="24"/>
      <w:szCs w:val="24"/>
    </w:rPr>
  </w:style>
  <w:style w:type="paragraph" w:customStyle="1" w:styleId="BECC">
    <w:name w:val="!BECC正文"/>
    <w:basedOn w:val="a"/>
    <w:link w:val="BECCChar"/>
    <w:qFormat/>
    <w:pPr>
      <w:tabs>
        <w:tab w:val="left" w:pos="0"/>
      </w:tabs>
      <w:spacing w:beforeLines="50" w:afterLines="50" w:line="360" w:lineRule="auto"/>
      <w:ind w:firstLineChars="200" w:firstLine="480"/>
      <w:contextualSpacing/>
    </w:pPr>
    <w:rPr>
      <w:rFonts w:ascii="Times New Roman" w:eastAsia="宋体" w:hAnsi="Times New Roman"/>
      <w:snapToGrid/>
      <w:kern w:val="0"/>
      <w:sz w:val="24"/>
      <w:szCs w:val="24"/>
    </w:rPr>
  </w:style>
  <w:style w:type="character" w:customStyle="1" w:styleId="BECCChar">
    <w:name w:val="!BECC正文 Char"/>
    <w:link w:val="BECC"/>
    <w:qFormat/>
    <w:rPr>
      <w:rFonts w:eastAsia="宋体"/>
      <w:sz w:val="24"/>
      <w:szCs w:val="24"/>
      <w:lang w:bidi="ar-SA"/>
    </w:rPr>
  </w:style>
  <w:style w:type="paragraph" w:customStyle="1" w:styleId="WW-">
    <w:name w:val="WW-日期"/>
    <w:basedOn w:val="a"/>
    <w:next w:val="a"/>
    <w:qFormat/>
    <w:pPr>
      <w:suppressAutoHyphens/>
    </w:pPr>
    <w:rPr>
      <w:rFonts w:ascii="仿宋_GB2312" w:hAnsi="仿宋_GB2312"/>
      <w:snapToGrid/>
      <w:kern w:val="1"/>
      <w:szCs w:val="24"/>
    </w:rPr>
  </w:style>
  <w:style w:type="paragraph" w:customStyle="1" w:styleId="New">
    <w:name w:val="正文 New"/>
    <w:qFormat/>
    <w:pPr>
      <w:widowControl w:val="0"/>
      <w:jc w:val="both"/>
    </w:pPr>
    <w:rPr>
      <w:rFonts w:eastAsia="楷体_GB2312"/>
      <w:kern w:val="2"/>
      <w:sz w:val="3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Calibri" w:hAnsi="Calibri" w:cs="黑体"/>
      <w:kern w:val="2"/>
      <w:sz w:val="21"/>
      <w:szCs w:val="22"/>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snapToGrid w:val="0"/>
      <w:jc w:val="both"/>
    </w:pPr>
    <w:rPr>
      <w:rFonts w:ascii="宋体" w:eastAsia="仿宋_GB2312" w:hAnsi="宋体"/>
      <w:kern w:val="32"/>
      <w:sz w:val="32"/>
      <w:szCs w:val="32"/>
    </w:rPr>
  </w:style>
  <w:style w:type="paragraph" w:customStyle="1" w:styleId="NewNewNew">
    <w:name w:val="正文 New New New"/>
    <w:qFormat/>
    <w:pPr>
      <w:widowControl w:val="0"/>
      <w:jc w:val="both"/>
    </w:pPr>
    <w:rPr>
      <w:rFonts w:ascii="宋体" w:eastAsia="楷体_GB2312" w:hAnsi="宋体"/>
      <w:kern w:val="2"/>
      <w:sz w:val="32"/>
    </w:rPr>
  </w:style>
  <w:style w:type="character" w:customStyle="1" w:styleId="1CharNew">
    <w:name w:val="标题 1 Char New"/>
    <w:basedOn w:val="a0"/>
    <w:link w:val="110"/>
    <w:qFormat/>
    <w:locked/>
    <w:rPr>
      <w:rFonts w:ascii="宋体" w:hAnsi="宋体"/>
      <w:b/>
      <w:kern w:val="36"/>
      <w:sz w:val="48"/>
      <w:lang w:bidi="ar-SA"/>
    </w:rPr>
  </w:style>
  <w:style w:type="paragraph" w:customStyle="1" w:styleId="110">
    <w:name w:val="标题 11"/>
    <w:basedOn w:val="a"/>
    <w:link w:val="1CharNew"/>
    <w:qFormat/>
    <w:pPr>
      <w:spacing w:before="100" w:beforeAutospacing="1" w:after="100" w:afterAutospacing="1" w:line="336" w:lineRule="auto"/>
      <w:outlineLvl w:val="0"/>
    </w:pPr>
    <w:rPr>
      <w:rFonts w:eastAsia="Times New Roman"/>
      <w:b/>
      <w:snapToGrid/>
      <w:kern w:val="36"/>
      <w:sz w:val="48"/>
      <w:szCs w:val="20"/>
    </w:rPr>
  </w:style>
  <w:style w:type="character" w:customStyle="1" w:styleId="Char0">
    <w:name w:val="段 Char"/>
    <w:link w:val="affc"/>
    <w:qFormat/>
    <w:rPr>
      <w:rFonts w:ascii="宋体" w:eastAsia="Times New Roman"/>
      <w:sz w:val="21"/>
      <w:lang w:val="en-US" w:eastAsia="zh-CN" w:bidi="ar-SA"/>
    </w:rPr>
  </w:style>
  <w:style w:type="paragraph" w:customStyle="1" w:styleId="affc">
    <w:name w:val="段"/>
    <w:link w:val="Char0"/>
    <w:qFormat/>
    <w:pPr>
      <w:tabs>
        <w:tab w:val="center" w:pos="4201"/>
        <w:tab w:val="right" w:leader="dot" w:pos="9298"/>
      </w:tabs>
      <w:autoSpaceDE w:val="0"/>
      <w:autoSpaceDN w:val="0"/>
      <w:ind w:firstLineChars="200" w:firstLine="420"/>
      <w:jc w:val="both"/>
    </w:pPr>
    <w:rPr>
      <w:rFonts w:ascii="宋体" w:eastAsia="Times New Roman"/>
      <w:sz w:val="21"/>
    </w:rPr>
  </w:style>
  <w:style w:type="paragraph" w:customStyle="1" w:styleId="CharCharCharCharCharCharChar1">
    <w:name w:val="Char Char Char Char Char Char Char1"/>
    <w:basedOn w:val="a"/>
    <w:qFormat/>
    <w:rPr>
      <w:rFonts w:ascii="Tahoma" w:eastAsia="宋体" w:hAnsi="Tahoma"/>
      <w:snapToGrid/>
      <w:kern w:val="2"/>
      <w:sz w:val="24"/>
      <w:szCs w:val="20"/>
    </w:rPr>
  </w:style>
  <w:style w:type="paragraph" w:customStyle="1" w:styleId="13">
    <w:name w:val="列出段落1"/>
    <w:basedOn w:val="a"/>
    <w:uiPriority w:val="34"/>
    <w:qFormat/>
    <w:pPr>
      <w:ind w:firstLineChars="200" w:firstLine="420"/>
    </w:pPr>
    <w:rPr>
      <w:rFonts w:ascii="Calibri" w:eastAsia="宋体" w:hAnsi="Calibri"/>
      <w:snapToGrid/>
      <w:kern w:val="2"/>
      <w:sz w:val="21"/>
      <w:szCs w:val="22"/>
    </w:rPr>
  </w:style>
  <w:style w:type="paragraph" w:customStyle="1" w:styleId="14">
    <w:name w:val="修订1"/>
    <w:hidden/>
    <w:uiPriority w:val="99"/>
    <w:semiHidden/>
    <w:qFormat/>
    <w:rPr>
      <w:rFonts w:ascii="宋体" w:eastAsia="仿宋_GB2312" w:hAnsi="宋体"/>
      <w:snapToGrid w:val="0"/>
      <w:kern w:val="32"/>
      <w:sz w:val="32"/>
      <w:szCs w:val="32"/>
    </w:rPr>
  </w:style>
  <w:style w:type="paragraph" w:customStyle="1" w:styleId="Style5">
    <w:name w:val="_Style 5"/>
    <w:basedOn w:val="a"/>
    <w:qFormat/>
    <w:pPr>
      <w:ind w:firstLineChars="200" w:firstLine="420"/>
    </w:pPr>
    <w:rPr>
      <w:rFonts w:ascii="Calibri" w:eastAsia="宋体" w:hAnsi="Calibri" w:cs="Calibri"/>
      <w:snapToGrid/>
      <w:kern w:val="2"/>
      <w:sz w:val="21"/>
      <w:szCs w:val="21"/>
    </w:rPr>
  </w:style>
  <w:style w:type="character" w:customStyle="1" w:styleId="15">
    <w:name w:val="15"/>
    <w:basedOn w:val="a0"/>
    <w:qFormat/>
    <w:rPr>
      <w:rFonts w:ascii="Times New Roman" w:hAnsi="Times New Roman" w:cs="Times New Roman" w:hint="default"/>
    </w:rPr>
  </w:style>
  <w:style w:type="character" w:customStyle="1" w:styleId="NormalCharacter">
    <w:name w:val="NormalCharacter"/>
    <w:link w:val="UserStyle19"/>
    <w:qFormat/>
  </w:style>
  <w:style w:type="paragraph" w:customStyle="1" w:styleId="UserStyle19">
    <w:name w:val="UserStyle_19"/>
    <w:basedOn w:val="a"/>
    <w:link w:val="NormalCharacter"/>
    <w:qFormat/>
    <w:pPr>
      <w:textAlignment w:val="baseline"/>
    </w:pPr>
  </w:style>
  <w:style w:type="character" w:customStyle="1" w:styleId="a7">
    <w:name w:val="批注文字 字符"/>
    <w:basedOn w:val="a0"/>
    <w:link w:val="a6"/>
    <w:qFormat/>
    <w:rPr>
      <w:kern w:val="2"/>
      <w:sz w:val="21"/>
    </w:rPr>
  </w:style>
  <w:style w:type="character" w:customStyle="1" w:styleId="afd">
    <w:name w:val="批注主题 字符"/>
    <w:basedOn w:val="a7"/>
    <w:link w:val="afc"/>
    <w:qFormat/>
    <w:rPr>
      <w:rFonts w:ascii="宋体" w:eastAsia="仿宋_GB2312" w:hAnsi="宋体"/>
      <w:b/>
      <w:bCs/>
      <w:snapToGrid w:val="0"/>
      <w:kern w:val="32"/>
      <w:sz w:val="32"/>
      <w:szCs w:val="32"/>
    </w:rPr>
  </w:style>
  <w:style w:type="paragraph" w:customStyle="1" w:styleId="22">
    <w:name w:val="修订2"/>
    <w:hidden/>
    <w:uiPriority w:val="99"/>
    <w:unhideWhenUsed/>
    <w:qFormat/>
    <w:rPr>
      <w:rFonts w:ascii="宋体" w:eastAsia="仿宋_GB2312" w:hAnsi="宋体"/>
      <w:snapToGrid w:val="0"/>
      <w:kern w:val="32"/>
      <w:sz w:val="32"/>
      <w:szCs w:val="32"/>
    </w:rPr>
  </w:style>
  <w:style w:type="paragraph" w:customStyle="1" w:styleId="111">
    <w:name w:val="目录 11"/>
    <w:next w:val="a"/>
    <w:qFormat/>
    <w:pPr>
      <w:wordWrap w:val="0"/>
      <w:jc w:val="both"/>
    </w:pPr>
    <w:rPr>
      <w:sz w:val="21"/>
      <w:szCs w:val="22"/>
    </w:rPr>
  </w:style>
  <w:style w:type="paragraph" w:customStyle="1" w:styleId="affd">
    <w:name w:val="公文正文"/>
    <w:basedOn w:val="a"/>
    <w:qFormat/>
    <w:pPr>
      <w:adjustRightInd w:val="0"/>
      <w:snapToGrid w:val="0"/>
      <w:spacing w:line="560" w:lineRule="exact"/>
      <w:ind w:firstLineChars="200" w:firstLine="560"/>
    </w:pPr>
  </w:style>
  <w:style w:type="paragraph" w:customStyle="1" w:styleId="31">
    <w:name w:val="修订3"/>
    <w:hidden/>
    <w:uiPriority w:val="99"/>
    <w:unhideWhenUsed/>
    <w:qFormat/>
    <w:rPr>
      <w:rFonts w:ascii="宋体" w:eastAsia="仿宋_GB2312" w:hAnsi="宋体"/>
      <w:snapToGrid w:val="0"/>
      <w:kern w:val="32"/>
      <w:sz w:val="32"/>
      <w:szCs w:val="32"/>
    </w:rPr>
  </w:style>
  <w:style w:type="paragraph" w:styleId="affe">
    <w:name w:val="List Paragraph"/>
    <w:basedOn w:val="a"/>
    <w:uiPriority w:val="99"/>
    <w:unhideWhenUsed/>
    <w:qFormat/>
    <w:pPr>
      <w:ind w:firstLineChars="200" w:firstLine="420"/>
    </w:pPr>
  </w:style>
  <w:style w:type="paragraph" w:customStyle="1" w:styleId="UserStyle4">
    <w:name w:val="UserStyle_4"/>
    <w:next w:val="a"/>
    <w:qFormat/>
    <w:pPr>
      <w:jc w:val="both"/>
      <w:textAlignment w:val="baseline"/>
    </w:pPr>
    <w:rPr>
      <w:rFonts w:ascii="Calibri" w:hAnsi="Calibri"/>
      <w:sz w:val="21"/>
      <w:szCs w:val="22"/>
    </w:rPr>
  </w:style>
  <w:style w:type="character" w:customStyle="1" w:styleId="a9">
    <w:name w:val="正文文本 字符"/>
    <w:basedOn w:val="a0"/>
    <w:link w:val="a8"/>
    <w:qFormat/>
    <w:rPr>
      <w:rFonts w:ascii="宋体" w:eastAsia="仿宋_GB2312" w:hAnsi="宋体"/>
      <w:snapToGrid w:val="0"/>
      <w:kern w:val="32"/>
      <w:sz w:val="32"/>
      <w:szCs w:val="32"/>
    </w:rPr>
  </w:style>
  <w:style w:type="paragraph" w:styleId="afff">
    <w:name w:val="Revision"/>
    <w:hidden/>
    <w:uiPriority w:val="99"/>
    <w:unhideWhenUsed/>
    <w:rsid w:val="00123BED"/>
    <w:rPr>
      <w:rFonts w:ascii="宋体" w:eastAsia="仿宋_GB2312" w:hAnsi="宋体"/>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2996</Words>
  <Characters>3207</Characters>
  <Application>Microsoft Office Word</Application>
  <DocSecurity>0</DocSecurity>
  <Lines>188</Lines>
  <Paragraphs>187</Paragraphs>
  <ScaleCrop>false</ScaleCrop>
  <Company>bgs</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楚轩 黄</cp:lastModifiedBy>
  <cp:revision>108</cp:revision>
  <cp:lastPrinted>2025-09-25T02:33:00Z</cp:lastPrinted>
  <dcterms:created xsi:type="dcterms:W3CDTF">2019-06-13T16:38:00Z</dcterms:created>
  <dcterms:modified xsi:type="dcterms:W3CDTF">2025-10-23T02:26:00Z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1460FD987CA3DB815D55D2686CD9CA6B</vt:lpwstr>
  </property>
  <property fmtid="{D5CDD505-2E9C-101B-9397-08002B2CF9AE}" pid="4" name="KSOTemplateDocerSaveRecord">
    <vt:lpwstr>eyJoZGlkIjoiMTMyYjJiZjVlZmYzM2ExMTM4ZWFjN2JiM2FiMWJhZjciLCJ1c2VySWQiOiIzODM0NDUxMTIifQ==</vt:lpwstr>
  </property>
</Properties>
</file>