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2F2D76" w14:textId="77777777" w:rsidR="00D74A57" w:rsidRDefault="00000000">
      <w:pPr>
        <w:pStyle w:val="a8"/>
        <w:spacing w:after="0" w:line="600" w:lineRule="exact"/>
        <w:rPr>
          <w:rFonts w:asciiTheme="majorEastAsia" w:eastAsiaTheme="majorEastAsia" w:hAnsiTheme="majorEastAsia" w:cstheme="majorEastAsia" w:hint="eastAsia"/>
        </w:rPr>
      </w:pPr>
      <w:r>
        <w:rPr>
          <w:rFonts w:asciiTheme="majorEastAsia" w:eastAsiaTheme="majorEastAsia" w:hAnsiTheme="majorEastAsia" w:cstheme="majorEastAsia" w:hint="eastAsia"/>
        </w:rPr>
        <w:t>附件2</w:t>
      </w:r>
    </w:p>
    <w:p w14:paraId="24EFE90D" w14:textId="77777777" w:rsidR="00D74A57" w:rsidRDefault="00000000">
      <w:pPr>
        <w:numPr>
          <w:ilvl w:val="255"/>
          <w:numId w:val="0"/>
        </w:num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北京市2026年绿色电力交易方案</w:t>
      </w:r>
    </w:p>
    <w:p w14:paraId="22CC61C1" w14:textId="6C064005" w:rsidR="00D74A57" w:rsidRDefault="00000000">
      <w:pPr>
        <w:spacing w:line="600" w:lineRule="exact"/>
        <w:jc w:val="center"/>
        <w:rPr>
          <w:rFonts w:ascii="华文楷体" w:eastAsia="华文楷体" w:hAnsi="华文楷体" w:cs="华文楷体" w:hint="eastAsia"/>
          <w:b/>
          <w:bCs/>
        </w:rPr>
      </w:pPr>
      <w:r>
        <w:rPr>
          <w:rFonts w:ascii="华文楷体" w:eastAsia="华文楷体" w:hAnsi="华文楷体" w:cs="华文楷体" w:hint="eastAsia"/>
          <w:b/>
          <w:bCs/>
        </w:rPr>
        <w:t>（</w:t>
      </w:r>
      <w:r w:rsidR="005B2159">
        <w:rPr>
          <w:rFonts w:ascii="华文楷体" w:eastAsia="华文楷体" w:hAnsi="华文楷体" w:cs="华文楷体" w:hint="eastAsia"/>
          <w:b/>
          <w:bCs/>
        </w:rPr>
        <w:t>征求意见</w:t>
      </w:r>
      <w:r>
        <w:rPr>
          <w:rFonts w:ascii="华文楷体" w:eastAsia="华文楷体" w:hAnsi="华文楷体" w:cs="华文楷体" w:hint="eastAsia"/>
          <w:b/>
          <w:bCs/>
        </w:rPr>
        <w:t>稿）</w:t>
      </w:r>
    </w:p>
    <w:p w14:paraId="15CEEE46" w14:textId="77777777" w:rsidR="00D74A57" w:rsidRDefault="00D74A57">
      <w:pPr>
        <w:spacing w:line="600" w:lineRule="exact"/>
        <w:jc w:val="center"/>
        <w:rPr>
          <w:rFonts w:hint="eastAsia"/>
          <w:sz w:val="44"/>
          <w:szCs w:val="44"/>
        </w:rPr>
      </w:pPr>
    </w:p>
    <w:p w14:paraId="3E97C002"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为贯彻</w:t>
      </w:r>
      <w:proofErr w:type="gramStart"/>
      <w:r>
        <w:rPr>
          <w:rFonts w:ascii="仿宋_GB2312" w:hAnsi="仿宋_GB2312" w:cs="仿宋_GB2312" w:hint="eastAsia"/>
        </w:rPr>
        <w:t>落实碳达峰</w:t>
      </w:r>
      <w:proofErr w:type="gramEnd"/>
      <w:r>
        <w:rPr>
          <w:rFonts w:ascii="仿宋_GB2312" w:hAnsi="仿宋_GB2312" w:cs="仿宋_GB2312" w:hint="eastAsia"/>
        </w:rPr>
        <w:t>、碳中和战略部署，加快建立有利于促进绿色能源生产消费的市场体系和长效机制，推进本市绿色电力交易工作有序开展，按照国家发展改革委办公厅、国家能源局综合司《关于有序推进绿色电力交易有关事项的通知》（发改办体改〔2022〕821号）、华北能源监管局《关于完善绿电交易机制推动京津唐电网平价新能源项目入市的通知》（华北</w:t>
      </w:r>
      <w:proofErr w:type="gramStart"/>
      <w:r>
        <w:rPr>
          <w:rFonts w:ascii="仿宋_GB2312" w:hAnsi="仿宋_GB2312" w:cs="仿宋_GB2312" w:hint="eastAsia"/>
        </w:rPr>
        <w:t>监能市场</w:t>
      </w:r>
      <w:proofErr w:type="gramEnd"/>
      <w:r>
        <w:rPr>
          <w:rFonts w:ascii="仿宋_GB2312" w:hAnsi="仿宋_GB2312" w:cs="仿宋_GB2312" w:hint="eastAsia"/>
        </w:rPr>
        <w:t>〔2023〕46号）、国家发展改革委、国家能源局《关于印发〈电力中长期交易基本规则-绿色电力交易专章〉的通知》（</w:t>
      </w:r>
      <w:proofErr w:type="gramStart"/>
      <w:r>
        <w:rPr>
          <w:rFonts w:ascii="仿宋_GB2312" w:hAnsi="仿宋_GB2312" w:cs="仿宋_GB2312" w:hint="eastAsia"/>
        </w:rPr>
        <w:t>发改能源</w:t>
      </w:r>
      <w:proofErr w:type="gramEnd"/>
      <w:r>
        <w:rPr>
          <w:rFonts w:ascii="仿宋_GB2312" w:hAnsi="仿宋_GB2312" w:cs="仿宋_GB2312" w:hint="eastAsia"/>
        </w:rPr>
        <w:t>〔2024〕1123号）以及国家发展改革委、国家能源局《关于深化新能源上网电价市场化改革促进新能源高质量发展的通知》（</w:t>
      </w:r>
      <w:proofErr w:type="gramStart"/>
      <w:r>
        <w:rPr>
          <w:rFonts w:ascii="仿宋_GB2312" w:hAnsi="仿宋_GB2312" w:cs="仿宋_GB2312" w:hint="eastAsia"/>
        </w:rPr>
        <w:t>发改价格</w:t>
      </w:r>
      <w:proofErr w:type="gramEnd"/>
      <w:r>
        <w:rPr>
          <w:rFonts w:ascii="仿宋_GB2312" w:hAnsi="仿宋_GB2312" w:cs="仿宋_GB2312" w:hint="eastAsia"/>
        </w:rPr>
        <w:t>〔2025〕136号）等文件要求，特制定本方案。</w:t>
      </w:r>
    </w:p>
    <w:p w14:paraId="5EADD8A1"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一、绿色电力交易定义</w:t>
      </w:r>
    </w:p>
    <w:p w14:paraId="4E5C7267"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绿色电力交易是指以绿色电力和对应绿色电力环境价值为标的物的电力交易品种，交易电力同时提供国家核发的可再生能源绿色电力证书(以下简称绿证)，用以满足发电企业、售电公司电力用户等出售、购买绿色电力的需求。初期，参与绿色电力交易的发电</w:t>
      </w:r>
      <w:proofErr w:type="gramStart"/>
      <w:r>
        <w:rPr>
          <w:rFonts w:ascii="仿宋_GB2312" w:hAnsi="仿宋_GB2312" w:cs="仿宋_GB2312" w:hint="eastAsia"/>
        </w:rPr>
        <w:t>侧主体</w:t>
      </w:r>
      <w:proofErr w:type="gramEnd"/>
      <w:r>
        <w:rPr>
          <w:rFonts w:ascii="仿宋_GB2312" w:hAnsi="仿宋_GB2312" w:cs="仿宋_GB2312" w:hint="eastAsia"/>
        </w:rPr>
        <w:t>为风电、光伏发电项目，条件成熟时，可逐步扩</w:t>
      </w:r>
      <w:r>
        <w:rPr>
          <w:rFonts w:ascii="仿宋_GB2312" w:hAnsi="仿宋_GB2312" w:cs="仿宋_GB2312" w:hint="eastAsia"/>
        </w:rPr>
        <w:lastRenderedPageBreak/>
        <w:t>大至符合条件的其他可再生能源。售电公司、电力用</w:t>
      </w:r>
      <w:r>
        <w:rPr>
          <w:rFonts w:ascii="仿宋_GB2312" w:hAnsi="仿宋_GB2312" w:cs="仿宋_GB2312" w:hint="eastAsia"/>
          <w:spacing w:val="6"/>
        </w:rPr>
        <w:t>户可通过绿色电力交易平台（以下简称交易平台）购买绿色电力。</w:t>
      </w:r>
    </w:p>
    <w:p w14:paraId="4B9DB20F" w14:textId="77777777" w:rsidR="00D74A57" w:rsidRDefault="00000000">
      <w:pPr>
        <w:numPr>
          <w:ilvl w:val="0"/>
          <w:numId w:val="3"/>
        </w:numPr>
        <w:spacing w:line="600" w:lineRule="exact"/>
        <w:ind w:firstLineChars="200" w:firstLine="640"/>
        <w:rPr>
          <w:rFonts w:ascii="黑体" w:eastAsia="黑体" w:hAnsi="黑体" w:cs="黑体" w:hint="eastAsia"/>
        </w:rPr>
      </w:pPr>
      <w:r>
        <w:rPr>
          <w:rFonts w:ascii="黑体" w:eastAsia="黑体" w:hAnsi="黑体" w:cs="黑体" w:hint="eastAsia"/>
        </w:rPr>
        <w:t>经营主体</w:t>
      </w:r>
    </w:p>
    <w:p w14:paraId="7BC4BEB7"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参与本市绿色电力交易的经营主体包括：</w:t>
      </w:r>
      <w:r>
        <w:rPr>
          <w:rFonts w:ascii="仿宋_GB2312" w:hAnsi="仿宋_GB2312" w:cs="仿宋_GB2312" w:hint="eastAsia"/>
          <w:color w:val="000000"/>
        </w:rPr>
        <w:t>新能源发电企业、售电公司、电力用户。</w:t>
      </w:r>
    </w:p>
    <w:p w14:paraId="45D56772" w14:textId="77777777" w:rsidR="00D74A57" w:rsidRDefault="00000000">
      <w:pPr>
        <w:widowControl/>
        <w:snapToGrid w:val="0"/>
        <w:spacing w:line="600" w:lineRule="exact"/>
        <w:ind w:firstLineChars="200" w:firstLine="640"/>
        <w:jc w:val="left"/>
        <w:rPr>
          <w:rFonts w:ascii="仿宋_GB2312" w:hAnsi="仿宋_GB2312" w:cs="仿宋_GB2312" w:hint="eastAsia"/>
        </w:rPr>
      </w:pPr>
      <w:r>
        <w:rPr>
          <w:rFonts w:ascii="仿宋_GB2312" w:hAnsi="仿宋_GB2312" w:cs="仿宋_GB2312" w:hint="eastAsia"/>
          <w:color w:val="000000"/>
        </w:rPr>
        <w:t>本</w:t>
      </w:r>
      <w:r>
        <w:rPr>
          <w:rFonts w:ascii="仿宋_GB2312" w:hAnsi="仿宋_GB2312" w:cs="仿宋_GB2312" w:hint="eastAsia"/>
        </w:rPr>
        <w:t>市</w:t>
      </w:r>
      <w:r>
        <w:rPr>
          <w:rFonts w:ascii="仿宋_GB2312" w:hAnsi="仿宋_GB2312" w:cs="仿宋_GB2312" w:hint="eastAsia"/>
          <w:color w:val="000000"/>
        </w:rPr>
        <w:t>新能源发电企业参与市场按照《北京市2026年新能源发电企业参与电力中长期交易实施细则》（见附件）</w:t>
      </w:r>
      <w:r>
        <w:rPr>
          <w:rFonts w:ascii="仿宋_GB2312" w:hAnsi="仿宋_GB2312" w:cs="仿宋_GB2312" w:hint="eastAsia"/>
        </w:rPr>
        <w:t>执行。</w:t>
      </w:r>
    </w:p>
    <w:p w14:paraId="26EE48B9"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color w:val="000000"/>
        </w:rPr>
        <w:t>售电公司、电力用户（含批发用户、零售用户）须</w:t>
      </w:r>
      <w:r>
        <w:rPr>
          <w:rFonts w:ascii="仿宋_GB2312" w:hAnsi="仿宋_GB2312" w:cs="仿宋_GB2312" w:hint="eastAsia"/>
        </w:rPr>
        <w:t>在交易平台注册生效。批发用户直接与发电企业进行交易购买绿色电力产品，零售用户通过售电公司代理购买绿色电力产品。零售用户与售电公司签订市场化购售电合同结算确认协议，提交首都电力交易中心后，由售电公司代理参加绿色电力交易，并与售电公司保持其他市场电量代理关系不变。</w:t>
      </w:r>
    </w:p>
    <w:p w14:paraId="1E689F8D"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相关经营主体根据自身实际需求，在充分知悉绿色电力市场交易风险前提下，秉承真实、自愿原则参与绿色电力交易。</w:t>
      </w:r>
    </w:p>
    <w:p w14:paraId="2EBD9C7F"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三、交易方式</w:t>
      </w:r>
    </w:p>
    <w:p w14:paraId="3B29776C"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2026年本市绿色电力交易</w:t>
      </w:r>
      <w:r>
        <w:rPr>
          <w:rFonts w:ascii="仿宋_GB2312" w:hAnsi="仿宋_GB2312" w:cs="仿宋_GB2312" w:hint="eastAsia"/>
          <w:color w:val="000000"/>
        </w:rPr>
        <w:t>主要包括本市经营主体参与北京市绿色电力交易、京津唐电网绿色电力交易、跨区跨省绿色电力交易。</w:t>
      </w:r>
      <w:r>
        <w:rPr>
          <w:rFonts w:ascii="仿宋_GB2312" w:hAnsi="仿宋_GB2312" w:cs="仿宋_GB2312" w:hint="eastAsia"/>
        </w:rPr>
        <w:t>绿色电力交易依托交易平台开展，北京市绿色电力交易方式为双边协商、挂牌交易等；京津唐电网绿色电力交易方式为双边协商、集中竞价；在参与</w:t>
      </w:r>
      <w:r>
        <w:rPr>
          <w:rFonts w:ascii="仿宋_GB2312" w:hAnsi="仿宋_GB2312" w:cs="仿宋_GB2312" w:hint="eastAsia"/>
          <w:color w:val="000000"/>
        </w:rPr>
        <w:t>跨区跨省绿色电力交易时，</w:t>
      </w:r>
      <w:r>
        <w:rPr>
          <w:rFonts w:ascii="仿宋_GB2312" w:hAnsi="仿宋_GB2312" w:cs="仿宋_GB2312" w:hint="eastAsia"/>
        </w:rPr>
        <w:t>鼓励发用</w:t>
      </w:r>
      <w:r>
        <w:rPr>
          <w:rFonts w:ascii="仿宋_GB2312" w:hAnsi="仿宋_GB2312" w:cs="仿宋_GB2312" w:hint="eastAsia"/>
        </w:rPr>
        <w:lastRenderedPageBreak/>
        <w:t>双方签订多年期绿色电力购买协议。</w:t>
      </w:r>
    </w:p>
    <w:p w14:paraId="40D7486B"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四、交易安排</w:t>
      </w:r>
    </w:p>
    <w:p w14:paraId="1E021713" w14:textId="77777777" w:rsidR="00D74A57" w:rsidRDefault="00000000">
      <w:pPr>
        <w:numPr>
          <w:ilvl w:val="0"/>
          <w:numId w:val="4"/>
        </w:numPr>
        <w:spacing w:line="600" w:lineRule="exact"/>
        <w:ind w:firstLineChars="200" w:firstLine="640"/>
        <w:outlineLvl w:val="1"/>
        <w:rPr>
          <w:rFonts w:ascii="楷体_GB2312" w:eastAsia="楷体_GB2312" w:hAnsi="楷体_GB2312" w:cs="楷体_GB2312" w:hint="eastAsia"/>
        </w:rPr>
      </w:pPr>
      <w:r>
        <w:rPr>
          <w:rFonts w:ascii="楷体_GB2312" w:eastAsia="楷体_GB2312" w:hAnsi="楷体_GB2312" w:cs="楷体_GB2312" w:hint="eastAsia"/>
        </w:rPr>
        <w:t>交易周期</w:t>
      </w:r>
    </w:p>
    <w:p w14:paraId="513C0473"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北京电力交易中心会同首都电力交易中心根据经营主体需求及风电、光伏发电企业交易意向，以年（多年）、月（多月）、月内等为周期常态化组织开展绿色电力交易。</w:t>
      </w:r>
    </w:p>
    <w:p w14:paraId="068393BC" w14:textId="77777777" w:rsidR="00D74A57" w:rsidRDefault="00000000">
      <w:pPr>
        <w:numPr>
          <w:ilvl w:val="0"/>
          <w:numId w:val="4"/>
        </w:numPr>
        <w:spacing w:line="600" w:lineRule="exact"/>
        <w:ind w:firstLineChars="200" w:firstLine="640"/>
        <w:outlineLvl w:val="1"/>
        <w:rPr>
          <w:rFonts w:ascii="楷体_GB2312" w:eastAsia="楷体_GB2312" w:hAnsi="楷体_GB2312" w:cs="楷体_GB2312" w:hint="eastAsia"/>
        </w:rPr>
      </w:pPr>
      <w:r>
        <w:rPr>
          <w:rFonts w:ascii="楷体_GB2312" w:eastAsia="楷体_GB2312" w:hAnsi="楷体_GB2312" w:cs="楷体_GB2312" w:hint="eastAsia"/>
        </w:rPr>
        <w:t>交易申报</w:t>
      </w:r>
    </w:p>
    <w:p w14:paraId="00C7529E"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经营主体参与京津唐电网、北京市绿色电力交易时，申报方式参照《北京市2026年电力市场化交易方案》执行；经营主体参与跨区跨省绿色电力交易时，应分时段报量、报价，以分时段成交结果加权价格参与峰谷浮动。分月电量不得超过其月度实际最大可发、用电能力。</w:t>
      </w:r>
    </w:p>
    <w:p w14:paraId="79B9172A" w14:textId="77777777" w:rsidR="00D74A57" w:rsidRDefault="00000000">
      <w:pPr>
        <w:numPr>
          <w:ilvl w:val="0"/>
          <w:numId w:val="4"/>
        </w:numPr>
        <w:spacing w:line="600" w:lineRule="exact"/>
        <w:ind w:firstLineChars="200" w:firstLine="640"/>
        <w:outlineLvl w:val="1"/>
        <w:rPr>
          <w:rFonts w:ascii="楷体_GB2312" w:eastAsia="楷体_GB2312" w:hAnsi="楷体_GB2312" w:cs="楷体_GB2312" w:hint="eastAsia"/>
        </w:rPr>
      </w:pPr>
      <w:r>
        <w:rPr>
          <w:rFonts w:ascii="楷体_GB2312" w:eastAsia="楷体_GB2312" w:hAnsi="楷体_GB2312" w:cs="楷体_GB2312" w:hint="eastAsia"/>
        </w:rPr>
        <w:t>交易价格</w:t>
      </w:r>
    </w:p>
    <w:p w14:paraId="4CBAA70F"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绿色电力交易价格由市场化机制形成，应充分体现电能</w:t>
      </w:r>
      <w:proofErr w:type="gramStart"/>
      <w:r>
        <w:rPr>
          <w:rFonts w:ascii="仿宋_GB2312" w:hAnsi="仿宋_GB2312" w:cs="仿宋_GB2312" w:hint="eastAsia"/>
        </w:rPr>
        <w:t>量价格</w:t>
      </w:r>
      <w:proofErr w:type="gramEnd"/>
      <w:r>
        <w:rPr>
          <w:rFonts w:ascii="仿宋_GB2312" w:hAnsi="仿宋_GB2312" w:cs="仿宋_GB2312" w:hint="eastAsia"/>
        </w:rPr>
        <w:t>和绿色电力环境价值。用户用电价格由绿色电力交易价格、上网环节线损费用、输配电价、系统运行费用、政府性基金及附加构成。绿色电力环境价值可</w:t>
      </w:r>
      <w:proofErr w:type="gramStart"/>
      <w:r>
        <w:rPr>
          <w:rFonts w:ascii="仿宋_GB2312" w:hAnsi="仿宋_GB2312" w:cs="仿宋_GB2312" w:hint="eastAsia"/>
        </w:rPr>
        <w:t>参考国网</w:t>
      </w:r>
      <w:proofErr w:type="gramEnd"/>
      <w:r>
        <w:rPr>
          <w:rFonts w:ascii="仿宋_GB2312" w:hAnsi="仿宋_GB2312" w:cs="仿宋_GB2312" w:hint="eastAsia"/>
        </w:rPr>
        <w:t>经营区平价绿证市场上一结算周期（自然月）的平均价格。上网环节线损费用按照电能</w:t>
      </w:r>
      <w:proofErr w:type="gramStart"/>
      <w:r>
        <w:rPr>
          <w:rFonts w:ascii="仿宋_GB2312" w:hAnsi="仿宋_GB2312" w:cs="仿宋_GB2312" w:hint="eastAsia"/>
        </w:rPr>
        <w:t>量价格</w:t>
      </w:r>
      <w:proofErr w:type="gramEnd"/>
      <w:r>
        <w:rPr>
          <w:rFonts w:ascii="仿宋_GB2312" w:hAnsi="仿宋_GB2312" w:cs="仿宋_GB2312" w:hint="eastAsia"/>
        </w:rPr>
        <w:t>依据有关政策规则执行，输配电价、系统运行费用、政府性基金及附加按照国家及北京有关规定执行。</w:t>
      </w:r>
      <w:r>
        <w:rPr>
          <w:rFonts w:ascii="仿宋_GB2312" w:hAnsi="仿宋_GB2312" w:cs="仿宋_GB2312" w:hint="eastAsia"/>
          <w:color w:val="000000"/>
        </w:rPr>
        <w:t>执行峰谷分时电价政策的用户，继续执行峰谷分时电价政策。</w:t>
      </w:r>
      <w:r>
        <w:rPr>
          <w:rFonts w:ascii="仿宋_GB2312" w:hAnsi="仿宋_GB2312" w:cs="仿宋_GB2312" w:hint="eastAsia"/>
        </w:rPr>
        <w:t>原则上，绿色电力环境价</w:t>
      </w:r>
      <w:r>
        <w:rPr>
          <w:rFonts w:ascii="仿宋_GB2312" w:hAnsi="仿宋_GB2312" w:cs="仿宋_GB2312" w:hint="eastAsia"/>
        </w:rPr>
        <w:lastRenderedPageBreak/>
        <w:t>值不纳入峰谷分时电价机制以及力调电费等计算，具体按照国家及北京市有关政策规定执行。</w:t>
      </w:r>
    </w:p>
    <w:p w14:paraId="2FA7D91F"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五、交易组织</w:t>
      </w:r>
    </w:p>
    <w:p w14:paraId="5541389A"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北京市绿色电力交易工作由北京电力交易中心、首都电力交易中心共同组织开展。</w:t>
      </w:r>
    </w:p>
    <w:p w14:paraId="42254A94" w14:textId="77777777" w:rsidR="00D74A57" w:rsidRDefault="00000000">
      <w:pPr>
        <w:spacing w:line="600" w:lineRule="exact"/>
        <w:ind w:firstLineChars="200" w:firstLine="640"/>
        <w:outlineLvl w:val="2"/>
        <w:rPr>
          <w:rFonts w:ascii="楷体_GB2312" w:eastAsia="楷体_GB2312" w:hAnsi="楷体_GB2312" w:cs="楷体_GB2312" w:hint="eastAsia"/>
        </w:rPr>
      </w:pPr>
      <w:r>
        <w:rPr>
          <w:rFonts w:ascii="楷体_GB2312" w:eastAsia="楷体_GB2312" w:hAnsi="楷体_GB2312" w:cs="楷体_GB2312" w:hint="eastAsia"/>
          <w:color w:val="000000"/>
        </w:rPr>
        <w:t>（一）</w:t>
      </w:r>
      <w:r>
        <w:rPr>
          <w:rFonts w:ascii="楷体_GB2312" w:eastAsia="楷体_GB2312" w:hAnsi="楷体_GB2312" w:cs="楷体_GB2312" w:hint="eastAsia"/>
        </w:rPr>
        <w:t>北京市绿色电力交易组织流程</w:t>
      </w:r>
    </w:p>
    <w:p w14:paraId="2BAAF96B" w14:textId="77777777" w:rsidR="00D74A57" w:rsidRDefault="00000000">
      <w:pPr>
        <w:spacing w:line="600" w:lineRule="exact"/>
        <w:ind w:firstLineChars="200" w:firstLine="664"/>
        <w:rPr>
          <w:rFonts w:ascii="楷体_GB2312" w:eastAsia="楷体_GB2312" w:hAnsi="楷体_GB2312" w:cs="楷体_GB2312" w:hint="eastAsia"/>
          <w:color w:val="000000"/>
        </w:rPr>
      </w:pPr>
      <w:r>
        <w:rPr>
          <w:rFonts w:ascii="仿宋_GB2312" w:hAnsi="仿宋_GB2312" w:cs="仿宋_GB2312" w:hint="eastAsia"/>
          <w:spacing w:val="6"/>
        </w:rPr>
        <w:t>北京市绿色电力交易组织流程</w:t>
      </w:r>
      <w:r>
        <w:rPr>
          <w:rFonts w:ascii="仿宋_GB2312" w:hAnsi="仿宋_GB2312" w:cs="仿宋_GB2312" w:hint="eastAsia"/>
        </w:rPr>
        <w:t>按照附件执行。</w:t>
      </w:r>
    </w:p>
    <w:p w14:paraId="592F35B1" w14:textId="77777777" w:rsidR="00D74A57" w:rsidRDefault="00000000">
      <w:pPr>
        <w:spacing w:line="60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t>（二）京津唐电网绿色电力交易组织流程</w:t>
      </w:r>
    </w:p>
    <w:p w14:paraId="032BAD82" w14:textId="77777777" w:rsidR="00D74A57" w:rsidRDefault="00000000">
      <w:pPr>
        <w:spacing w:line="600" w:lineRule="exact"/>
        <w:ind w:firstLineChars="200" w:firstLine="640"/>
        <w:outlineLvl w:val="2"/>
        <w:rPr>
          <w:rFonts w:ascii="仿宋_GB2312" w:hAnsi="仿宋_GB2312" w:cs="仿宋_GB2312" w:hint="eastAsia"/>
        </w:rPr>
      </w:pPr>
      <w:r>
        <w:rPr>
          <w:rFonts w:ascii="仿宋_GB2312" w:hAnsi="仿宋_GB2312" w:cs="仿宋_GB2312" w:hint="eastAsia"/>
        </w:rPr>
        <w:t>1.需求申报</w:t>
      </w:r>
    </w:p>
    <w:p w14:paraId="3DABFE69" w14:textId="77777777" w:rsidR="00D74A57" w:rsidRDefault="00000000">
      <w:pPr>
        <w:spacing w:line="600" w:lineRule="exact"/>
        <w:ind w:firstLineChars="200" w:firstLine="640"/>
        <w:outlineLvl w:val="2"/>
        <w:rPr>
          <w:rFonts w:ascii="仿宋_GB2312" w:hAnsi="仿宋_GB2312" w:cs="仿宋_GB2312" w:hint="eastAsia"/>
        </w:rPr>
      </w:pPr>
      <w:r>
        <w:rPr>
          <w:rFonts w:ascii="仿宋_GB2312" w:hAnsi="仿宋_GB2312" w:cs="仿宋_GB2312" w:hint="eastAsia"/>
        </w:rPr>
        <w:t>北京电力交易中心会同首都电力交易中心在交易平台发布交易公告。经营主体按时</w:t>
      </w:r>
      <w:proofErr w:type="gramStart"/>
      <w:r>
        <w:rPr>
          <w:rFonts w:ascii="仿宋_GB2312" w:hAnsi="仿宋_GB2312" w:cs="仿宋_GB2312" w:hint="eastAsia"/>
        </w:rPr>
        <w:t>间规定</w:t>
      </w:r>
      <w:proofErr w:type="gramEnd"/>
      <w:r>
        <w:rPr>
          <w:rFonts w:ascii="仿宋_GB2312" w:hAnsi="仿宋_GB2312" w:cs="仿宋_GB2312" w:hint="eastAsia"/>
        </w:rPr>
        <w:t>申报、确认电量（电力）、电价等信息，交易平台出清形成无约束交易结果。</w:t>
      </w:r>
    </w:p>
    <w:p w14:paraId="0A4BE61B" w14:textId="77777777" w:rsidR="00D74A57" w:rsidRDefault="00000000">
      <w:pPr>
        <w:spacing w:line="600" w:lineRule="exact"/>
        <w:ind w:firstLineChars="200" w:firstLine="640"/>
        <w:outlineLvl w:val="2"/>
        <w:rPr>
          <w:rFonts w:ascii="仿宋_GB2312" w:hAnsi="仿宋_GB2312" w:cs="仿宋_GB2312" w:hint="eastAsia"/>
        </w:rPr>
      </w:pPr>
      <w:r>
        <w:rPr>
          <w:rFonts w:ascii="仿宋_GB2312" w:hAnsi="仿宋_GB2312" w:cs="仿宋_GB2312" w:hint="eastAsia"/>
        </w:rPr>
        <w:t>2.安全校核</w:t>
      </w:r>
    </w:p>
    <w:p w14:paraId="1CC749C4" w14:textId="77777777" w:rsidR="00D74A57" w:rsidRDefault="00000000">
      <w:pPr>
        <w:spacing w:line="600" w:lineRule="exact"/>
        <w:ind w:firstLineChars="200" w:firstLine="640"/>
        <w:outlineLvl w:val="2"/>
        <w:rPr>
          <w:rFonts w:ascii="仿宋_GB2312" w:hAnsi="仿宋_GB2312" w:cs="仿宋_GB2312" w:hint="eastAsia"/>
        </w:rPr>
      </w:pPr>
      <w:r>
        <w:rPr>
          <w:rFonts w:ascii="仿宋_GB2312" w:hAnsi="仿宋_GB2312" w:cs="仿宋_GB2312" w:hint="eastAsia"/>
        </w:rPr>
        <w:t>北京电力交易中心将无约束交易结果提交相关调度机构安全校核，</w:t>
      </w:r>
      <w:proofErr w:type="gramStart"/>
      <w:r>
        <w:rPr>
          <w:rFonts w:ascii="仿宋_GB2312" w:hAnsi="仿宋_GB2312" w:cs="仿宋_GB2312" w:hint="eastAsia"/>
        </w:rPr>
        <w:t>经安全</w:t>
      </w:r>
      <w:proofErr w:type="gramEnd"/>
      <w:r>
        <w:rPr>
          <w:rFonts w:ascii="仿宋_GB2312" w:hAnsi="仿宋_GB2312" w:cs="仿宋_GB2312" w:hint="eastAsia"/>
        </w:rPr>
        <w:t>校核后发布有约束交易结果。</w:t>
      </w:r>
    </w:p>
    <w:p w14:paraId="2465A146" w14:textId="77777777" w:rsidR="00D74A57" w:rsidRDefault="00000000">
      <w:pPr>
        <w:spacing w:line="600" w:lineRule="exact"/>
        <w:ind w:firstLineChars="200" w:firstLine="640"/>
        <w:outlineLvl w:val="2"/>
        <w:rPr>
          <w:rFonts w:ascii="楷体_GB2312" w:eastAsia="楷体_GB2312" w:hAnsi="楷体_GB2312" w:cs="楷体_GB2312" w:hint="eastAsia"/>
        </w:rPr>
      </w:pPr>
      <w:r>
        <w:rPr>
          <w:rFonts w:ascii="楷体_GB2312" w:eastAsia="楷体_GB2312" w:hAnsi="楷体_GB2312" w:cs="楷体_GB2312" w:hint="eastAsia"/>
        </w:rPr>
        <w:t>（三）跨区跨省绿色电力交易组织流程</w:t>
      </w:r>
    </w:p>
    <w:p w14:paraId="69E8AF54" w14:textId="77777777" w:rsidR="00D74A57" w:rsidRDefault="00000000">
      <w:pPr>
        <w:spacing w:line="600" w:lineRule="exact"/>
        <w:ind w:firstLineChars="200" w:firstLine="664"/>
        <w:rPr>
          <w:rFonts w:ascii="仿宋_GB2312" w:hAnsi="仿宋_GB2312" w:cs="仿宋_GB2312" w:hint="eastAsia"/>
          <w:spacing w:val="6"/>
        </w:rPr>
      </w:pPr>
      <w:r>
        <w:rPr>
          <w:rFonts w:ascii="仿宋_GB2312" w:hAnsi="仿宋_GB2312" w:cs="仿宋_GB2312" w:hint="eastAsia"/>
          <w:spacing w:val="6"/>
        </w:rPr>
        <w:t>跨区跨省绿色电力交易按照国家相关部门规则文件组织实施。</w:t>
      </w:r>
    </w:p>
    <w:p w14:paraId="1E9B0C80"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六、交易结算</w:t>
      </w:r>
    </w:p>
    <w:p w14:paraId="3D3B3BF4"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绿色电力交易优先结算，</w:t>
      </w:r>
      <w:proofErr w:type="gramStart"/>
      <w:r>
        <w:rPr>
          <w:rFonts w:ascii="仿宋_GB2312" w:hAnsi="仿宋_GB2312" w:cs="仿宋_GB2312" w:hint="eastAsia"/>
        </w:rPr>
        <w:t>月结月清</w:t>
      </w:r>
      <w:proofErr w:type="gramEnd"/>
      <w:r>
        <w:rPr>
          <w:rFonts w:ascii="仿宋_GB2312" w:hAnsi="仿宋_GB2312" w:cs="仿宋_GB2312" w:hint="eastAsia"/>
        </w:rPr>
        <w:t>，合同偏差电量不滚动调整。经营主体应分别明确电能</w:t>
      </w:r>
      <w:proofErr w:type="gramStart"/>
      <w:r>
        <w:rPr>
          <w:rFonts w:ascii="仿宋_GB2312" w:hAnsi="仿宋_GB2312" w:cs="仿宋_GB2312" w:hint="eastAsia"/>
        </w:rPr>
        <w:t>量价格</w:t>
      </w:r>
      <w:proofErr w:type="gramEnd"/>
      <w:r>
        <w:rPr>
          <w:rFonts w:ascii="仿宋_GB2312" w:hAnsi="仿宋_GB2312" w:cs="仿宋_GB2312" w:hint="eastAsia"/>
        </w:rPr>
        <w:t>与绿色电力环境价值。其中，</w:t>
      </w:r>
      <w:r>
        <w:rPr>
          <w:rFonts w:ascii="仿宋_GB2312" w:hAnsi="仿宋_GB2312" w:cs="仿宋_GB2312" w:hint="eastAsia"/>
        </w:rPr>
        <w:lastRenderedPageBreak/>
        <w:t>电能</w:t>
      </w:r>
      <w:proofErr w:type="gramStart"/>
      <w:r>
        <w:rPr>
          <w:rFonts w:ascii="仿宋_GB2312" w:hAnsi="仿宋_GB2312" w:cs="仿宋_GB2312" w:hint="eastAsia"/>
        </w:rPr>
        <w:t>量价格</w:t>
      </w:r>
      <w:proofErr w:type="gramEnd"/>
      <w:r>
        <w:rPr>
          <w:rFonts w:ascii="仿宋_GB2312" w:hAnsi="仿宋_GB2312" w:cs="仿宋_GB2312" w:hint="eastAsia"/>
        </w:rPr>
        <w:t>结算方式按照华北能源监管局现行政策文件执行，调节系数参照《北京市2026年电力市场化交易方案》执行；绿色电力环境价值按当月合同电量、发电企业上网电量、电力用户用电量三者取小的原则确定结算数量（以兆瓦时为单位取整数，尾差滚动到次月核算）进行结算。其中，同一电力用户/售电公司与多个发电企业签约，总用电量低于总合同电量的，该电力用户/售电公司对应于各发电企业的用电量按总用电量占总合同电量比重等比例调减；同一发电企业与多个电力用户/售电公司签约的，总上网电量低于总合同电量时，该发电企业对应于各电力用户/售电公司的上网电量按总上网电量占总合同电量比重等比例调减。</w:t>
      </w:r>
    </w:p>
    <w:p w14:paraId="2477D4FC"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对参与绿色电力交易的电力用户按绿色电力交易结算电量给予每度电0.02元的奖励。</w:t>
      </w:r>
    </w:p>
    <w:p w14:paraId="24329D1E"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七、绿证划转</w:t>
      </w:r>
    </w:p>
    <w:p w14:paraId="44C24C02"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国家能源局电力业务资质管理中心为新能源发电企业核发绿证，并将有关信息推送至北京电力交易中心，绿</w:t>
      </w:r>
      <w:proofErr w:type="gramStart"/>
      <w:r>
        <w:rPr>
          <w:rFonts w:ascii="仿宋_GB2312" w:hAnsi="仿宋_GB2312" w:cs="仿宋_GB2312" w:hint="eastAsia"/>
        </w:rPr>
        <w:t>证信息</w:t>
      </w:r>
      <w:proofErr w:type="gramEnd"/>
      <w:r>
        <w:rPr>
          <w:rFonts w:ascii="仿宋_GB2312" w:hAnsi="仿宋_GB2312" w:cs="仿宋_GB2312" w:hint="eastAsia"/>
        </w:rPr>
        <w:t>计入交易平台发电企业的绿色电力账户；参与绿色电力交易的对应绿证通过国家绿证核发交易系统，由国家能源局资质中心依据绿色电力交易结算结果等信息划转，划转后的绿</w:t>
      </w:r>
      <w:proofErr w:type="gramStart"/>
      <w:r>
        <w:rPr>
          <w:rFonts w:ascii="仿宋_GB2312" w:hAnsi="仿宋_GB2312" w:cs="仿宋_GB2312" w:hint="eastAsia"/>
        </w:rPr>
        <w:t>证相关</w:t>
      </w:r>
      <w:proofErr w:type="gramEnd"/>
      <w:r>
        <w:rPr>
          <w:rFonts w:ascii="仿宋_GB2312" w:hAnsi="仿宋_GB2312" w:cs="仿宋_GB2312" w:hint="eastAsia"/>
        </w:rPr>
        <w:t>信息与北京电力交易中心同步。</w:t>
      </w:r>
    </w:p>
    <w:p w14:paraId="6CEAC6D6" w14:textId="77777777" w:rsidR="00D74A57" w:rsidRDefault="00000000">
      <w:pPr>
        <w:spacing w:line="600" w:lineRule="exact"/>
        <w:ind w:firstLineChars="200" w:firstLine="640"/>
        <w:rPr>
          <w:rFonts w:ascii="黑体" w:eastAsia="黑体" w:hAnsi="黑体" w:cs="黑体" w:hint="eastAsia"/>
        </w:rPr>
      </w:pPr>
      <w:r>
        <w:rPr>
          <w:rFonts w:ascii="黑体" w:eastAsia="黑体" w:hAnsi="黑体" w:cs="黑体" w:hint="eastAsia"/>
        </w:rPr>
        <w:t>八、相关工作要求</w:t>
      </w:r>
    </w:p>
    <w:p w14:paraId="05DADEFB"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lastRenderedPageBreak/>
        <w:t>（一）本市新能源发电企业自2025年12月参与电力市场交易，具体实施细则详见附件。</w:t>
      </w:r>
    </w:p>
    <w:p w14:paraId="38A8F191" w14:textId="77777777" w:rsidR="00D74A57" w:rsidRDefault="00000000">
      <w:pPr>
        <w:spacing w:line="600" w:lineRule="exact"/>
        <w:ind w:firstLineChars="200" w:firstLine="640"/>
        <w:rPr>
          <w:rStyle w:val="aff3"/>
          <w:rFonts w:ascii="仿宋_GB2312" w:hAnsi="仿宋_GB2312" w:cs="仿宋_GB2312" w:hint="eastAsia"/>
        </w:rPr>
      </w:pPr>
      <w:r>
        <w:rPr>
          <w:rFonts w:ascii="仿宋_GB2312" w:hAnsi="仿宋_GB2312" w:cs="仿宋_GB2312" w:hint="eastAsia"/>
        </w:rPr>
        <w:t>（二）绿证是我国可再生能源电量环境属性的唯一证明，是认定可再生能源电力生产、消费的唯一凭证。</w:t>
      </w:r>
    </w:p>
    <w:p w14:paraId="44480BDC"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（三）鼓励电力用户积极参与绿色电力交易，提高可再生能源消费占比，在绿色电力交易各个环节落实优先组织、优先调度、优先结算相关要求。</w:t>
      </w:r>
    </w:p>
    <w:p w14:paraId="1AFBDC01"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四）鼓励跨国公司及其产业链企业、外向型企业、行业龙头企业购买绿证、使用绿色电力产品，发挥示范带动作用。支持外商投资企业参与绿证交易和绿色电力交易。推动中央企业、地方国有企业、机关和事业单位发挥先行带头作用，稳步提升绿色电力产品消费比例。强化高耗能企业绿色电力消费责任，按要求提升绿色电力消费水平。支持重点企业、园区等高比例消费绿色电力，打造绿色电力企业、绿色电力园区、绿色电力单位。支持城市副中心开展绿色电力、绿证交易，助力高质量发展。</w:t>
      </w:r>
    </w:p>
    <w:p w14:paraId="4B33C71D"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（五）交易公告发布前，应报送市城市管理委。北京电力交易中心、首都电力交易中心应及时组织有意向参与绿色电力交易的经营主体进行交易平台操作培训和政策宣</w:t>
      </w:r>
      <w:proofErr w:type="gramStart"/>
      <w:r>
        <w:rPr>
          <w:rFonts w:ascii="仿宋_GB2312" w:hAnsi="仿宋_GB2312" w:cs="仿宋_GB2312" w:hint="eastAsia"/>
        </w:rPr>
        <w:t>贯</w:t>
      </w:r>
      <w:proofErr w:type="gramEnd"/>
      <w:r>
        <w:rPr>
          <w:rFonts w:ascii="仿宋_GB2312" w:hAnsi="仿宋_GB2312" w:cs="仿宋_GB2312" w:hint="eastAsia"/>
        </w:rPr>
        <w:t>。</w:t>
      </w:r>
    </w:p>
    <w:p w14:paraId="1C6A7895"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（六）北京市2026年</w:t>
      </w:r>
      <w:proofErr w:type="gramStart"/>
      <w:r>
        <w:rPr>
          <w:rFonts w:ascii="仿宋_GB2312" w:hAnsi="仿宋_GB2312" w:cs="仿宋_GB2312" w:hint="eastAsia"/>
        </w:rPr>
        <w:t>绿电交易</w:t>
      </w:r>
      <w:proofErr w:type="gramEnd"/>
      <w:r>
        <w:rPr>
          <w:rFonts w:ascii="仿宋_GB2312" w:hAnsi="仿宋_GB2312" w:cs="仿宋_GB2312" w:hint="eastAsia"/>
        </w:rPr>
        <w:t>按照本方案执行，如</w:t>
      </w:r>
      <w:proofErr w:type="gramStart"/>
      <w:r>
        <w:rPr>
          <w:rFonts w:ascii="仿宋_GB2312" w:hAnsi="仿宋_GB2312" w:cs="仿宋_GB2312" w:hint="eastAsia"/>
        </w:rPr>
        <w:t>遇政策</w:t>
      </w:r>
      <w:proofErr w:type="gramEnd"/>
      <w:r>
        <w:rPr>
          <w:rFonts w:ascii="仿宋_GB2312" w:hAnsi="仿宋_GB2312" w:cs="仿宋_GB2312" w:hint="eastAsia"/>
        </w:rPr>
        <w:t>调整，由市城市管理委另行发布。</w:t>
      </w:r>
    </w:p>
    <w:p w14:paraId="3BA0A5D3" w14:textId="77777777" w:rsidR="00D74A57" w:rsidRDefault="00000000">
      <w:pPr>
        <w:spacing w:line="600" w:lineRule="exact"/>
        <w:ind w:firstLineChars="200" w:firstLine="640"/>
        <w:rPr>
          <w:rFonts w:ascii="仿宋_GB2312" w:hAnsi="仿宋_GB2312" w:cs="仿宋_GB2312" w:hint="eastAsia"/>
          <w:spacing w:val="-17"/>
        </w:rPr>
      </w:pPr>
      <w:r>
        <w:rPr>
          <w:rFonts w:ascii="仿宋_GB2312" w:hAnsi="仿宋_GB2312" w:cs="仿宋_GB2312" w:hint="eastAsia"/>
        </w:rPr>
        <w:t>附件：</w:t>
      </w:r>
      <w:r>
        <w:rPr>
          <w:rFonts w:ascii="仿宋_GB2312" w:hAnsi="仿宋_GB2312" w:cs="仿宋_GB2312" w:hint="eastAsia"/>
          <w:spacing w:val="-17"/>
        </w:rPr>
        <w:t>北京市2026年新能源发电企业参与电力中长期交易细则</w:t>
      </w:r>
    </w:p>
    <w:p w14:paraId="1D066440" w14:textId="77777777" w:rsidR="00D74A57" w:rsidRDefault="00000000">
      <w:pPr>
        <w:snapToGrid w:val="0"/>
        <w:spacing w:line="600" w:lineRule="exact"/>
        <w:rPr>
          <w:rFonts w:ascii="黑体" w:eastAsia="黑体" w:hAnsi="黑体" w:cs="黑体" w:hint="eastAsia"/>
          <w:bCs/>
        </w:rPr>
      </w:pPr>
      <w:r>
        <w:rPr>
          <w:rFonts w:ascii="CESI宋体-GB18030" w:eastAsia="CESI宋体-GB18030" w:hAnsi="CESI宋体-GB18030" w:cs="CESI宋体-GB18030" w:hint="eastAsia"/>
          <w:bCs/>
        </w:rPr>
        <w:lastRenderedPageBreak/>
        <w:t>附件</w:t>
      </w:r>
    </w:p>
    <w:p w14:paraId="1940A180" w14:textId="77777777" w:rsidR="00D74A57" w:rsidRDefault="00000000">
      <w:pPr>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北京市2026年新能源发电企业参与</w:t>
      </w:r>
    </w:p>
    <w:p w14:paraId="5F807275" w14:textId="77777777" w:rsidR="00D74A57" w:rsidRDefault="00000000">
      <w:pPr>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电力中长期交易实施细则</w:t>
      </w:r>
    </w:p>
    <w:p w14:paraId="5DB3CCDE" w14:textId="77777777" w:rsidR="00D74A57" w:rsidRDefault="00D74A57">
      <w:pPr>
        <w:pStyle w:val="21"/>
        <w:spacing w:after="0" w:line="600" w:lineRule="exact"/>
        <w:jc w:val="center"/>
        <w:rPr>
          <w:rFonts w:ascii="宋体" w:eastAsia="仿宋_GB2312" w:hAnsi="宋体" w:hint="eastAsia"/>
          <w:snapToGrid w:val="0"/>
          <w:kern w:val="32"/>
          <w:sz w:val="44"/>
          <w:szCs w:val="44"/>
        </w:rPr>
      </w:pPr>
    </w:p>
    <w:p w14:paraId="55C73CBC"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第一章 总则</w:t>
      </w:r>
    </w:p>
    <w:p w14:paraId="5771DB33"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第一条</w:t>
      </w:r>
      <w:r>
        <w:rPr>
          <w:rFonts w:ascii="仿宋_GB2312" w:hAnsi="仿宋_GB2312" w:cs="仿宋_GB2312" w:hint="eastAsia"/>
        </w:rPr>
        <w:t xml:space="preserve"> 为贯彻</w:t>
      </w:r>
      <w:proofErr w:type="gramStart"/>
      <w:r>
        <w:rPr>
          <w:rFonts w:ascii="仿宋_GB2312" w:hAnsi="仿宋_GB2312" w:cs="仿宋_GB2312" w:hint="eastAsia"/>
        </w:rPr>
        <w:t>落实碳达峰</w:t>
      </w:r>
      <w:proofErr w:type="gramEnd"/>
      <w:r>
        <w:rPr>
          <w:rFonts w:ascii="仿宋_GB2312" w:hAnsi="仿宋_GB2312" w:cs="仿宋_GB2312" w:hint="eastAsia"/>
        </w:rPr>
        <w:t>、碳中和战略部署，加快建立有利于促进绿色能源生产消费的市场体系和长效机制，推进北京市新能源发电企业参与电力中长期交易（以下简称“中长期交易”）工作有序开展，按照国家发展改革委、国家能源局《关于深化新能源上网电价市场化改革促进新能源高质量发展的通知》（</w:t>
      </w:r>
      <w:proofErr w:type="gramStart"/>
      <w:r>
        <w:rPr>
          <w:rFonts w:ascii="仿宋_GB2312" w:hAnsi="仿宋_GB2312" w:cs="仿宋_GB2312" w:hint="eastAsia"/>
        </w:rPr>
        <w:t>发改价格</w:t>
      </w:r>
      <w:proofErr w:type="gramEnd"/>
      <w:r>
        <w:rPr>
          <w:rFonts w:ascii="仿宋_GB2312" w:hAnsi="仿宋_GB2312" w:cs="仿宋_GB2312" w:hint="eastAsia"/>
        </w:rPr>
        <w:t>〔2025〕136号）等文件要求，制定本细则。</w:t>
      </w:r>
    </w:p>
    <w:p w14:paraId="45F32ABD"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第二条</w:t>
      </w:r>
      <w:r>
        <w:rPr>
          <w:rFonts w:ascii="仿宋_GB2312" w:hAnsi="仿宋_GB2312" w:cs="仿宋_GB2312" w:hint="eastAsia"/>
        </w:rPr>
        <w:t xml:space="preserve"> 本细则所称中长期交易，指符合条件的经营主体，通过市场化方式，在首都电力交易中心交易平台（以下简称“交易平台”）上，开展的多年、年度、月度、月内等电力批发交易。</w:t>
      </w:r>
    </w:p>
    <w:p w14:paraId="1CBB6E21"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第二章 适用对象</w:t>
      </w:r>
    </w:p>
    <w:p w14:paraId="5D7C96D1"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第三条</w:t>
      </w:r>
      <w:r>
        <w:rPr>
          <w:rFonts w:ascii="仿宋_GB2312" w:hAnsi="仿宋_GB2312" w:cs="仿宋_GB2312" w:hint="eastAsia"/>
        </w:rPr>
        <w:t xml:space="preserve"> 本细则适用对象为北京市区域内新能源项目（集中式光伏项目、集中式风电项目、分布式光伏发电项目、分散式风电项目），新能源项目上网电量原则上全部进入电力市场，上网电价通过市场交易形成。</w:t>
      </w:r>
    </w:p>
    <w:p w14:paraId="0FB2BDEC" w14:textId="77777777" w:rsidR="00D74A57" w:rsidRDefault="00000000">
      <w:pPr>
        <w:spacing w:line="600" w:lineRule="exact"/>
        <w:ind w:firstLineChars="200" w:firstLine="643"/>
        <w:rPr>
          <w:rFonts w:ascii="仿宋_GB2312" w:hAnsi="仿宋_GB2312" w:cs="仿宋_GB2312" w:hint="eastAsia"/>
          <w:b/>
          <w:bCs/>
        </w:rPr>
      </w:pPr>
      <w:r>
        <w:rPr>
          <w:rFonts w:ascii="仿宋_GB2312" w:hAnsi="仿宋_GB2312" w:cs="仿宋_GB2312" w:hint="eastAsia"/>
          <w:b/>
          <w:bCs/>
        </w:rPr>
        <w:t xml:space="preserve">第四条 </w:t>
      </w:r>
      <w:r>
        <w:rPr>
          <w:rFonts w:ascii="仿宋_GB2312" w:hAnsi="仿宋_GB2312" w:cs="仿宋_GB2312" w:hint="eastAsia"/>
        </w:rPr>
        <w:t>新能源项目可报量报价参与交易，也可接受市场形成的价格，已直接参与交易的新能源项目不得退出直接电力交易</w:t>
      </w:r>
      <w:r>
        <w:rPr>
          <w:rFonts w:ascii="仿宋_GB2312" w:hAnsi="仿宋_GB2312" w:cs="仿宋_GB2312" w:hint="eastAsia"/>
        </w:rPr>
        <w:lastRenderedPageBreak/>
        <w:t>市场。</w:t>
      </w:r>
    </w:p>
    <w:p w14:paraId="572CD316"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第三章 基本条件与注册条件</w:t>
      </w:r>
    </w:p>
    <w:p w14:paraId="6DAAD05A"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第一节 基本条件</w:t>
      </w:r>
    </w:p>
    <w:p w14:paraId="4D07F2F9" w14:textId="77777777" w:rsidR="00D74A57" w:rsidRDefault="00000000">
      <w:pPr>
        <w:numPr>
          <w:ilvl w:val="255"/>
          <w:numId w:val="0"/>
        </w:numPr>
        <w:spacing w:line="600" w:lineRule="exact"/>
        <w:ind w:firstLineChars="200" w:firstLine="643"/>
        <w:outlineLvl w:val="1"/>
        <w:rPr>
          <w:rFonts w:ascii="仿宋_GB2312" w:hAnsi="仿宋_GB2312" w:cs="仿宋_GB2312" w:hint="eastAsia"/>
        </w:rPr>
      </w:pPr>
      <w:r>
        <w:rPr>
          <w:rFonts w:ascii="仿宋_GB2312" w:hAnsi="仿宋_GB2312" w:cs="仿宋_GB2312" w:hint="eastAsia"/>
          <w:b/>
          <w:bCs/>
        </w:rPr>
        <w:t>第五条</w:t>
      </w:r>
      <w:r>
        <w:rPr>
          <w:rFonts w:ascii="仿宋_GB2312" w:hAnsi="仿宋_GB2312" w:cs="仿宋_GB2312" w:hint="eastAsia"/>
        </w:rPr>
        <w:t xml:space="preserve"> 新能源发电企业应当是财务独立核算、能够独立承担民事责任的企业、经法人单位授权的内部核算主体。新能源发电企业参与北京市电力市场化交易，应当符合基本条件。新能源发电企业基本条件如下：</w:t>
      </w:r>
    </w:p>
    <w:p w14:paraId="4501120C" w14:textId="77777777" w:rsidR="00D74A57" w:rsidRDefault="00000000">
      <w:pPr>
        <w:numPr>
          <w:ilvl w:val="255"/>
          <w:numId w:val="0"/>
        </w:numPr>
        <w:spacing w:line="600" w:lineRule="exact"/>
        <w:ind w:firstLineChars="200" w:firstLine="640"/>
        <w:outlineLvl w:val="1"/>
        <w:rPr>
          <w:rFonts w:ascii="仿宋_GB2312" w:hAnsi="仿宋_GB2312" w:cs="仿宋_GB2312" w:hint="eastAsia"/>
        </w:rPr>
      </w:pPr>
      <w:r>
        <w:rPr>
          <w:rFonts w:ascii="仿宋_GB2312" w:hAnsi="仿宋_GB2312" w:cs="仿宋_GB2312" w:hint="eastAsia"/>
        </w:rPr>
        <w:t>1.依法取得发电项目核准或者备案文件，依法取得、按规定时限正在办理或者豁免电力业务许可证（发电类）；</w:t>
      </w:r>
    </w:p>
    <w:p w14:paraId="551E3D29" w14:textId="77777777" w:rsidR="00D74A57" w:rsidRDefault="00000000">
      <w:pPr>
        <w:numPr>
          <w:ilvl w:val="255"/>
          <w:numId w:val="0"/>
        </w:numPr>
        <w:spacing w:line="600" w:lineRule="exact"/>
        <w:ind w:firstLineChars="200" w:firstLine="640"/>
        <w:outlineLvl w:val="1"/>
        <w:rPr>
          <w:rFonts w:ascii="仿宋_GB2312" w:hAnsi="仿宋_GB2312" w:cs="仿宋_GB2312" w:hint="eastAsia"/>
        </w:rPr>
      </w:pPr>
      <w:r>
        <w:rPr>
          <w:rFonts w:ascii="仿宋_GB2312" w:hAnsi="仿宋_GB2312" w:cs="仿宋_GB2312" w:hint="eastAsia"/>
        </w:rPr>
        <w:t>2.已与电网企业签订并网调度协议，接入电力调度自动化系统；</w:t>
      </w:r>
    </w:p>
    <w:p w14:paraId="041D2FD4" w14:textId="77777777" w:rsidR="00D74A57" w:rsidRDefault="00000000">
      <w:pPr>
        <w:numPr>
          <w:ilvl w:val="255"/>
          <w:numId w:val="0"/>
        </w:numPr>
        <w:spacing w:line="600" w:lineRule="exact"/>
        <w:ind w:firstLineChars="200" w:firstLine="640"/>
        <w:outlineLvl w:val="1"/>
        <w:rPr>
          <w:rFonts w:ascii="仿宋_GB2312" w:hAnsi="仿宋_GB2312" w:cs="仿宋_GB2312" w:hint="eastAsia"/>
        </w:rPr>
      </w:pPr>
      <w:r>
        <w:rPr>
          <w:rFonts w:ascii="仿宋_GB2312" w:hAnsi="仿宋_GB2312" w:cs="仿宋_GB2312" w:hint="eastAsia"/>
        </w:rPr>
        <w:t>3.具备相应的计量能力或者替代技术手段，满足电力市场计量和结算的要求。</w:t>
      </w:r>
    </w:p>
    <w:p w14:paraId="6EC09B00" w14:textId="77777777" w:rsidR="00D74A57" w:rsidRDefault="00000000">
      <w:pPr>
        <w:numPr>
          <w:ilvl w:val="255"/>
          <w:numId w:val="0"/>
        </w:numPr>
        <w:spacing w:line="600" w:lineRule="exact"/>
        <w:jc w:val="center"/>
        <w:rPr>
          <w:rFonts w:ascii="黑体" w:eastAsia="黑体" w:hAnsi="黑体" w:cs="仿宋_GB2312" w:hint="eastAsia"/>
        </w:rPr>
      </w:pPr>
      <w:r>
        <w:rPr>
          <w:rFonts w:ascii="黑体" w:eastAsia="黑体" w:hAnsi="黑体" w:cs="仿宋_GB2312" w:hint="eastAsia"/>
        </w:rPr>
        <w:t>第二节 注册条件</w:t>
      </w:r>
    </w:p>
    <w:p w14:paraId="6E0737AC"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第六条</w:t>
      </w:r>
      <w:r>
        <w:rPr>
          <w:rFonts w:ascii="仿宋_GB2312" w:hAnsi="仿宋_GB2312" w:cs="仿宋_GB2312" w:hint="eastAsia"/>
        </w:rPr>
        <w:t xml:space="preserve"> 新能源发电企业在首都电力交易中心办理市场注册，</w:t>
      </w:r>
      <w:r>
        <w:rPr>
          <w:rFonts w:ascii="仿宋_GB2312" w:hAnsi="方正仿宋_GBK" w:cs="方正仿宋_GBK" w:hint="eastAsia"/>
        </w:rPr>
        <w:t>应当符合国家能源局《关于印发〈电力市场注册基本规则〉的通知》（国能发监管</w:t>
      </w:r>
      <w:proofErr w:type="gramStart"/>
      <w:r>
        <w:rPr>
          <w:rFonts w:ascii="仿宋_GB2312" w:hAnsi="方正仿宋_GBK" w:cs="方正仿宋_GBK" w:hint="eastAsia"/>
        </w:rPr>
        <w:t>规</w:t>
      </w:r>
      <w:proofErr w:type="gramEnd"/>
      <w:r>
        <w:rPr>
          <w:rFonts w:ascii="仿宋_GB2312" w:hAnsi="方正仿宋_GBK" w:cs="方正仿宋_GBK" w:hint="eastAsia"/>
        </w:rPr>
        <w:t>〔2024〕76号）要求，</w:t>
      </w:r>
      <w:r>
        <w:rPr>
          <w:rFonts w:ascii="仿宋_GB2312" w:hAnsi="仿宋_GB2312" w:cs="仿宋_GB2312" w:hint="eastAsia"/>
        </w:rPr>
        <w:t>按照申请、承诺、审查、公示、生效的流程办理，对注册业务信息以及相关支撑性材料的真实性、准确性、完整性负责。</w:t>
      </w:r>
    </w:p>
    <w:p w14:paraId="25EFB83F" w14:textId="77777777" w:rsidR="00D74A57" w:rsidRDefault="00000000">
      <w:pPr>
        <w:spacing w:line="600" w:lineRule="exact"/>
        <w:ind w:firstLineChars="200" w:firstLine="643"/>
        <w:rPr>
          <w:rFonts w:ascii="黑体" w:eastAsia="黑体" w:hAnsi="黑体" w:cs="黑体" w:hint="eastAsia"/>
        </w:rPr>
      </w:pPr>
      <w:r>
        <w:rPr>
          <w:rFonts w:ascii="仿宋_GB2312" w:hAnsi="仿宋_GB2312" w:cs="仿宋_GB2312" w:hint="eastAsia"/>
          <w:b/>
          <w:bCs/>
        </w:rPr>
        <w:t>第七条</w:t>
      </w:r>
      <w:r>
        <w:rPr>
          <w:rFonts w:ascii="仿宋_GB2312" w:hAnsi="仿宋_GB2312" w:cs="仿宋_GB2312" w:hint="eastAsia"/>
        </w:rPr>
        <w:t xml:space="preserve"> 分布式光伏发电项目、分散式风</w:t>
      </w:r>
      <w:proofErr w:type="gramStart"/>
      <w:r>
        <w:rPr>
          <w:rFonts w:ascii="仿宋_GB2312" w:hAnsi="仿宋_GB2312" w:cs="仿宋_GB2312" w:hint="eastAsia"/>
        </w:rPr>
        <w:t>电项目</w:t>
      </w:r>
      <w:proofErr w:type="gramEnd"/>
      <w:r>
        <w:rPr>
          <w:rFonts w:ascii="仿宋_GB2312" w:hAnsi="仿宋_GB2312" w:cs="仿宋_GB2312" w:hint="eastAsia"/>
        </w:rPr>
        <w:t>暂不开展注册。</w:t>
      </w:r>
    </w:p>
    <w:p w14:paraId="787C1EFA"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lastRenderedPageBreak/>
        <w:t>第四章 交易方式</w:t>
      </w:r>
    </w:p>
    <w:p w14:paraId="4CBD51B5"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第八条</w:t>
      </w:r>
      <w:r>
        <w:rPr>
          <w:rFonts w:ascii="仿宋_GB2312" w:hAnsi="仿宋_GB2312" w:cs="仿宋_GB2312" w:hint="eastAsia"/>
        </w:rPr>
        <w:t xml:space="preserve"> 集中式新能源发电企业（集中式光伏项目、集中式风电项目）自行选择</w:t>
      </w:r>
      <w:proofErr w:type="gramStart"/>
      <w:r>
        <w:rPr>
          <w:rFonts w:ascii="仿宋_GB2312" w:hAnsi="仿宋_GB2312" w:cs="仿宋_GB2312" w:hint="eastAsia"/>
        </w:rPr>
        <w:t>参与绿电市场化</w:t>
      </w:r>
      <w:proofErr w:type="gramEnd"/>
      <w:r>
        <w:rPr>
          <w:rFonts w:ascii="仿宋_GB2312" w:hAnsi="仿宋_GB2312" w:cs="仿宋_GB2312" w:hint="eastAsia"/>
        </w:rPr>
        <w:t>交易或者选择参加电能量中长期交易。集中式新能源发电企业参与绿色电力交易时，交易方式为双边协商、挂牌交易等，北京市绿色电力交易不单独组织集中竞价和滚动撮合交易；集中式新能源发电企业参与电能量中长期交易时，交易方式按照《北京市2026年电力市场化交易方案》执行。鼓励发用双方签订多年期购电协议，形成稳定供求关系。</w:t>
      </w:r>
    </w:p>
    <w:p w14:paraId="15F47462"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第九条</w:t>
      </w:r>
      <w:r>
        <w:rPr>
          <w:rFonts w:ascii="仿宋_GB2312" w:hAnsi="仿宋_GB2312" w:cs="仿宋_GB2312" w:hint="eastAsia"/>
        </w:rPr>
        <w:t xml:space="preserve"> 综合考虑分布式新能源发电项目（分布式光伏发电项目、分散式风电项目）数量多、电量规模小，2026年分布式新能源发电项目暂时作为价格接受者，</w:t>
      </w:r>
      <w:proofErr w:type="gramStart"/>
      <w:r>
        <w:rPr>
          <w:rFonts w:ascii="仿宋_GB2312" w:hAnsi="仿宋_GB2312" w:cs="仿宋_GB2312" w:hint="eastAsia"/>
        </w:rPr>
        <w:t>通过国网北京市</w:t>
      </w:r>
      <w:proofErr w:type="gramEnd"/>
      <w:r>
        <w:rPr>
          <w:rFonts w:ascii="仿宋_GB2312" w:hAnsi="仿宋_GB2312" w:cs="仿宋_GB2312" w:hint="eastAsia"/>
        </w:rPr>
        <w:t>电力公司代理购电参与电力市场。</w:t>
      </w:r>
    </w:p>
    <w:p w14:paraId="5E218F18"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第五章 价格机制</w:t>
      </w:r>
    </w:p>
    <w:p w14:paraId="487B6E19" w14:textId="77777777" w:rsidR="00D74A57" w:rsidRDefault="00000000">
      <w:pPr>
        <w:spacing w:line="600" w:lineRule="exact"/>
        <w:ind w:firstLineChars="200" w:firstLine="643"/>
        <w:rPr>
          <w:rFonts w:ascii="仿宋_GB2312" w:hint="eastAsia"/>
        </w:rPr>
      </w:pPr>
      <w:r>
        <w:rPr>
          <w:rFonts w:ascii="仿宋_GB2312" w:hAnsi="仿宋_GB2312" w:cs="仿宋_GB2312" w:hint="eastAsia"/>
          <w:b/>
          <w:bCs/>
        </w:rPr>
        <w:t>第十条</w:t>
      </w:r>
      <w:r>
        <w:rPr>
          <w:rFonts w:ascii="仿宋_GB2312" w:hAnsi="仿宋_GB2312" w:cs="仿宋_GB2312" w:hint="eastAsia"/>
        </w:rPr>
        <w:t xml:space="preserve"> 新能源发电企业交易价格由市场化机制形成，在参与电力市场交易后，在电力市场外建立差价结算的可持续发展价格结算机制</w:t>
      </w:r>
      <w:r>
        <w:rPr>
          <w:rFonts w:ascii="仿宋_GB2312" w:hAnsi="华文楷体" w:cs="华文楷体" w:hint="eastAsia"/>
        </w:rPr>
        <w:t>（简称“机制电价”）</w:t>
      </w:r>
      <w:r>
        <w:rPr>
          <w:rFonts w:ascii="仿宋_GB2312" w:hAnsi="仿宋_GB2312" w:cs="仿宋_GB2312" w:hint="eastAsia"/>
        </w:rPr>
        <w:t>。</w:t>
      </w:r>
      <w:r>
        <w:rPr>
          <w:rFonts w:ascii="仿宋_GB2312" w:hint="eastAsia"/>
        </w:rPr>
        <w:t>对纳入机制的电量，</w:t>
      </w:r>
      <w:proofErr w:type="gramStart"/>
      <w:r>
        <w:rPr>
          <w:rFonts w:ascii="仿宋_GB2312" w:hint="eastAsia"/>
        </w:rPr>
        <w:t>国网北京市</w:t>
      </w:r>
      <w:proofErr w:type="gramEnd"/>
      <w:r>
        <w:rPr>
          <w:rFonts w:ascii="仿宋_GB2312" w:hint="eastAsia"/>
        </w:rPr>
        <w:t>电力公司每月</w:t>
      </w:r>
      <w:proofErr w:type="gramStart"/>
      <w:r>
        <w:rPr>
          <w:rFonts w:ascii="仿宋_GB2312" w:hint="eastAsia"/>
        </w:rPr>
        <w:t>按机制</w:t>
      </w:r>
      <w:proofErr w:type="gramEnd"/>
      <w:r>
        <w:rPr>
          <w:rFonts w:ascii="仿宋_GB2312" w:hint="eastAsia"/>
        </w:rPr>
        <w:t>电价开展差价结算，将市场交易均价与机制电价的差额纳入本市系统运行费用。</w:t>
      </w:r>
    </w:p>
    <w:p w14:paraId="423BA1E1" w14:textId="77777777" w:rsidR="00D74A57" w:rsidRDefault="00000000">
      <w:pPr>
        <w:spacing w:line="600" w:lineRule="exact"/>
        <w:ind w:firstLineChars="200" w:firstLine="643"/>
        <w:rPr>
          <w:rFonts w:ascii="仿宋_GB2312" w:hint="eastAsia"/>
        </w:rPr>
      </w:pPr>
      <w:r>
        <w:rPr>
          <w:rFonts w:ascii="仿宋_GB2312" w:hint="eastAsia"/>
          <w:b/>
          <w:bCs/>
        </w:rPr>
        <w:t>第十一条</w:t>
      </w:r>
      <w:r>
        <w:rPr>
          <w:rFonts w:ascii="仿宋_GB2312" w:hint="eastAsia"/>
        </w:rPr>
        <w:t xml:space="preserve"> 市场交易均价</w:t>
      </w:r>
      <w:bookmarkStart w:id="0" w:name="_Hlk199231923"/>
      <w:r>
        <w:rPr>
          <w:rFonts w:ascii="仿宋_GB2312" w:hint="eastAsia"/>
        </w:rPr>
        <w:t>为北京市新能源发电企业同类项目的最近一月所有交易（包括</w:t>
      </w:r>
      <w:proofErr w:type="gramStart"/>
      <w:r>
        <w:rPr>
          <w:rFonts w:ascii="仿宋_GB2312" w:hint="eastAsia"/>
        </w:rPr>
        <w:t>绿电交易</w:t>
      </w:r>
      <w:proofErr w:type="gramEnd"/>
      <w:r>
        <w:rPr>
          <w:rFonts w:ascii="仿宋_GB2312" w:hint="eastAsia"/>
        </w:rPr>
        <w:t>、年度分月</w:t>
      </w:r>
      <w:r>
        <w:rPr>
          <w:rFonts w:ascii="仿宋_GB2312" w:hAnsi="仿宋_GB2312" w:cs="仿宋_GB2312" w:hint="eastAsia"/>
        </w:rPr>
        <w:t>电能量中长期交易</w:t>
      </w:r>
      <w:r>
        <w:rPr>
          <w:rFonts w:ascii="仿宋_GB2312" w:hint="eastAsia"/>
        </w:rPr>
        <w:t>、月度与月内</w:t>
      </w:r>
      <w:r>
        <w:rPr>
          <w:rFonts w:ascii="仿宋_GB2312" w:hAnsi="仿宋_GB2312" w:cs="仿宋_GB2312" w:hint="eastAsia"/>
        </w:rPr>
        <w:t>电能量中长期交易</w:t>
      </w:r>
      <w:r>
        <w:rPr>
          <w:rFonts w:ascii="仿宋_GB2312" w:hint="eastAsia"/>
        </w:rPr>
        <w:t>）电能量加权平均价格</w:t>
      </w:r>
      <w:bookmarkEnd w:id="0"/>
      <w:r>
        <w:rPr>
          <w:rFonts w:ascii="仿宋_GB2312" w:hint="eastAsia"/>
        </w:rPr>
        <w:t>。</w:t>
      </w:r>
    </w:p>
    <w:p w14:paraId="04BE04B1" w14:textId="77777777" w:rsidR="00D74A57" w:rsidRDefault="00000000">
      <w:pPr>
        <w:pStyle w:val="21"/>
        <w:spacing w:after="0" w:line="600" w:lineRule="exact"/>
        <w:ind w:firstLineChars="200" w:firstLine="643"/>
      </w:pPr>
      <w:r>
        <w:rPr>
          <w:rFonts w:ascii="仿宋_GB2312" w:eastAsia="仿宋_GB2312" w:hint="eastAsia"/>
          <w:b/>
          <w:bCs/>
          <w:sz w:val="32"/>
          <w:szCs w:val="32"/>
        </w:rPr>
        <w:lastRenderedPageBreak/>
        <w:t>第十二条</w:t>
      </w:r>
      <w:r>
        <w:rPr>
          <w:rFonts w:ascii="仿宋_GB2312" w:eastAsia="仿宋_GB2312" w:hint="eastAsia"/>
          <w:sz w:val="32"/>
          <w:szCs w:val="32"/>
        </w:rPr>
        <w:t xml:space="preserve"> </w:t>
      </w:r>
      <w:r>
        <w:rPr>
          <w:rFonts w:ascii="仿宋_GB2312" w:eastAsia="仿宋_GB2312" w:hAnsi="仿宋_GB2312" w:cs="仿宋_GB2312" w:hint="eastAsia"/>
          <w:snapToGrid w:val="0"/>
          <w:kern w:val="32"/>
          <w:sz w:val="32"/>
          <w:szCs w:val="32"/>
        </w:rPr>
        <w:t>新能源发电企业参与电网代理购电时，以报量不报价方式，作为价格接受者参与市场。</w:t>
      </w:r>
    </w:p>
    <w:p w14:paraId="08C6A683"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第六章 交易组织与安排</w:t>
      </w:r>
    </w:p>
    <w:p w14:paraId="47EEA982"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第一节 交易组织</w:t>
      </w:r>
    </w:p>
    <w:p w14:paraId="29E9C9BA"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第十三条</w:t>
      </w:r>
      <w:r>
        <w:rPr>
          <w:rFonts w:ascii="仿宋_GB2312" w:hAnsi="仿宋_GB2312" w:cs="仿宋_GB2312" w:hint="eastAsia"/>
        </w:rPr>
        <w:t xml:space="preserve"> 新能源发电企业参与市场化交易工作</w:t>
      </w:r>
      <w:proofErr w:type="gramStart"/>
      <w:r>
        <w:rPr>
          <w:rFonts w:ascii="仿宋_GB2312" w:hAnsi="仿宋_GB2312" w:cs="仿宋_GB2312" w:hint="eastAsia"/>
        </w:rPr>
        <w:t>由国网华北分部</w:t>
      </w:r>
      <w:proofErr w:type="gramEnd"/>
      <w:r>
        <w:rPr>
          <w:rFonts w:ascii="仿宋_GB2312" w:hAnsi="仿宋_GB2312" w:cs="仿宋_GB2312" w:hint="eastAsia"/>
        </w:rPr>
        <w:t>（</w:t>
      </w:r>
      <w:proofErr w:type="gramStart"/>
      <w:r>
        <w:rPr>
          <w:rFonts w:ascii="仿宋_GB2312" w:hAnsi="仿宋_GB2312" w:cs="仿宋_GB2312" w:hint="eastAsia"/>
        </w:rPr>
        <w:t>京交二部</w:t>
      </w:r>
      <w:proofErr w:type="gramEnd"/>
      <w:r>
        <w:rPr>
          <w:rFonts w:ascii="仿宋_GB2312" w:hAnsi="仿宋_GB2312" w:cs="仿宋_GB2312" w:hint="eastAsia"/>
        </w:rPr>
        <w:t>）、首都电力交易中心共同组织开展。</w:t>
      </w:r>
    </w:p>
    <w:p w14:paraId="08ECB4D2"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 xml:space="preserve">第十四条 </w:t>
      </w:r>
      <w:r>
        <w:rPr>
          <w:rFonts w:ascii="仿宋_GB2312" w:hAnsi="仿宋_GB2312" w:cs="仿宋_GB2312" w:hint="eastAsia"/>
        </w:rPr>
        <w:t>首都电力交易中心根据新能源发电企业的交易意向，以年、月（多月）、月内等为周期常态化组织开展交易。原则上按直接交易、电网企业代理购电交易顺序组织实施。</w:t>
      </w:r>
    </w:p>
    <w:p w14:paraId="7BE1A45E"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第二节 交易申报</w:t>
      </w:r>
    </w:p>
    <w:p w14:paraId="1A6BA050"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第十五条</w:t>
      </w:r>
      <w:r>
        <w:rPr>
          <w:rFonts w:ascii="仿宋_GB2312" w:hAnsi="仿宋_GB2312" w:cs="仿宋_GB2312" w:hint="eastAsia"/>
        </w:rPr>
        <w:t xml:space="preserve"> 新能源发电企业参与</w:t>
      </w:r>
      <w:proofErr w:type="gramStart"/>
      <w:r>
        <w:rPr>
          <w:rFonts w:ascii="仿宋_GB2312" w:hAnsi="仿宋_GB2312" w:cs="仿宋_GB2312" w:hint="eastAsia"/>
        </w:rPr>
        <w:t>本市绿电及</w:t>
      </w:r>
      <w:proofErr w:type="gramEnd"/>
      <w:r>
        <w:rPr>
          <w:rFonts w:ascii="仿宋_GB2312" w:hAnsi="仿宋_GB2312" w:cs="仿宋_GB2312" w:hint="eastAsia"/>
        </w:rPr>
        <w:t>电能量中长期交易时，申报方式参照《北京市2026年电力市场化交易方案》执行。新能源发电企业</w:t>
      </w:r>
      <w:proofErr w:type="gramStart"/>
      <w:r>
        <w:rPr>
          <w:rFonts w:ascii="仿宋_GB2312" w:hAnsi="仿宋_GB2312" w:cs="仿宋_GB2312" w:hint="eastAsia"/>
        </w:rPr>
        <w:t>申报全</w:t>
      </w:r>
      <w:proofErr w:type="gramEnd"/>
      <w:r>
        <w:rPr>
          <w:rFonts w:ascii="仿宋_GB2312" w:hAnsi="仿宋_GB2312" w:cs="仿宋_GB2312" w:hint="eastAsia"/>
        </w:rPr>
        <w:t>时段电量参与交易，分月电量不得超过其月度实际最大可发电能力。</w:t>
      </w:r>
    </w:p>
    <w:p w14:paraId="2DF1E1C6"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第十六条</w:t>
      </w:r>
      <w:r>
        <w:rPr>
          <w:rFonts w:ascii="仿宋_GB2312" w:hAnsi="仿宋_GB2312" w:cs="仿宋_GB2312" w:hint="eastAsia"/>
        </w:rPr>
        <w:t xml:space="preserve"> 北京市新能源发电企业参与绿色电力交易时，</w:t>
      </w:r>
      <w:r>
        <w:rPr>
          <w:rFonts w:ascii="仿宋_GB2312" w:hint="eastAsia"/>
        </w:rPr>
        <w:t>申报和成交价格应分别明确电能</w:t>
      </w:r>
      <w:proofErr w:type="gramStart"/>
      <w:r>
        <w:rPr>
          <w:rFonts w:ascii="仿宋_GB2312" w:hint="eastAsia"/>
        </w:rPr>
        <w:t>量价格</w:t>
      </w:r>
      <w:proofErr w:type="gramEnd"/>
      <w:r>
        <w:rPr>
          <w:rFonts w:ascii="仿宋_GB2312" w:hint="eastAsia"/>
        </w:rPr>
        <w:t>和相应绿色电力证书价格；参与电能量中长期交易时，申报和成交价格应明确电能量价格，不作为绿色电力交易，仅对电能</w:t>
      </w:r>
      <w:proofErr w:type="gramStart"/>
      <w:r>
        <w:rPr>
          <w:rFonts w:ascii="仿宋_GB2312" w:hint="eastAsia"/>
        </w:rPr>
        <w:t>量价格</w:t>
      </w:r>
      <w:proofErr w:type="gramEnd"/>
      <w:r>
        <w:rPr>
          <w:rFonts w:ascii="仿宋_GB2312" w:hint="eastAsia"/>
        </w:rPr>
        <w:t>进行结算。</w:t>
      </w:r>
    </w:p>
    <w:p w14:paraId="336F3210"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第三节 交易流程</w:t>
      </w:r>
    </w:p>
    <w:p w14:paraId="4BE04E14" w14:textId="77777777" w:rsidR="00D74A57" w:rsidRDefault="00000000">
      <w:pPr>
        <w:spacing w:line="600" w:lineRule="exact"/>
        <w:ind w:firstLineChars="200" w:firstLine="643"/>
        <w:outlineLvl w:val="2"/>
        <w:rPr>
          <w:rFonts w:ascii="仿宋_GB2312" w:hAnsi="仿宋_GB2312" w:cs="仿宋_GB2312" w:hint="eastAsia"/>
          <w:b/>
          <w:bCs/>
        </w:rPr>
      </w:pPr>
      <w:r>
        <w:rPr>
          <w:rFonts w:ascii="仿宋_GB2312" w:hAnsi="仿宋_GB2312" w:cs="仿宋_GB2312" w:hint="eastAsia"/>
          <w:b/>
          <w:bCs/>
        </w:rPr>
        <w:t xml:space="preserve">第十七条 </w:t>
      </w:r>
      <w:proofErr w:type="gramStart"/>
      <w:r>
        <w:rPr>
          <w:rFonts w:ascii="仿宋_GB2312" w:hAnsi="仿宋_GB2312" w:cs="仿宋_GB2312" w:hint="eastAsia"/>
        </w:rPr>
        <w:t>国网华北分部</w:t>
      </w:r>
      <w:proofErr w:type="gramEnd"/>
      <w:r>
        <w:rPr>
          <w:rFonts w:ascii="仿宋_GB2312" w:hAnsi="仿宋_GB2312" w:cs="仿宋_GB2312" w:hint="eastAsia"/>
        </w:rPr>
        <w:t>（</w:t>
      </w:r>
      <w:proofErr w:type="gramStart"/>
      <w:r>
        <w:rPr>
          <w:rFonts w:ascii="仿宋_GB2312" w:hAnsi="仿宋_GB2312" w:cs="仿宋_GB2312" w:hint="eastAsia"/>
        </w:rPr>
        <w:t>京交二部</w:t>
      </w:r>
      <w:proofErr w:type="gramEnd"/>
      <w:r>
        <w:rPr>
          <w:rFonts w:ascii="仿宋_GB2312" w:hAnsi="仿宋_GB2312" w:cs="仿宋_GB2312" w:hint="eastAsia"/>
        </w:rPr>
        <w:t>）、首都电力交易中心在电力交易平台发布交易公告。经营主体按时</w:t>
      </w:r>
      <w:proofErr w:type="gramStart"/>
      <w:r>
        <w:rPr>
          <w:rFonts w:ascii="仿宋_GB2312" w:hAnsi="仿宋_GB2312" w:cs="仿宋_GB2312" w:hint="eastAsia"/>
        </w:rPr>
        <w:t>间规定</w:t>
      </w:r>
      <w:proofErr w:type="gramEnd"/>
      <w:r>
        <w:rPr>
          <w:rFonts w:ascii="仿宋_GB2312" w:hAnsi="仿宋_GB2312" w:cs="仿宋_GB2312" w:hint="eastAsia"/>
        </w:rPr>
        <w:t>申报、确认</w:t>
      </w:r>
      <w:r>
        <w:rPr>
          <w:rFonts w:ascii="仿宋_GB2312" w:hAnsi="仿宋_GB2312" w:cs="仿宋_GB2312" w:hint="eastAsia"/>
        </w:rPr>
        <w:lastRenderedPageBreak/>
        <w:t>电量（电力）、电价等信息，交易平台出清形成无约束交易结果。</w:t>
      </w:r>
    </w:p>
    <w:p w14:paraId="77202CEE" w14:textId="77777777" w:rsidR="00D74A57" w:rsidRDefault="00000000">
      <w:pPr>
        <w:pStyle w:val="21"/>
        <w:spacing w:after="0" w:line="600" w:lineRule="exact"/>
        <w:ind w:firstLineChars="200" w:firstLine="643"/>
        <w:rPr>
          <w:rFonts w:ascii="仿宋_GB2312" w:eastAsia="仿宋_GB2312" w:hAnsi="仿宋_GB2312" w:cs="仿宋_GB2312" w:hint="eastAsia"/>
          <w:snapToGrid w:val="0"/>
          <w:kern w:val="32"/>
          <w:sz w:val="32"/>
          <w:szCs w:val="32"/>
        </w:rPr>
      </w:pPr>
      <w:r>
        <w:rPr>
          <w:rFonts w:ascii="仿宋_GB2312" w:eastAsia="仿宋_GB2312" w:hAnsi="仿宋_GB2312" w:cs="仿宋_GB2312" w:hint="eastAsia"/>
          <w:b/>
          <w:bCs/>
          <w:snapToGrid w:val="0"/>
          <w:kern w:val="32"/>
          <w:sz w:val="32"/>
          <w:szCs w:val="32"/>
        </w:rPr>
        <w:t>第十八条</w:t>
      </w:r>
      <w:r>
        <w:rPr>
          <w:rFonts w:ascii="仿宋_GB2312" w:eastAsia="仿宋_GB2312" w:hAnsi="仿宋_GB2312" w:cs="仿宋_GB2312" w:hint="eastAsia"/>
          <w:snapToGrid w:val="0"/>
          <w:kern w:val="32"/>
          <w:sz w:val="32"/>
          <w:szCs w:val="32"/>
        </w:rPr>
        <w:t xml:space="preserve"> </w:t>
      </w:r>
      <w:proofErr w:type="gramStart"/>
      <w:r>
        <w:rPr>
          <w:rFonts w:ascii="仿宋_GB2312" w:eastAsia="仿宋_GB2312" w:hAnsi="仿宋_GB2312" w:cs="仿宋_GB2312" w:hint="eastAsia"/>
          <w:snapToGrid w:val="0"/>
          <w:kern w:val="32"/>
          <w:sz w:val="32"/>
          <w:szCs w:val="32"/>
        </w:rPr>
        <w:t>国网华北分部</w:t>
      </w:r>
      <w:proofErr w:type="gramEnd"/>
      <w:r>
        <w:rPr>
          <w:rFonts w:ascii="仿宋_GB2312" w:eastAsia="仿宋_GB2312" w:hAnsi="仿宋_GB2312" w:cs="仿宋_GB2312" w:hint="eastAsia"/>
          <w:snapToGrid w:val="0"/>
          <w:kern w:val="32"/>
          <w:sz w:val="32"/>
          <w:szCs w:val="32"/>
        </w:rPr>
        <w:t>（</w:t>
      </w:r>
      <w:proofErr w:type="gramStart"/>
      <w:r>
        <w:rPr>
          <w:rFonts w:ascii="仿宋_GB2312" w:eastAsia="仿宋_GB2312" w:hAnsi="仿宋_GB2312" w:cs="仿宋_GB2312" w:hint="eastAsia"/>
          <w:snapToGrid w:val="0"/>
          <w:kern w:val="32"/>
          <w:sz w:val="32"/>
          <w:szCs w:val="32"/>
        </w:rPr>
        <w:t>京交二部</w:t>
      </w:r>
      <w:proofErr w:type="gramEnd"/>
      <w:r>
        <w:rPr>
          <w:rFonts w:ascii="仿宋_GB2312" w:eastAsia="仿宋_GB2312" w:hAnsi="仿宋_GB2312" w:cs="仿宋_GB2312" w:hint="eastAsia"/>
          <w:snapToGrid w:val="0"/>
          <w:kern w:val="32"/>
          <w:sz w:val="32"/>
          <w:szCs w:val="32"/>
        </w:rPr>
        <w:t>）汇总</w:t>
      </w:r>
      <w:proofErr w:type="gramStart"/>
      <w:r>
        <w:rPr>
          <w:rFonts w:ascii="仿宋_GB2312" w:eastAsia="仿宋_GB2312" w:hAnsi="仿宋_GB2312" w:cs="仿宋_GB2312" w:hint="eastAsia"/>
          <w:snapToGrid w:val="0"/>
          <w:kern w:val="32"/>
          <w:sz w:val="32"/>
          <w:szCs w:val="32"/>
        </w:rPr>
        <w:t>预成交</w:t>
      </w:r>
      <w:proofErr w:type="gramEnd"/>
      <w:r>
        <w:rPr>
          <w:rFonts w:ascii="仿宋_GB2312" w:eastAsia="仿宋_GB2312" w:hAnsi="仿宋_GB2312" w:cs="仿宋_GB2312" w:hint="eastAsia"/>
          <w:snapToGrid w:val="0"/>
          <w:kern w:val="32"/>
          <w:sz w:val="32"/>
          <w:szCs w:val="32"/>
        </w:rPr>
        <w:t>结果并</w:t>
      </w:r>
      <w:proofErr w:type="gramStart"/>
      <w:r>
        <w:rPr>
          <w:rFonts w:ascii="仿宋_GB2312" w:eastAsia="仿宋_GB2312" w:hAnsi="仿宋_GB2312" w:cs="仿宋_GB2312" w:hint="eastAsia"/>
          <w:snapToGrid w:val="0"/>
          <w:kern w:val="32"/>
          <w:sz w:val="32"/>
          <w:szCs w:val="32"/>
        </w:rPr>
        <w:t>推送国网华北电力调控中心</w:t>
      </w:r>
      <w:proofErr w:type="gramEnd"/>
      <w:r>
        <w:rPr>
          <w:rFonts w:ascii="仿宋_GB2312" w:eastAsia="仿宋_GB2312" w:hAnsi="仿宋_GB2312" w:cs="仿宋_GB2312" w:hint="eastAsia"/>
          <w:snapToGrid w:val="0"/>
          <w:kern w:val="32"/>
          <w:sz w:val="32"/>
          <w:szCs w:val="32"/>
        </w:rPr>
        <w:t>，</w:t>
      </w:r>
      <w:proofErr w:type="gramStart"/>
      <w:r>
        <w:rPr>
          <w:rFonts w:ascii="仿宋_GB2312" w:eastAsia="仿宋_GB2312" w:hAnsi="仿宋_GB2312" w:cs="仿宋_GB2312" w:hint="eastAsia"/>
          <w:snapToGrid w:val="0"/>
          <w:kern w:val="32"/>
          <w:sz w:val="32"/>
          <w:szCs w:val="32"/>
        </w:rPr>
        <w:t>由国网华北电力调控中心组织国网北京</w:t>
      </w:r>
      <w:proofErr w:type="gramEnd"/>
      <w:r>
        <w:rPr>
          <w:rFonts w:ascii="仿宋_GB2312" w:eastAsia="仿宋_GB2312" w:hAnsi="仿宋_GB2312" w:cs="仿宋_GB2312" w:hint="eastAsia"/>
          <w:snapToGrid w:val="0"/>
          <w:kern w:val="32"/>
          <w:sz w:val="32"/>
          <w:szCs w:val="32"/>
        </w:rPr>
        <w:t>市电力调控中心开展安全校核，</w:t>
      </w:r>
      <w:proofErr w:type="gramStart"/>
      <w:r>
        <w:rPr>
          <w:rFonts w:ascii="仿宋_GB2312" w:eastAsia="仿宋_GB2312" w:hAnsi="仿宋_GB2312" w:cs="仿宋_GB2312" w:hint="eastAsia"/>
          <w:snapToGrid w:val="0"/>
          <w:kern w:val="32"/>
          <w:sz w:val="32"/>
          <w:szCs w:val="32"/>
        </w:rPr>
        <w:t>国网华北电力调控中心</w:t>
      </w:r>
      <w:proofErr w:type="gramEnd"/>
      <w:r>
        <w:rPr>
          <w:rFonts w:ascii="仿宋_GB2312" w:eastAsia="仿宋_GB2312" w:hAnsi="仿宋_GB2312" w:cs="仿宋_GB2312" w:hint="eastAsia"/>
          <w:snapToGrid w:val="0"/>
          <w:kern w:val="32"/>
          <w:sz w:val="32"/>
          <w:szCs w:val="32"/>
        </w:rPr>
        <w:t>将安全校核意见</w:t>
      </w:r>
      <w:proofErr w:type="gramStart"/>
      <w:r>
        <w:rPr>
          <w:rFonts w:ascii="仿宋_GB2312" w:eastAsia="仿宋_GB2312" w:hAnsi="仿宋_GB2312" w:cs="仿宋_GB2312" w:hint="eastAsia"/>
          <w:snapToGrid w:val="0"/>
          <w:kern w:val="32"/>
          <w:sz w:val="32"/>
          <w:szCs w:val="32"/>
        </w:rPr>
        <w:t>反馈国网</w:t>
      </w:r>
      <w:proofErr w:type="gramEnd"/>
      <w:r>
        <w:rPr>
          <w:rFonts w:ascii="仿宋_GB2312" w:eastAsia="仿宋_GB2312" w:hAnsi="仿宋_GB2312" w:cs="仿宋_GB2312" w:hint="eastAsia"/>
          <w:snapToGrid w:val="0"/>
          <w:kern w:val="32"/>
          <w:sz w:val="32"/>
          <w:szCs w:val="32"/>
        </w:rPr>
        <w:t>华北分部（</w:t>
      </w:r>
      <w:proofErr w:type="gramStart"/>
      <w:r>
        <w:rPr>
          <w:rFonts w:ascii="仿宋_GB2312" w:eastAsia="仿宋_GB2312" w:hAnsi="仿宋_GB2312" w:cs="仿宋_GB2312" w:hint="eastAsia"/>
          <w:snapToGrid w:val="0"/>
          <w:kern w:val="32"/>
          <w:sz w:val="32"/>
          <w:szCs w:val="32"/>
        </w:rPr>
        <w:t>京交二部</w:t>
      </w:r>
      <w:proofErr w:type="gramEnd"/>
      <w:r>
        <w:rPr>
          <w:rFonts w:ascii="仿宋_GB2312" w:eastAsia="仿宋_GB2312" w:hAnsi="仿宋_GB2312" w:cs="仿宋_GB2312" w:hint="eastAsia"/>
          <w:snapToGrid w:val="0"/>
          <w:kern w:val="32"/>
          <w:sz w:val="32"/>
          <w:szCs w:val="32"/>
        </w:rPr>
        <w:t>）。</w:t>
      </w:r>
    </w:p>
    <w:p w14:paraId="2868943C" w14:textId="77777777" w:rsidR="00D74A57" w:rsidRDefault="00000000">
      <w:pPr>
        <w:pStyle w:val="21"/>
        <w:spacing w:after="0" w:line="600" w:lineRule="exact"/>
        <w:ind w:firstLineChars="200" w:firstLine="643"/>
        <w:rPr>
          <w:rFonts w:ascii="仿宋_GB2312" w:eastAsia="仿宋_GB2312" w:hAnsi="仿宋_GB2312" w:cs="仿宋_GB2312" w:hint="eastAsia"/>
          <w:b/>
          <w:bCs/>
          <w:snapToGrid w:val="0"/>
          <w:kern w:val="32"/>
          <w:sz w:val="32"/>
          <w:szCs w:val="32"/>
        </w:rPr>
      </w:pPr>
      <w:r>
        <w:rPr>
          <w:rFonts w:ascii="仿宋_GB2312" w:eastAsia="仿宋_GB2312" w:hAnsi="仿宋_GB2312" w:cs="仿宋_GB2312" w:hint="eastAsia"/>
          <w:b/>
          <w:bCs/>
          <w:snapToGrid w:val="0"/>
          <w:kern w:val="32"/>
          <w:sz w:val="32"/>
          <w:szCs w:val="32"/>
        </w:rPr>
        <w:t xml:space="preserve">第十九条 </w:t>
      </w:r>
      <w:proofErr w:type="gramStart"/>
      <w:r>
        <w:rPr>
          <w:rFonts w:ascii="仿宋_GB2312" w:eastAsia="仿宋_GB2312" w:hAnsi="仿宋_GB2312" w:cs="仿宋_GB2312" w:hint="eastAsia"/>
          <w:snapToGrid w:val="0"/>
          <w:kern w:val="32"/>
          <w:sz w:val="32"/>
          <w:szCs w:val="32"/>
        </w:rPr>
        <w:t>国网华北分部</w:t>
      </w:r>
      <w:proofErr w:type="gramEnd"/>
      <w:r>
        <w:rPr>
          <w:rFonts w:ascii="仿宋_GB2312" w:eastAsia="仿宋_GB2312" w:hAnsi="仿宋_GB2312" w:cs="仿宋_GB2312" w:hint="eastAsia"/>
          <w:snapToGrid w:val="0"/>
          <w:kern w:val="32"/>
          <w:sz w:val="32"/>
          <w:szCs w:val="32"/>
        </w:rPr>
        <w:t>（</w:t>
      </w:r>
      <w:proofErr w:type="gramStart"/>
      <w:r>
        <w:rPr>
          <w:rFonts w:ascii="仿宋_GB2312" w:eastAsia="仿宋_GB2312" w:hAnsi="仿宋_GB2312" w:cs="仿宋_GB2312" w:hint="eastAsia"/>
          <w:snapToGrid w:val="0"/>
          <w:kern w:val="32"/>
          <w:sz w:val="32"/>
          <w:szCs w:val="32"/>
        </w:rPr>
        <w:t>京交二部</w:t>
      </w:r>
      <w:proofErr w:type="gramEnd"/>
      <w:r>
        <w:rPr>
          <w:rFonts w:ascii="仿宋_GB2312" w:eastAsia="仿宋_GB2312" w:hAnsi="仿宋_GB2312" w:cs="仿宋_GB2312" w:hint="eastAsia"/>
          <w:snapToGrid w:val="0"/>
          <w:kern w:val="32"/>
          <w:sz w:val="32"/>
          <w:szCs w:val="32"/>
        </w:rPr>
        <w:t>）、首都电力交易中心根据安全校核意见进行出清，形成成交结果并发布。</w:t>
      </w:r>
    </w:p>
    <w:p w14:paraId="4F0B7951"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第七章 交易结算</w:t>
      </w:r>
    </w:p>
    <w:p w14:paraId="063A091F"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第一节 电能量结算</w:t>
      </w:r>
    </w:p>
    <w:p w14:paraId="7B7CA4ED"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第二十条</w:t>
      </w:r>
      <w:r>
        <w:rPr>
          <w:rFonts w:ascii="仿宋_GB2312" w:hAnsi="仿宋_GB2312" w:cs="仿宋_GB2312" w:hint="eastAsia"/>
        </w:rPr>
        <w:t xml:space="preserve"> 2026年北京地区电力市场化交易结算方式按照华北能源监管局现行政策文件执行。北京市新能源发电企业合同电量和偏差电量分开结算，合同电量按合同价格结算，偏差电量按照偏差价格结算。作为价格接受者进入电力市场的新能源项目产生的偏差电量，暂不进行偏差结算。</w:t>
      </w:r>
    </w:p>
    <w:p w14:paraId="77D020EA"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第二十一条</w:t>
      </w:r>
      <w:r>
        <w:rPr>
          <w:rFonts w:ascii="仿宋_GB2312" w:hAnsi="仿宋_GB2312" w:cs="仿宋_GB2312" w:hint="eastAsia"/>
        </w:rPr>
        <w:t xml:space="preserve"> 北京市新能源发电企业实际发电量与各类交易合同（购售合同）总电量的差值部分为偏差电量。C</w:t>
      </w:r>
      <w:r>
        <w:rPr>
          <w:rFonts w:ascii="仿宋_GB2312" w:hAnsi="仿宋_GB2312" w:cs="仿宋_GB2312" w:hint="eastAsia"/>
          <w:vertAlign w:val="subscript"/>
        </w:rPr>
        <w:t>1</w:t>
      </w:r>
      <w:r>
        <w:rPr>
          <w:rFonts w:ascii="仿宋_GB2312" w:hAnsi="仿宋_GB2312" w:cs="仿宋_GB2312" w:hint="eastAsia"/>
        </w:rPr>
        <w:t>、C</w:t>
      </w:r>
      <w:r>
        <w:rPr>
          <w:rFonts w:ascii="仿宋_GB2312" w:hAnsi="仿宋_GB2312" w:cs="仿宋_GB2312" w:hint="eastAsia"/>
          <w:vertAlign w:val="subscript"/>
        </w:rPr>
        <w:t>2</w:t>
      </w:r>
      <w:r>
        <w:rPr>
          <w:rFonts w:ascii="仿宋_GB2312" w:hAnsi="仿宋_GB2312" w:cs="仿宋_GB2312" w:hint="eastAsia"/>
        </w:rPr>
        <w:t>分别为发电侧偏差电量超用、少用调节系数，现阶段C</w:t>
      </w:r>
      <w:r>
        <w:rPr>
          <w:rFonts w:ascii="仿宋_GB2312" w:hAnsi="仿宋_GB2312" w:cs="仿宋_GB2312" w:hint="eastAsia"/>
          <w:vertAlign w:val="subscript"/>
        </w:rPr>
        <w:t>1</w:t>
      </w:r>
      <w:r>
        <w:rPr>
          <w:rFonts w:ascii="仿宋_GB2312" w:hAnsi="仿宋_GB2312" w:cs="仿宋_GB2312" w:hint="eastAsia"/>
        </w:rPr>
        <w:t>、C</w:t>
      </w:r>
      <w:r>
        <w:rPr>
          <w:rFonts w:ascii="仿宋_GB2312" w:hAnsi="仿宋_GB2312" w:cs="仿宋_GB2312" w:hint="eastAsia"/>
          <w:vertAlign w:val="subscript"/>
        </w:rPr>
        <w:t>2</w:t>
      </w:r>
      <w:r>
        <w:rPr>
          <w:rFonts w:ascii="仿宋_GB2312" w:hAnsi="仿宋_GB2312" w:cs="仿宋_GB2312" w:hint="eastAsia"/>
        </w:rPr>
        <w:t>暂取1。</w:t>
      </w:r>
    </w:p>
    <w:p w14:paraId="068BA4ED"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2026年偏差结算按照以下方式执行：</w:t>
      </w:r>
    </w:p>
    <w:p w14:paraId="3642CB93"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新能源企业超发偏差电量的偏差结算电价，按照min{北京市燃煤发电基准价</w:t>
      </w:r>
      <w:bookmarkStart w:id="1" w:name="_Hlk199236370"/>
      <w:r>
        <w:rPr>
          <w:rFonts w:ascii="仿宋_GB2312" w:hAnsi="仿宋_GB2312" w:cs="仿宋_GB2312" w:hint="eastAsia"/>
        </w:rPr>
        <w:t>，京津唐电网月度竞价出清价格</w:t>
      </w:r>
      <w:bookmarkEnd w:id="1"/>
      <w:r>
        <w:rPr>
          <w:rFonts w:ascii="仿宋_GB2312" w:hAnsi="仿宋_GB2312" w:cs="仿宋_GB2312" w:hint="eastAsia"/>
        </w:rPr>
        <w:t>，北京市新能源发电企业当月中长期合同电能量均价}*C</w:t>
      </w:r>
      <w:r>
        <w:rPr>
          <w:rFonts w:ascii="仿宋_GB2312" w:hAnsi="仿宋_GB2312" w:cs="仿宋_GB2312" w:hint="eastAsia"/>
          <w:vertAlign w:val="subscript"/>
        </w:rPr>
        <w:t>1</w:t>
      </w:r>
      <w:r>
        <w:rPr>
          <w:rFonts w:ascii="仿宋_GB2312" w:hAnsi="仿宋_GB2312" w:cs="仿宋_GB2312" w:hint="eastAsia"/>
        </w:rPr>
        <w:t>结算。</w:t>
      </w:r>
    </w:p>
    <w:p w14:paraId="3B889813"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lastRenderedPageBreak/>
        <w:t>新能源企业少发偏差电量的偏差结算电价，按照max{北京市燃煤发电基准价，京津唐电网月度竞价出清价格，北京市新能源发电企业当月中长期合同电能量均价}*C</w:t>
      </w:r>
      <w:r>
        <w:rPr>
          <w:rFonts w:ascii="仿宋_GB2312" w:hAnsi="仿宋_GB2312" w:cs="仿宋_GB2312" w:hint="eastAsia"/>
          <w:vertAlign w:val="subscript"/>
        </w:rPr>
        <w:t>2</w:t>
      </w:r>
      <w:r>
        <w:rPr>
          <w:rFonts w:ascii="仿宋_GB2312" w:hAnsi="仿宋_GB2312" w:cs="仿宋_GB2312" w:hint="eastAsia"/>
        </w:rPr>
        <w:t>结算。</w:t>
      </w:r>
    </w:p>
    <w:p w14:paraId="023EEA4C" w14:textId="77777777" w:rsidR="00D74A57"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后期根据北京市场运行情况，适时调整调节系数并向经营主体发布。</w:t>
      </w:r>
    </w:p>
    <w:p w14:paraId="42AF0D79" w14:textId="77777777" w:rsidR="00D74A57" w:rsidRDefault="00000000">
      <w:pPr>
        <w:numPr>
          <w:ilvl w:val="255"/>
          <w:numId w:val="0"/>
        </w:numPr>
        <w:spacing w:line="600" w:lineRule="exact"/>
        <w:ind w:firstLineChars="200" w:firstLine="643"/>
        <w:rPr>
          <w:rFonts w:ascii="仿宋_GB2312" w:hAnsi="仿宋_GB2312" w:cs="仿宋_GB2312" w:hint="eastAsia"/>
        </w:rPr>
      </w:pPr>
      <w:r>
        <w:rPr>
          <w:rFonts w:ascii="仿宋_GB2312" w:hAnsi="仿宋_GB2312" w:cs="仿宋_GB2312" w:hint="eastAsia"/>
          <w:b/>
          <w:bCs/>
        </w:rPr>
        <w:t>第二十二条</w:t>
      </w:r>
      <w:r>
        <w:rPr>
          <w:rFonts w:ascii="仿宋_GB2312" w:hAnsi="仿宋_GB2312" w:cs="仿宋_GB2312" w:hint="eastAsia"/>
        </w:rPr>
        <w:t xml:space="preserve"> 2026年，北京市新能源发电企业因合同偏差电量结算引起的偏差结算差额资金</w:t>
      </w:r>
      <w:r>
        <w:rPr>
          <w:rStyle w:val="aff4"/>
          <w:rFonts w:ascii="仿宋_GB2312" w:hAnsi="仿宋_GB2312" w:cs="仿宋_GB2312" w:hint="eastAsia"/>
        </w:rPr>
        <w:footnoteReference w:id="1"/>
      </w:r>
      <w:r>
        <w:rPr>
          <w:rFonts w:ascii="仿宋_GB2312" w:hAnsi="仿宋_GB2312" w:cs="仿宋_GB2312" w:hint="eastAsia"/>
        </w:rPr>
        <w:t>，原则上在北京地区全体工商业用户范围内疏导。</w:t>
      </w:r>
    </w:p>
    <w:p w14:paraId="50A4A6B6" w14:textId="77777777" w:rsidR="00D74A57" w:rsidRDefault="00000000">
      <w:pPr>
        <w:spacing w:line="600" w:lineRule="exact"/>
        <w:jc w:val="center"/>
        <w:rPr>
          <w:rFonts w:ascii="黑体" w:eastAsia="黑体" w:hAnsi="黑体" w:cs="仿宋_GB2312" w:hint="eastAsia"/>
        </w:rPr>
      </w:pPr>
      <w:r>
        <w:rPr>
          <w:rFonts w:ascii="黑体" w:eastAsia="黑体" w:hAnsi="黑体" w:cs="仿宋_GB2312" w:hint="eastAsia"/>
        </w:rPr>
        <w:t>第二节 环境权益结算</w:t>
      </w:r>
    </w:p>
    <w:p w14:paraId="579C7719" w14:textId="77777777" w:rsidR="00D74A57" w:rsidRDefault="00000000">
      <w:pPr>
        <w:spacing w:line="600" w:lineRule="exact"/>
        <w:ind w:firstLineChars="200" w:firstLine="643"/>
        <w:jc w:val="left"/>
        <w:rPr>
          <w:rFonts w:ascii="仿宋_GB2312" w:hint="eastAsia"/>
        </w:rPr>
      </w:pPr>
      <w:r>
        <w:rPr>
          <w:rFonts w:ascii="仿宋_GB2312" w:hAnsi="仿宋_GB2312" w:cs="仿宋_GB2312" w:hint="eastAsia"/>
          <w:b/>
          <w:bCs/>
        </w:rPr>
        <w:t>第二十三条</w:t>
      </w:r>
      <w:r>
        <w:rPr>
          <w:rFonts w:ascii="仿宋_GB2312" w:hAnsi="仿宋_GB2312" w:cs="仿宋_GB2312" w:hint="eastAsia"/>
        </w:rPr>
        <w:t xml:space="preserve"> 北京市新能源发电企业参与绿色电力交易的</w:t>
      </w:r>
      <w:r>
        <w:rPr>
          <w:rFonts w:ascii="仿宋_GB2312" w:hint="eastAsia"/>
        </w:rPr>
        <w:t>结算方式按照《北京市2026年绿色电力交易方案》执行，国家能源局电力业务资质管理中心为新能源发电企业核发绿证。纳入可持续发展价格结算机制的电量，不重复获得绿证收益。</w:t>
      </w:r>
      <w:proofErr w:type="gramStart"/>
      <w:r>
        <w:rPr>
          <w:rFonts w:ascii="仿宋_GB2312" w:hint="eastAsia"/>
        </w:rPr>
        <w:t>绿电交易</w:t>
      </w:r>
      <w:proofErr w:type="gramEnd"/>
      <w:r>
        <w:rPr>
          <w:rFonts w:ascii="仿宋_GB2312" w:hint="eastAsia"/>
        </w:rPr>
        <w:t>电量的绿</w:t>
      </w:r>
      <w:proofErr w:type="gramStart"/>
      <w:r>
        <w:rPr>
          <w:rFonts w:ascii="仿宋_GB2312" w:hint="eastAsia"/>
        </w:rPr>
        <w:t>证收益</w:t>
      </w:r>
      <w:proofErr w:type="gramEnd"/>
      <w:r>
        <w:rPr>
          <w:rFonts w:ascii="仿宋_GB2312" w:hint="eastAsia"/>
        </w:rPr>
        <w:t>采用当月</w:t>
      </w:r>
      <w:proofErr w:type="gramStart"/>
      <w:r>
        <w:rPr>
          <w:rFonts w:ascii="仿宋_GB2312" w:hint="eastAsia"/>
        </w:rPr>
        <w:t>绿电合同</w:t>
      </w:r>
      <w:proofErr w:type="gramEnd"/>
      <w:r>
        <w:rPr>
          <w:rFonts w:ascii="仿宋_GB2312" w:hint="eastAsia"/>
        </w:rPr>
        <w:t>电量、</w:t>
      </w:r>
      <w:r>
        <w:rPr>
          <w:rFonts w:ascii="仿宋_GB2312" w:hAnsi="仿宋_GB2312" w:cs="仿宋_GB2312" w:hint="eastAsia"/>
        </w:rPr>
        <w:t>新能源发电企业</w:t>
      </w:r>
      <w:r>
        <w:rPr>
          <w:rFonts w:ascii="仿宋_GB2312" w:hint="eastAsia"/>
        </w:rPr>
        <w:t>机制外上网电量、电力用户用电量三者取小的原则结算。</w:t>
      </w:r>
    </w:p>
    <w:p w14:paraId="2891D1E6" w14:textId="77777777" w:rsidR="00D74A57" w:rsidRDefault="00000000">
      <w:pPr>
        <w:spacing w:line="600" w:lineRule="exact"/>
        <w:ind w:firstLineChars="200" w:firstLine="643"/>
        <w:jc w:val="left"/>
        <w:rPr>
          <w:rFonts w:ascii="仿宋_GB2312" w:hAnsi="仿宋_GB2312" w:cs="仿宋_GB2312" w:hint="eastAsia"/>
        </w:rPr>
      </w:pPr>
      <w:r>
        <w:rPr>
          <w:rFonts w:ascii="仿宋_GB2312" w:hAnsi="仿宋_GB2312" w:cs="仿宋_GB2312" w:hint="eastAsia"/>
          <w:b/>
          <w:bCs/>
        </w:rPr>
        <w:t>第二十四条</w:t>
      </w:r>
      <w:r>
        <w:rPr>
          <w:rFonts w:ascii="仿宋_GB2312" w:hAnsi="仿宋_GB2312" w:cs="仿宋_GB2312" w:hint="eastAsia"/>
        </w:rPr>
        <w:t xml:space="preserve"> 北京市新能源发电企业</w:t>
      </w:r>
      <w:r>
        <w:rPr>
          <w:rFonts w:ascii="仿宋_GB2312" w:hint="eastAsia"/>
        </w:rPr>
        <w:t>参与</w:t>
      </w:r>
      <w:r>
        <w:rPr>
          <w:rFonts w:ascii="仿宋_GB2312" w:hAnsi="仿宋_GB2312" w:cs="仿宋_GB2312" w:hint="eastAsia"/>
        </w:rPr>
        <w:t>电能量中长期交易时，新能源发电企业相对应的绿</w:t>
      </w:r>
      <w:proofErr w:type="gramStart"/>
      <w:r>
        <w:rPr>
          <w:rFonts w:ascii="仿宋_GB2312" w:hAnsi="仿宋_GB2312" w:cs="仿宋_GB2312" w:hint="eastAsia"/>
        </w:rPr>
        <w:t>证全部</w:t>
      </w:r>
      <w:proofErr w:type="gramEnd"/>
      <w:r>
        <w:rPr>
          <w:rFonts w:ascii="仿宋_GB2312" w:hAnsi="仿宋_GB2312" w:cs="仿宋_GB2312" w:hint="eastAsia"/>
        </w:rPr>
        <w:t>划转至北京市级专用绿证账户。</w:t>
      </w:r>
    </w:p>
    <w:p w14:paraId="7D2E39E5" w14:textId="77777777" w:rsidR="00D74A57" w:rsidRDefault="00D74A57">
      <w:pPr>
        <w:pStyle w:val="21"/>
        <w:spacing w:after="0" w:line="600" w:lineRule="exact"/>
      </w:pPr>
    </w:p>
    <w:p w14:paraId="7170021F" w14:textId="77777777" w:rsidR="00D74A57" w:rsidRDefault="00000000">
      <w:pPr>
        <w:spacing w:line="600" w:lineRule="exact"/>
        <w:jc w:val="center"/>
        <w:rPr>
          <w:rFonts w:ascii="黑体" w:eastAsia="黑体" w:hAnsi="黑体" w:cs="黑体" w:hint="eastAsia"/>
        </w:rPr>
      </w:pPr>
      <w:r>
        <w:rPr>
          <w:rFonts w:ascii="黑体" w:eastAsia="黑体" w:hAnsi="黑体" w:cs="黑体" w:hint="eastAsia"/>
        </w:rPr>
        <w:lastRenderedPageBreak/>
        <w:t>第八章 相关要求</w:t>
      </w:r>
    </w:p>
    <w:p w14:paraId="710E49E2"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第二十五条</w:t>
      </w:r>
      <w:r>
        <w:rPr>
          <w:rFonts w:ascii="仿宋_GB2312" w:hAnsi="仿宋_GB2312" w:cs="仿宋_GB2312" w:hint="eastAsia"/>
        </w:rPr>
        <w:t xml:space="preserve"> 首都电力交易中心</w:t>
      </w:r>
      <w:proofErr w:type="gramStart"/>
      <w:r>
        <w:rPr>
          <w:rFonts w:ascii="仿宋_GB2312" w:hAnsi="仿宋_GB2312" w:cs="仿宋_GB2312" w:hint="eastAsia"/>
        </w:rPr>
        <w:t>会同国网</w:t>
      </w:r>
      <w:proofErr w:type="gramEnd"/>
      <w:r>
        <w:rPr>
          <w:rFonts w:ascii="仿宋_GB2312" w:hAnsi="仿宋_GB2312" w:cs="仿宋_GB2312" w:hint="eastAsia"/>
        </w:rPr>
        <w:t>北京市电力公司做好北京市新能源发电企业合同签订和结算工作，确保北京市新能源发电企业公平参与市场化交易。</w:t>
      </w:r>
    </w:p>
    <w:p w14:paraId="4C354F39"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第二十六条</w:t>
      </w:r>
      <w:r>
        <w:rPr>
          <w:rFonts w:ascii="仿宋_GB2312" w:hAnsi="仿宋_GB2312" w:cs="仿宋_GB2312" w:hint="eastAsia"/>
        </w:rPr>
        <w:t xml:space="preserve"> 享受财政补贴的新能源项目，全生命周期合理利用小时数内的补贴标准按照原有政策执行。</w:t>
      </w:r>
    </w:p>
    <w:p w14:paraId="342D1BBE"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第二十七条</w:t>
      </w:r>
      <w:r>
        <w:rPr>
          <w:rFonts w:ascii="仿宋_GB2312" w:hAnsi="仿宋_GB2312" w:cs="仿宋_GB2312" w:hint="eastAsia"/>
        </w:rPr>
        <w:t xml:space="preserve"> 北京市新能源发电企业选择参与</w:t>
      </w:r>
      <w:proofErr w:type="gramStart"/>
      <w:r>
        <w:rPr>
          <w:rFonts w:ascii="仿宋_GB2312" w:hAnsi="仿宋_GB2312" w:cs="仿宋_GB2312" w:hint="eastAsia"/>
        </w:rPr>
        <w:t>绿电交易</w:t>
      </w:r>
      <w:proofErr w:type="gramEnd"/>
      <w:r>
        <w:rPr>
          <w:rFonts w:ascii="仿宋_GB2312" w:hAnsi="仿宋_GB2312" w:cs="仿宋_GB2312" w:hint="eastAsia"/>
        </w:rPr>
        <w:t>后，参与</w:t>
      </w:r>
      <w:proofErr w:type="gramStart"/>
      <w:r>
        <w:rPr>
          <w:rFonts w:ascii="仿宋_GB2312" w:hAnsi="仿宋_GB2312" w:cs="仿宋_GB2312" w:hint="eastAsia"/>
        </w:rPr>
        <w:t>绿电交易</w:t>
      </w:r>
      <w:proofErr w:type="gramEnd"/>
      <w:r>
        <w:rPr>
          <w:rFonts w:ascii="仿宋_GB2312" w:hAnsi="仿宋_GB2312" w:cs="仿宋_GB2312" w:hint="eastAsia"/>
        </w:rPr>
        <w:t>的电量不得再选择进入机制电价；</w:t>
      </w:r>
      <w:r>
        <w:rPr>
          <w:rFonts w:ascii="仿宋_GB2312" w:hAnsi="Times New Roman" w:cs="仿宋_GB2312" w:hint="eastAsia"/>
          <w:bCs/>
          <w:color w:val="000000"/>
        </w:rPr>
        <w:t>国家发展改革委、国家能源局《关于深化新能源上网电价市场化改革 促进新能源高质量发展的通知》(</w:t>
      </w:r>
      <w:proofErr w:type="gramStart"/>
      <w:r>
        <w:rPr>
          <w:rFonts w:ascii="仿宋_GB2312" w:hAnsi="Times New Roman" w:cs="仿宋_GB2312" w:hint="eastAsia"/>
          <w:bCs/>
          <w:color w:val="000000"/>
        </w:rPr>
        <w:t>发改价格</w:t>
      </w:r>
      <w:proofErr w:type="gramEnd"/>
      <w:r>
        <w:rPr>
          <w:rFonts w:ascii="仿宋_GB2312" w:hAnsi="Times New Roman" w:cs="仿宋_GB2312" w:hint="eastAsia"/>
          <w:bCs/>
          <w:color w:val="000000"/>
        </w:rPr>
        <w:t>〔2025〕136号)出台前</w:t>
      </w:r>
      <w:r>
        <w:rPr>
          <w:rFonts w:ascii="仿宋_GB2312" w:hAnsi="仿宋_GB2312" w:cs="仿宋_GB2312" w:hint="eastAsia"/>
        </w:rPr>
        <w:t>已开展过</w:t>
      </w:r>
      <w:proofErr w:type="gramStart"/>
      <w:r>
        <w:rPr>
          <w:rFonts w:ascii="仿宋_GB2312" w:hAnsi="仿宋_GB2312" w:cs="仿宋_GB2312" w:hint="eastAsia"/>
        </w:rPr>
        <w:t>绿电交易</w:t>
      </w:r>
      <w:proofErr w:type="gramEnd"/>
      <w:r>
        <w:rPr>
          <w:rFonts w:ascii="仿宋_GB2312" w:hAnsi="仿宋_GB2312" w:cs="仿宋_GB2312" w:hint="eastAsia"/>
        </w:rPr>
        <w:t>的新能源发电项目，也不得选择进入机制电价。</w:t>
      </w:r>
    </w:p>
    <w:p w14:paraId="418E204A" w14:textId="77777777"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第二十八条</w:t>
      </w:r>
      <w:r>
        <w:rPr>
          <w:rFonts w:ascii="仿宋_GB2312" w:hAnsi="仿宋_GB2312" w:cs="仿宋_GB2312" w:hint="eastAsia"/>
        </w:rPr>
        <w:t xml:space="preserve"> 北京市新能源发电企业参与电力市场后，</w:t>
      </w:r>
      <w:proofErr w:type="gramStart"/>
      <w:r>
        <w:rPr>
          <w:rFonts w:ascii="仿宋_GB2312" w:hAnsi="仿宋_GB2312" w:cs="仿宋_GB2312" w:hint="eastAsia"/>
        </w:rPr>
        <w:t>若参</w:t>
      </w:r>
      <w:proofErr w:type="gramEnd"/>
      <w:r>
        <w:rPr>
          <w:rFonts w:ascii="仿宋_GB2312" w:hAnsi="仿宋_GB2312" w:cs="仿宋_GB2312" w:hint="eastAsia"/>
        </w:rPr>
        <w:t>与市场的电量小于保障利用小时数所对应的电量，剩余电量不再</w:t>
      </w:r>
      <w:proofErr w:type="gramStart"/>
      <w:r>
        <w:rPr>
          <w:rFonts w:ascii="仿宋_GB2312" w:hAnsi="仿宋_GB2312" w:cs="仿宋_GB2312" w:hint="eastAsia"/>
        </w:rPr>
        <w:t>由国网北京市</w:t>
      </w:r>
      <w:proofErr w:type="gramEnd"/>
      <w:r>
        <w:rPr>
          <w:rFonts w:ascii="仿宋_GB2312" w:hAnsi="仿宋_GB2312" w:cs="仿宋_GB2312" w:hint="eastAsia"/>
        </w:rPr>
        <w:t>电力公司兜底。</w:t>
      </w:r>
    </w:p>
    <w:p w14:paraId="04798FAD" w14:textId="51AE8530" w:rsidR="00D74A57" w:rsidRDefault="00000000">
      <w:pPr>
        <w:spacing w:line="600" w:lineRule="exact"/>
        <w:ind w:firstLineChars="200" w:firstLine="643"/>
        <w:rPr>
          <w:rFonts w:ascii="仿宋_GB2312" w:hAnsi="仿宋_GB2312" w:cs="仿宋_GB2312" w:hint="eastAsia"/>
        </w:rPr>
      </w:pPr>
      <w:r>
        <w:rPr>
          <w:rFonts w:ascii="仿宋_GB2312" w:hAnsi="仿宋_GB2312" w:cs="仿宋_GB2312" w:hint="eastAsia"/>
          <w:b/>
          <w:bCs/>
        </w:rPr>
        <w:t>第二十九条</w:t>
      </w:r>
      <w:r>
        <w:rPr>
          <w:rFonts w:ascii="仿宋_GB2312" w:hAnsi="仿宋_GB2312" w:cs="仿宋_GB2312" w:hint="eastAsia"/>
        </w:rPr>
        <w:t xml:space="preserve"> 2025年12月、2026年北京市新能源发电企业参与市场化交易按照本细则执行，如</w:t>
      </w:r>
      <w:proofErr w:type="gramStart"/>
      <w:r>
        <w:rPr>
          <w:rFonts w:ascii="仿宋_GB2312" w:hAnsi="仿宋_GB2312" w:cs="仿宋_GB2312" w:hint="eastAsia"/>
        </w:rPr>
        <w:t>遇政策</w:t>
      </w:r>
      <w:proofErr w:type="gramEnd"/>
      <w:r>
        <w:rPr>
          <w:rFonts w:ascii="仿宋_GB2312" w:hAnsi="仿宋_GB2312" w:cs="仿宋_GB2312" w:hint="eastAsia"/>
        </w:rPr>
        <w:t>调整，由市城市管理委另行发布。</w:t>
      </w:r>
    </w:p>
    <w:sectPr w:rsidR="00D74A57" w:rsidSect="005B2159">
      <w:pgSz w:w="11906" w:h="16838"/>
      <w:pgMar w:top="1984" w:right="1587" w:bottom="2098" w:left="1474" w:header="851" w:footer="1304" w:gutter="0"/>
      <w:cols w:space="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4492" w14:textId="77777777" w:rsidR="0025182F" w:rsidRDefault="0025182F">
      <w:pPr>
        <w:rPr>
          <w:rFonts w:hint="eastAsia"/>
        </w:rPr>
      </w:pPr>
      <w:r>
        <w:separator/>
      </w:r>
    </w:p>
  </w:endnote>
  <w:endnote w:type="continuationSeparator" w:id="0">
    <w:p w14:paraId="44F4A296" w14:textId="77777777" w:rsidR="0025182F" w:rsidRDefault="002518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Noto Serif Bengali"/>
    <w:panose1 w:val="02020404030301010803"/>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SI宋体-GB18030">
    <w:altName w:val="微软雅黑"/>
    <w:charset w:val="86"/>
    <w:family w:val="auto"/>
    <w:pitch w:val="default"/>
    <w:sig w:usb0="A00002BF" w:usb1="38C77CFA" w:usb2="00000016" w:usb3="00000000" w:csb0="0004000F" w:csb1="00000000"/>
  </w:font>
  <w:font w:name="方正仿宋_GBK">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8B13" w14:textId="77777777" w:rsidR="0025182F" w:rsidRDefault="0025182F">
      <w:pPr>
        <w:rPr>
          <w:rFonts w:hint="eastAsia"/>
        </w:rPr>
      </w:pPr>
      <w:r>
        <w:separator/>
      </w:r>
    </w:p>
  </w:footnote>
  <w:footnote w:type="continuationSeparator" w:id="0">
    <w:p w14:paraId="4130292C" w14:textId="77777777" w:rsidR="0025182F" w:rsidRDefault="0025182F">
      <w:pPr>
        <w:rPr>
          <w:rFonts w:hint="eastAsia"/>
        </w:rPr>
      </w:pPr>
      <w:r>
        <w:continuationSeparator/>
      </w:r>
    </w:p>
  </w:footnote>
  <w:footnote w:id="1">
    <w:p w14:paraId="0B0E9C3C" w14:textId="77777777" w:rsidR="00D74A57" w:rsidRDefault="00000000">
      <w:pPr>
        <w:pStyle w:val="af8"/>
        <w:rPr>
          <w:rFonts w:hint="eastAsia"/>
          <w:sz w:val="24"/>
          <w:szCs w:val="36"/>
        </w:rPr>
      </w:pPr>
      <w:r>
        <w:rPr>
          <w:rStyle w:val="aff4"/>
          <w:sz w:val="24"/>
          <w:szCs w:val="36"/>
        </w:rPr>
        <w:footnoteRef/>
      </w:r>
      <w:r>
        <w:rPr>
          <w:sz w:val="24"/>
          <w:szCs w:val="36"/>
        </w:rPr>
        <w:t xml:space="preserve"> </w:t>
      </w:r>
      <w:r>
        <w:rPr>
          <w:rFonts w:hint="eastAsia"/>
          <w:sz w:val="24"/>
          <w:szCs w:val="36"/>
        </w:rPr>
        <w:t>新能源发电企业偏差结算差额资金由京津唐电网月度竞价出清价格超过（或低于）当月新能源发电企业偏差电价的部分与偏差电量的乘积构成。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64307"/>
    <w:multiLevelType w:val="singleLevel"/>
    <w:tmpl w:val="F8264307"/>
    <w:lvl w:ilvl="0">
      <w:start w:val="2"/>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
      <w:suff w:val="nothing"/>
      <w:lvlText w:val="（%1）"/>
      <w:lvlJc w:val="left"/>
      <w:pPr>
        <w:ind w:left="0" w:firstLine="420"/>
      </w:pPr>
      <w:rPr>
        <w:rFonts w:hint="eastAsia"/>
      </w:rPr>
    </w:lvl>
  </w:abstractNum>
  <w:abstractNum w:abstractNumId="2" w15:restartNumberingAfterBreak="0">
    <w:nsid w:val="3917CBA7"/>
    <w:multiLevelType w:val="singleLevel"/>
    <w:tmpl w:val="3917CBA7"/>
    <w:lvl w:ilvl="0">
      <w:start w:val="1"/>
      <w:numFmt w:val="chineseCounting"/>
      <w:suff w:val="nothing"/>
      <w:lvlText w:val="%1、"/>
      <w:lvlJc w:val="left"/>
      <w:rPr>
        <w:rFonts w:ascii="黑体" w:eastAsia="黑体" w:hAnsi="黑体" w:cs="黑体" w:hint="eastAsia"/>
      </w:rPr>
    </w:lvl>
  </w:abstractNum>
  <w:abstractNum w:abstractNumId="3" w15:restartNumberingAfterBreak="0">
    <w:nsid w:val="637C5B49"/>
    <w:multiLevelType w:val="singleLevel"/>
    <w:tmpl w:val="637C5B49"/>
    <w:lvl w:ilvl="0">
      <w:start w:val="1"/>
      <w:numFmt w:val="chineseCounting"/>
      <w:suff w:val="nothing"/>
      <w:lvlText w:val="（%1）"/>
      <w:lvlJc w:val="left"/>
      <w:pPr>
        <w:ind w:left="0" w:firstLine="420"/>
      </w:pPr>
      <w:rPr>
        <w:rFonts w:ascii="仿宋_GB2312" w:eastAsia="仿宋_GB2312" w:hint="eastAsia"/>
        <w:sz w:val="32"/>
        <w:szCs w:val="32"/>
      </w:rPr>
    </w:lvl>
  </w:abstractNum>
  <w:abstractNum w:abstractNumId="4" w15:restartNumberingAfterBreak="0">
    <w:nsid w:val="654A144B"/>
    <w:multiLevelType w:val="singleLevel"/>
    <w:tmpl w:val="654A144B"/>
    <w:lvl w:ilvl="0">
      <w:start w:val="1"/>
      <w:numFmt w:val="chineseCounting"/>
      <w:suff w:val="nothing"/>
      <w:lvlText w:val="%1、"/>
      <w:lvlJc w:val="left"/>
      <w:pPr>
        <w:ind w:left="0" w:firstLine="420"/>
      </w:pPr>
      <w:rPr>
        <w:rFonts w:hint="eastAsia"/>
      </w:rPr>
    </w:lvl>
  </w:abstractNum>
  <w:abstractNum w:abstractNumId="5" w15:restartNumberingAfterBreak="0">
    <w:nsid w:val="76C75909"/>
    <w:multiLevelType w:val="singleLevel"/>
    <w:tmpl w:val="76C75909"/>
    <w:lvl w:ilvl="0">
      <w:start w:val="1"/>
      <w:numFmt w:val="chineseCounting"/>
      <w:suff w:val="nothing"/>
      <w:lvlText w:val="%1、"/>
      <w:lvlJc w:val="left"/>
      <w:pPr>
        <w:ind w:left="0" w:firstLine="420"/>
      </w:pPr>
      <w:rPr>
        <w:rFonts w:hint="eastAsia"/>
      </w:rPr>
    </w:lvl>
  </w:abstractNum>
  <w:num w:numId="1" w16cid:durableId="891887859">
    <w:abstractNumId w:val="4"/>
  </w:num>
  <w:num w:numId="2" w16cid:durableId="1497961620">
    <w:abstractNumId w:val="3"/>
  </w:num>
  <w:num w:numId="3" w16cid:durableId="1477525769">
    <w:abstractNumId w:val="0"/>
  </w:num>
  <w:num w:numId="4" w16cid:durableId="515965106">
    <w:abstractNumId w:val="1"/>
  </w:num>
  <w:num w:numId="5" w16cid:durableId="1684673289">
    <w:abstractNumId w:val="5"/>
  </w:num>
  <w:num w:numId="6" w16cid:durableId="18402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6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I1NDNmMjBmZjExNTQyMzAzZjQ3ZjU2YTJjZDliMDUifQ=="/>
  </w:docVars>
  <w:rsids>
    <w:rsidRoot w:val="00172A27"/>
    <w:rsid w:val="84EFBA69"/>
    <w:rsid w:val="87F11C36"/>
    <w:rsid w:val="8AEF76BF"/>
    <w:rsid w:val="8B57D699"/>
    <w:rsid w:val="8BFFC82F"/>
    <w:rsid w:val="8CEFDA45"/>
    <w:rsid w:val="8DD4566B"/>
    <w:rsid w:val="92FA315A"/>
    <w:rsid w:val="937B6F8D"/>
    <w:rsid w:val="95FAE282"/>
    <w:rsid w:val="96F60ECB"/>
    <w:rsid w:val="9AFB791E"/>
    <w:rsid w:val="9D7E851D"/>
    <w:rsid w:val="9EB31FE7"/>
    <w:rsid w:val="9EF39A63"/>
    <w:rsid w:val="9F2F0417"/>
    <w:rsid w:val="9F7D7693"/>
    <w:rsid w:val="9FF3D805"/>
    <w:rsid w:val="A7794EE5"/>
    <w:rsid w:val="A7BE59F9"/>
    <w:rsid w:val="AB91D909"/>
    <w:rsid w:val="ABFE4FD6"/>
    <w:rsid w:val="ADDBF4A8"/>
    <w:rsid w:val="B2E50FF9"/>
    <w:rsid w:val="B2F4132A"/>
    <w:rsid w:val="B6FE6A5A"/>
    <w:rsid w:val="B77F763B"/>
    <w:rsid w:val="B77F8FEA"/>
    <w:rsid w:val="B77FFBBF"/>
    <w:rsid w:val="B7FFED75"/>
    <w:rsid w:val="B95B8AC3"/>
    <w:rsid w:val="B9AFDCF4"/>
    <w:rsid w:val="BBB713F8"/>
    <w:rsid w:val="BBDE0A00"/>
    <w:rsid w:val="BBE89E9D"/>
    <w:rsid w:val="BBF6860C"/>
    <w:rsid w:val="BBFFA7EF"/>
    <w:rsid w:val="BD67CC89"/>
    <w:rsid w:val="BDBF4B1D"/>
    <w:rsid w:val="BDF6C8D8"/>
    <w:rsid w:val="BDFDF24F"/>
    <w:rsid w:val="BE9AA65E"/>
    <w:rsid w:val="BEBF7AAF"/>
    <w:rsid w:val="BF724B80"/>
    <w:rsid w:val="BF769558"/>
    <w:rsid w:val="BF7F0AF0"/>
    <w:rsid w:val="BF962978"/>
    <w:rsid w:val="BFB68485"/>
    <w:rsid w:val="BFBE1C76"/>
    <w:rsid w:val="BFC8FBC7"/>
    <w:rsid w:val="BFF16AF4"/>
    <w:rsid w:val="BFF3429E"/>
    <w:rsid w:val="BFFB5F82"/>
    <w:rsid w:val="BFFD6490"/>
    <w:rsid w:val="BFFF8812"/>
    <w:rsid w:val="C57F19DA"/>
    <w:rsid w:val="C6C7844C"/>
    <w:rsid w:val="C8FF2700"/>
    <w:rsid w:val="CB3F1175"/>
    <w:rsid w:val="CCEAF677"/>
    <w:rsid w:val="CDB3AD1F"/>
    <w:rsid w:val="CFBD5B7F"/>
    <w:rsid w:val="CFEF5BAB"/>
    <w:rsid w:val="D07F2DF6"/>
    <w:rsid w:val="D29FAE75"/>
    <w:rsid w:val="D5D382EE"/>
    <w:rsid w:val="D6F90AFD"/>
    <w:rsid w:val="D7BF231F"/>
    <w:rsid w:val="D7DEC0DD"/>
    <w:rsid w:val="D7DF7C12"/>
    <w:rsid w:val="D7FD0F89"/>
    <w:rsid w:val="DAFDF0E0"/>
    <w:rsid w:val="DB7ED6CB"/>
    <w:rsid w:val="DBED9BDA"/>
    <w:rsid w:val="DD314086"/>
    <w:rsid w:val="DD7F0086"/>
    <w:rsid w:val="DDCD6140"/>
    <w:rsid w:val="DDED440F"/>
    <w:rsid w:val="DDF74E82"/>
    <w:rsid w:val="DEBD2D84"/>
    <w:rsid w:val="DEE7B509"/>
    <w:rsid w:val="DEFF1367"/>
    <w:rsid w:val="DF5750D5"/>
    <w:rsid w:val="DF5B7A9D"/>
    <w:rsid w:val="DF9F1424"/>
    <w:rsid w:val="DFDF685B"/>
    <w:rsid w:val="DFEF6434"/>
    <w:rsid w:val="DFF88CD7"/>
    <w:rsid w:val="DFFAAECC"/>
    <w:rsid w:val="DFFB3215"/>
    <w:rsid w:val="DFFB8B7A"/>
    <w:rsid w:val="DFFF15F0"/>
    <w:rsid w:val="DFFF3E58"/>
    <w:rsid w:val="E7B4310E"/>
    <w:rsid w:val="E7D2B630"/>
    <w:rsid w:val="E7DBF087"/>
    <w:rsid w:val="E7F77AFC"/>
    <w:rsid w:val="E7FC56C5"/>
    <w:rsid w:val="E7FF6F89"/>
    <w:rsid w:val="E97B7166"/>
    <w:rsid w:val="EAB1C343"/>
    <w:rsid w:val="EBD7E3F0"/>
    <w:rsid w:val="EBDFC361"/>
    <w:rsid w:val="EC9F5989"/>
    <w:rsid w:val="ECCF85EC"/>
    <w:rsid w:val="EEDF0300"/>
    <w:rsid w:val="EF7FD19E"/>
    <w:rsid w:val="EFAD1FF4"/>
    <w:rsid w:val="EFB437D5"/>
    <w:rsid w:val="EFC73F7C"/>
    <w:rsid w:val="EFCE6DD2"/>
    <w:rsid w:val="EFE75DF5"/>
    <w:rsid w:val="EFEFAA88"/>
    <w:rsid w:val="EFEFFD5E"/>
    <w:rsid w:val="EFF143F9"/>
    <w:rsid w:val="EFF72413"/>
    <w:rsid w:val="EFF7FA2D"/>
    <w:rsid w:val="EFF938A8"/>
    <w:rsid w:val="EFFBA383"/>
    <w:rsid w:val="F1AD6C41"/>
    <w:rsid w:val="F27C5B8C"/>
    <w:rsid w:val="F2F61215"/>
    <w:rsid w:val="F3BE4C61"/>
    <w:rsid w:val="F3DF75B3"/>
    <w:rsid w:val="F53E91DF"/>
    <w:rsid w:val="F53F3753"/>
    <w:rsid w:val="F56F15A7"/>
    <w:rsid w:val="F57FFADB"/>
    <w:rsid w:val="F5FDA7D9"/>
    <w:rsid w:val="F6FC0824"/>
    <w:rsid w:val="F767FBB1"/>
    <w:rsid w:val="F7BAED10"/>
    <w:rsid w:val="F7D79C11"/>
    <w:rsid w:val="F7DF87A2"/>
    <w:rsid w:val="F7DFBB3C"/>
    <w:rsid w:val="F7EB09F8"/>
    <w:rsid w:val="F7F5FE29"/>
    <w:rsid w:val="F7FE2C09"/>
    <w:rsid w:val="F7FF9315"/>
    <w:rsid w:val="F90F8F7C"/>
    <w:rsid w:val="F97FDD2B"/>
    <w:rsid w:val="F9AB903F"/>
    <w:rsid w:val="F9BFAF22"/>
    <w:rsid w:val="F9F32820"/>
    <w:rsid w:val="F9FB6609"/>
    <w:rsid w:val="F9FF4599"/>
    <w:rsid w:val="FA6F5E89"/>
    <w:rsid w:val="FABC319B"/>
    <w:rsid w:val="FAFFA69D"/>
    <w:rsid w:val="FB56B0C2"/>
    <w:rsid w:val="FB81453C"/>
    <w:rsid w:val="FB96F91F"/>
    <w:rsid w:val="FBB36CAF"/>
    <w:rsid w:val="FD3785CC"/>
    <w:rsid w:val="FD7B0087"/>
    <w:rsid w:val="FDBD2CFA"/>
    <w:rsid w:val="FDBF4BC4"/>
    <w:rsid w:val="FDDF2402"/>
    <w:rsid w:val="FDF6A749"/>
    <w:rsid w:val="FDFD23B3"/>
    <w:rsid w:val="FE4D6CDE"/>
    <w:rsid w:val="FE62708A"/>
    <w:rsid w:val="FE8FD1F9"/>
    <w:rsid w:val="FEB10F91"/>
    <w:rsid w:val="FECDD73C"/>
    <w:rsid w:val="FEDD5D85"/>
    <w:rsid w:val="FEEE2160"/>
    <w:rsid w:val="FEEF0B76"/>
    <w:rsid w:val="FEF573FA"/>
    <w:rsid w:val="FEF7226B"/>
    <w:rsid w:val="FEF97E2C"/>
    <w:rsid w:val="FF4363BD"/>
    <w:rsid w:val="FF6A1EAC"/>
    <w:rsid w:val="FF795FD4"/>
    <w:rsid w:val="FF7BCA5A"/>
    <w:rsid w:val="FF7FA287"/>
    <w:rsid w:val="FF7FFAB1"/>
    <w:rsid w:val="FF9E5115"/>
    <w:rsid w:val="FFAF1D2E"/>
    <w:rsid w:val="FFB4DABA"/>
    <w:rsid w:val="FFBF9976"/>
    <w:rsid w:val="FFD5D403"/>
    <w:rsid w:val="FFD65B47"/>
    <w:rsid w:val="FFD7658D"/>
    <w:rsid w:val="FFDB4044"/>
    <w:rsid w:val="FFDF00DE"/>
    <w:rsid w:val="FFDF3120"/>
    <w:rsid w:val="FFDF4D62"/>
    <w:rsid w:val="FFDF8C57"/>
    <w:rsid w:val="FFE7DECB"/>
    <w:rsid w:val="FFE8271B"/>
    <w:rsid w:val="FFEB05CE"/>
    <w:rsid w:val="FFEE8F39"/>
    <w:rsid w:val="FFEFE519"/>
    <w:rsid w:val="FFF3430A"/>
    <w:rsid w:val="FFF5AF3A"/>
    <w:rsid w:val="FFF6915B"/>
    <w:rsid w:val="FFFD9234"/>
    <w:rsid w:val="FFFF01CB"/>
    <w:rsid w:val="FFFF7066"/>
    <w:rsid w:val="FFFFCF5E"/>
    <w:rsid w:val="00000446"/>
    <w:rsid w:val="000008EF"/>
    <w:rsid w:val="00000AC4"/>
    <w:rsid w:val="000010DA"/>
    <w:rsid w:val="00001367"/>
    <w:rsid w:val="00001BF6"/>
    <w:rsid w:val="00002985"/>
    <w:rsid w:val="00003142"/>
    <w:rsid w:val="00003733"/>
    <w:rsid w:val="00003B08"/>
    <w:rsid w:val="00003CE3"/>
    <w:rsid w:val="00003F62"/>
    <w:rsid w:val="000049A2"/>
    <w:rsid w:val="00004C7B"/>
    <w:rsid w:val="00004D78"/>
    <w:rsid w:val="00005289"/>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692D"/>
    <w:rsid w:val="00057A0B"/>
    <w:rsid w:val="00057D35"/>
    <w:rsid w:val="00057F85"/>
    <w:rsid w:val="000625C3"/>
    <w:rsid w:val="00062B9E"/>
    <w:rsid w:val="00063693"/>
    <w:rsid w:val="000646E6"/>
    <w:rsid w:val="00064852"/>
    <w:rsid w:val="00064896"/>
    <w:rsid w:val="000652A4"/>
    <w:rsid w:val="00065D01"/>
    <w:rsid w:val="00066D4A"/>
    <w:rsid w:val="00066E6D"/>
    <w:rsid w:val="00066F46"/>
    <w:rsid w:val="00067343"/>
    <w:rsid w:val="000675A6"/>
    <w:rsid w:val="00072AA9"/>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4D57"/>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3FEF"/>
    <w:rsid w:val="000C4EC7"/>
    <w:rsid w:val="000C6243"/>
    <w:rsid w:val="000C65BD"/>
    <w:rsid w:val="000C69C7"/>
    <w:rsid w:val="000C69FF"/>
    <w:rsid w:val="000C774E"/>
    <w:rsid w:val="000D0A06"/>
    <w:rsid w:val="000D195B"/>
    <w:rsid w:val="000D3D4A"/>
    <w:rsid w:val="000D3F03"/>
    <w:rsid w:val="000D40D6"/>
    <w:rsid w:val="000D7B38"/>
    <w:rsid w:val="000E02D4"/>
    <w:rsid w:val="000E18E5"/>
    <w:rsid w:val="000E1F66"/>
    <w:rsid w:val="000E4519"/>
    <w:rsid w:val="000E4CDA"/>
    <w:rsid w:val="000E4D33"/>
    <w:rsid w:val="000E5276"/>
    <w:rsid w:val="000E5FC5"/>
    <w:rsid w:val="000E64F6"/>
    <w:rsid w:val="000F1F88"/>
    <w:rsid w:val="000F1FC8"/>
    <w:rsid w:val="000F4AB0"/>
    <w:rsid w:val="000F4B52"/>
    <w:rsid w:val="000F4E12"/>
    <w:rsid w:val="000F4F3A"/>
    <w:rsid w:val="000F571B"/>
    <w:rsid w:val="000F5DF5"/>
    <w:rsid w:val="000F78E7"/>
    <w:rsid w:val="000F794B"/>
    <w:rsid w:val="000F7E52"/>
    <w:rsid w:val="001007A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32E8"/>
    <w:rsid w:val="00144478"/>
    <w:rsid w:val="00144A04"/>
    <w:rsid w:val="001455FB"/>
    <w:rsid w:val="0014652F"/>
    <w:rsid w:val="00146DE8"/>
    <w:rsid w:val="00147566"/>
    <w:rsid w:val="0014775D"/>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51E"/>
    <w:rsid w:val="00162EB8"/>
    <w:rsid w:val="00164357"/>
    <w:rsid w:val="001646A1"/>
    <w:rsid w:val="00164988"/>
    <w:rsid w:val="00165688"/>
    <w:rsid w:val="00166654"/>
    <w:rsid w:val="001667B1"/>
    <w:rsid w:val="00166A95"/>
    <w:rsid w:val="00167376"/>
    <w:rsid w:val="001675D6"/>
    <w:rsid w:val="0017147F"/>
    <w:rsid w:val="00171840"/>
    <w:rsid w:val="001718AD"/>
    <w:rsid w:val="00172A27"/>
    <w:rsid w:val="00172D66"/>
    <w:rsid w:val="00173690"/>
    <w:rsid w:val="00174703"/>
    <w:rsid w:val="00174A0B"/>
    <w:rsid w:val="00174A5A"/>
    <w:rsid w:val="001753F3"/>
    <w:rsid w:val="00175558"/>
    <w:rsid w:val="001755C0"/>
    <w:rsid w:val="0017584C"/>
    <w:rsid w:val="00176EF8"/>
    <w:rsid w:val="001771DB"/>
    <w:rsid w:val="001774B2"/>
    <w:rsid w:val="001801E7"/>
    <w:rsid w:val="001817B5"/>
    <w:rsid w:val="00182158"/>
    <w:rsid w:val="00182DBE"/>
    <w:rsid w:val="001837D3"/>
    <w:rsid w:val="001839FC"/>
    <w:rsid w:val="00184214"/>
    <w:rsid w:val="00184F49"/>
    <w:rsid w:val="00185164"/>
    <w:rsid w:val="001866D6"/>
    <w:rsid w:val="00187BEF"/>
    <w:rsid w:val="001927B1"/>
    <w:rsid w:val="00192C3E"/>
    <w:rsid w:val="00192CBE"/>
    <w:rsid w:val="00192DC0"/>
    <w:rsid w:val="00193B65"/>
    <w:rsid w:val="00193D60"/>
    <w:rsid w:val="00194B69"/>
    <w:rsid w:val="00194BFC"/>
    <w:rsid w:val="00195A78"/>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623"/>
    <w:rsid w:val="001C3C94"/>
    <w:rsid w:val="001C4570"/>
    <w:rsid w:val="001C4742"/>
    <w:rsid w:val="001C4B70"/>
    <w:rsid w:val="001C598E"/>
    <w:rsid w:val="001C5B8B"/>
    <w:rsid w:val="001D05B1"/>
    <w:rsid w:val="001D0B3B"/>
    <w:rsid w:val="001D1826"/>
    <w:rsid w:val="001D214A"/>
    <w:rsid w:val="001D2B65"/>
    <w:rsid w:val="001D3FCE"/>
    <w:rsid w:val="001D4C52"/>
    <w:rsid w:val="001D623C"/>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365C"/>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3C32"/>
    <w:rsid w:val="00244643"/>
    <w:rsid w:val="0024514E"/>
    <w:rsid w:val="0024571B"/>
    <w:rsid w:val="00247045"/>
    <w:rsid w:val="002474E8"/>
    <w:rsid w:val="002476CC"/>
    <w:rsid w:val="002479F9"/>
    <w:rsid w:val="00247FDF"/>
    <w:rsid w:val="0025138E"/>
    <w:rsid w:val="0025182F"/>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6C8E"/>
    <w:rsid w:val="002779A6"/>
    <w:rsid w:val="00280028"/>
    <w:rsid w:val="002808B2"/>
    <w:rsid w:val="002824A9"/>
    <w:rsid w:val="00282646"/>
    <w:rsid w:val="00285ED0"/>
    <w:rsid w:val="00286570"/>
    <w:rsid w:val="0028671D"/>
    <w:rsid w:val="00286FFE"/>
    <w:rsid w:val="00287945"/>
    <w:rsid w:val="00287F20"/>
    <w:rsid w:val="00287F8D"/>
    <w:rsid w:val="00290BB6"/>
    <w:rsid w:val="0029115C"/>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2A2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0D"/>
    <w:rsid w:val="002C2A34"/>
    <w:rsid w:val="002C3ED3"/>
    <w:rsid w:val="002C77D2"/>
    <w:rsid w:val="002D00D8"/>
    <w:rsid w:val="002D27B8"/>
    <w:rsid w:val="002D291D"/>
    <w:rsid w:val="002D2E70"/>
    <w:rsid w:val="002D3E2A"/>
    <w:rsid w:val="002D4F73"/>
    <w:rsid w:val="002D5C8D"/>
    <w:rsid w:val="002D6180"/>
    <w:rsid w:val="002D672E"/>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5DC8"/>
    <w:rsid w:val="002F631D"/>
    <w:rsid w:val="002F6403"/>
    <w:rsid w:val="003005AF"/>
    <w:rsid w:val="00300C29"/>
    <w:rsid w:val="00302BE6"/>
    <w:rsid w:val="00303680"/>
    <w:rsid w:val="00304B6F"/>
    <w:rsid w:val="00304CF3"/>
    <w:rsid w:val="00304E68"/>
    <w:rsid w:val="003056D2"/>
    <w:rsid w:val="00306D60"/>
    <w:rsid w:val="0030767C"/>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6E"/>
    <w:rsid w:val="00351FE3"/>
    <w:rsid w:val="0035227A"/>
    <w:rsid w:val="00352B28"/>
    <w:rsid w:val="003536C6"/>
    <w:rsid w:val="00354A9E"/>
    <w:rsid w:val="00355810"/>
    <w:rsid w:val="00357054"/>
    <w:rsid w:val="00357B4C"/>
    <w:rsid w:val="00360A6F"/>
    <w:rsid w:val="003611F4"/>
    <w:rsid w:val="00362052"/>
    <w:rsid w:val="00362F67"/>
    <w:rsid w:val="003639BF"/>
    <w:rsid w:val="003647E3"/>
    <w:rsid w:val="0036525D"/>
    <w:rsid w:val="00365FD1"/>
    <w:rsid w:val="00367279"/>
    <w:rsid w:val="0037058D"/>
    <w:rsid w:val="003706D5"/>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6E95"/>
    <w:rsid w:val="003879C4"/>
    <w:rsid w:val="00391C55"/>
    <w:rsid w:val="00392030"/>
    <w:rsid w:val="00392D17"/>
    <w:rsid w:val="003937A0"/>
    <w:rsid w:val="003957AA"/>
    <w:rsid w:val="00395834"/>
    <w:rsid w:val="00395EF2"/>
    <w:rsid w:val="0039799E"/>
    <w:rsid w:val="003A01EB"/>
    <w:rsid w:val="003A1C82"/>
    <w:rsid w:val="003A227E"/>
    <w:rsid w:val="003A24D4"/>
    <w:rsid w:val="003A2503"/>
    <w:rsid w:val="003A4764"/>
    <w:rsid w:val="003A4916"/>
    <w:rsid w:val="003A4BCD"/>
    <w:rsid w:val="003A5258"/>
    <w:rsid w:val="003A7F47"/>
    <w:rsid w:val="003B0478"/>
    <w:rsid w:val="003B0CC1"/>
    <w:rsid w:val="003B163E"/>
    <w:rsid w:val="003B412E"/>
    <w:rsid w:val="003B45F4"/>
    <w:rsid w:val="003B4ACD"/>
    <w:rsid w:val="003C1534"/>
    <w:rsid w:val="003C1A2B"/>
    <w:rsid w:val="003C1EFF"/>
    <w:rsid w:val="003C3B8B"/>
    <w:rsid w:val="003C5759"/>
    <w:rsid w:val="003C645C"/>
    <w:rsid w:val="003C7123"/>
    <w:rsid w:val="003C7F90"/>
    <w:rsid w:val="003D222C"/>
    <w:rsid w:val="003D23CF"/>
    <w:rsid w:val="003D5547"/>
    <w:rsid w:val="003D5914"/>
    <w:rsid w:val="003D67CB"/>
    <w:rsid w:val="003D6B57"/>
    <w:rsid w:val="003D6DA4"/>
    <w:rsid w:val="003D788B"/>
    <w:rsid w:val="003D79D4"/>
    <w:rsid w:val="003D7A3A"/>
    <w:rsid w:val="003E0735"/>
    <w:rsid w:val="003E0B30"/>
    <w:rsid w:val="003E21C8"/>
    <w:rsid w:val="003E2DAF"/>
    <w:rsid w:val="003E32D5"/>
    <w:rsid w:val="003E39BC"/>
    <w:rsid w:val="003E4692"/>
    <w:rsid w:val="003E62A0"/>
    <w:rsid w:val="003E68DA"/>
    <w:rsid w:val="003E7974"/>
    <w:rsid w:val="003E7D9C"/>
    <w:rsid w:val="003E7DAB"/>
    <w:rsid w:val="003F0222"/>
    <w:rsid w:val="003F14A6"/>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3A42"/>
    <w:rsid w:val="00423F95"/>
    <w:rsid w:val="00424FB9"/>
    <w:rsid w:val="004310C9"/>
    <w:rsid w:val="0043110A"/>
    <w:rsid w:val="0043184D"/>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1F4C"/>
    <w:rsid w:val="00452027"/>
    <w:rsid w:val="004520AC"/>
    <w:rsid w:val="00452D6E"/>
    <w:rsid w:val="00453DB4"/>
    <w:rsid w:val="004547CE"/>
    <w:rsid w:val="0045485A"/>
    <w:rsid w:val="00454874"/>
    <w:rsid w:val="00454BE9"/>
    <w:rsid w:val="0045585D"/>
    <w:rsid w:val="00456E13"/>
    <w:rsid w:val="00460CEB"/>
    <w:rsid w:val="0046107E"/>
    <w:rsid w:val="00461DCB"/>
    <w:rsid w:val="0046213B"/>
    <w:rsid w:val="004621D3"/>
    <w:rsid w:val="00462D5A"/>
    <w:rsid w:val="00463BDC"/>
    <w:rsid w:val="00464316"/>
    <w:rsid w:val="00464585"/>
    <w:rsid w:val="0046536F"/>
    <w:rsid w:val="00465F63"/>
    <w:rsid w:val="004660A5"/>
    <w:rsid w:val="0046622A"/>
    <w:rsid w:val="00466468"/>
    <w:rsid w:val="00470300"/>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259"/>
    <w:rsid w:val="00487DB7"/>
    <w:rsid w:val="00487E8C"/>
    <w:rsid w:val="00491A7F"/>
    <w:rsid w:val="004920EF"/>
    <w:rsid w:val="004929BC"/>
    <w:rsid w:val="00492AED"/>
    <w:rsid w:val="00492F4F"/>
    <w:rsid w:val="0049340F"/>
    <w:rsid w:val="0049456B"/>
    <w:rsid w:val="00494F69"/>
    <w:rsid w:val="004953D8"/>
    <w:rsid w:val="004955CE"/>
    <w:rsid w:val="00495C1D"/>
    <w:rsid w:val="00497699"/>
    <w:rsid w:val="004A02E8"/>
    <w:rsid w:val="004A1E6B"/>
    <w:rsid w:val="004A1ED7"/>
    <w:rsid w:val="004A31DA"/>
    <w:rsid w:val="004A3B60"/>
    <w:rsid w:val="004A3C6D"/>
    <w:rsid w:val="004A4CEB"/>
    <w:rsid w:val="004A6D49"/>
    <w:rsid w:val="004A703F"/>
    <w:rsid w:val="004A73E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8D8"/>
    <w:rsid w:val="004E3E51"/>
    <w:rsid w:val="004E44E9"/>
    <w:rsid w:val="004E59BA"/>
    <w:rsid w:val="004E5B66"/>
    <w:rsid w:val="004E74A5"/>
    <w:rsid w:val="004E7ED5"/>
    <w:rsid w:val="004F13CC"/>
    <w:rsid w:val="004F219A"/>
    <w:rsid w:val="004F22F1"/>
    <w:rsid w:val="004F273A"/>
    <w:rsid w:val="004F4370"/>
    <w:rsid w:val="004F4E19"/>
    <w:rsid w:val="004F5BD2"/>
    <w:rsid w:val="004F5ED1"/>
    <w:rsid w:val="004F6C00"/>
    <w:rsid w:val="004F710D"/>
    <w:rsid w:val="004F7BB1"/>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1F9E"/>
    <w:rsid w:val="005824AC"/>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6E64"/>
    <w:rsid w:val="00596F91"/>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159"/>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1B62"/>
    <w:rsid w:val="005D27A0"/>
    <w:rsid w:val="005D488A"/>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45EB"/>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6EB6"/>
    <w:rsid w:val="005F738E"/>
    <w:rsid w:val="005F7549"/>
    <w:rsid w:val="0060035C"/>
    <w:rsid w:val="00600E3D"/>
    <w:rsid w:val="00601049"/>
    <w:rsid w:val="006014B9"/>
    <w:rsid w:val="00601659"/>
    <w:rsid w:val="006026D7"/>
    <w:rsid w:val="0060595A"/>
    <w:rsid w:val="006073C8"/>
    <w:rsid w:val="00607A81"/>
    <w:rsid w:val="00607C05"/>
    <w:rsid w:val="00611CFD"/>
    <w:rsid w:val="00612198"/>
    <w:rsid w:val="00612D6B"/>
    <w:rsid w:val="00612E55"/>
    <w:rsid w:val="006134AD"/>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C0E"/>
    <w:rsid w:val="00631F36"/>
    <w:rsid w:val="00632E52"/>
    <w:rsid w:val="0063306F"/>
    <w:rsid w:val="006332AF"/>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6E1"/>
    <w:rsid w:val="00673AE6"/>
    <w:rsid w:val="00673F59"/>
    <w:rsid w:val="0067425B"/>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79"/>
    <w:rsid w:val="006A529C"/>
    <w:rsid w:val="006A535A"/>
    <w:rsid w:val="006A60B5"/>
    <w:rsid w:val="006A666F"/>
    <w:rsid w:val="006A7111"/>
    <w:rsid w:val="006A77E0"/>
    <w:rsid w:val="006B0FA0"/>
    <w:rsid w:val="006B1891"/>
    <w:rsid w:val="006B3D9B"/>
    <w:rsid w:val="006B417C"/>
    <w:rsid w:val="006B4B33"/>
    <w:rsid w:val="006B63B3"/>
    <w:rsid w:val="006B67EB"/>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58E"/>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171"/>
    <w:rsid w:val="006E39BE"/>
    <w:rsid w:val="006E4B6A"/>
    <w:rsid w:val="006E4EC4"/>
    <w:rsid w:val="006E5A19"/>
    <w:rsid w:val="006E6FDF"/>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145"/>
    <w:rsid w:val="00700E7E"/>
    <w:rsid w:val="00701B06"/>
    <w:rsid w:val="00702930"/>
    <w:rsid w:val="00705242"/>
    <w:rsid w:val="007060EA"/>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0E2"/>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37A4B"/>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252F"/>
    <w:rsid w:val="007638E3"/>
    <w:rsid w:val="00763C26"/>
    <w:rsid w:val="00763EC2"/>
    <w:rsid w:val="00764DF3"/>
    <w:rsid w:val="00765009"/>
    <w:rsid w:val="007655D2"/>
    <w:rsid w:val="007658B9"/>
    <w:rsid w:val="00767974"/>
    <w:rsid w:val="007733D9"/>
    <w:rsid w:val="00773E0C"/>
    <w:rsid w:val="00775489"/>
    <w:rsid w:val="00775BFE"/>
    <w:rsid w:val="007770C9"/>
    <w:rsid w:val="00777E3F"/>
    <w:rsid w:val="00780024"/>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4CEC"/>
    <w:rsid w:val="007956AB"/>
    <w:rsid w:val="00795E34"/>
    <w:rsid w:val="00796A51"/>
    <w:rsid w:val="00796F0C"/>
    <w:rsid w:val="007978FA"/>
    <w:rsid w:val="007A0624"/>
    <w:rsid w:val="007A0A31"/>
    <w:rsid w:val="007A0C7F"/>
    <w:rsid w:val="007A2A58"/>
    <w:rsid w:val="007A2BFA"/>
    <w:rsid w:val="007A30A0"/>
    <w:rsid w:val="007A3B65"/>
    <w:rsid w:val="007A3C96"/>
    <w:rsid w:val="007A3DBB"/>
    <w:rsid w:val="007A6892"/>
    <w:rsid w:val="007A7414"/>
    <w:rsid w:val="007A7461"/>
    <w:rsid w:val="007B0646"/>
    <w:rsid w:val="007B116B"/>
    <w:rsid w:val="007B1F9D"/>
    <w:rsid w:val="007B23A4"/>
    <w:rsid w:val="007B33FD"/>
    <w:rsid w:val="007B35B8"/>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5F8E"/>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C"/>
    <w:rsid w:val="007E460F"/>
    <w:rsid w:val="007E6FFC"/>
    <w:rsid w:val="007E7EF8"/>
    <w:rsid w:val="007F028E"/>
    <w:rsid w:val="007F0F3E"/>
    <w:rsid w:val="007F2DB3"/>
    <w:rsid w:val="007F320F"/>
    <w:rsid w:val="007F3A44"/>
    <w:rsid w:val="007F444C"/>
    <w:rsid w:val="007F5079"/>
    <w:rsid w:val="007F6049"/>
    <w:rsid w:val="007F7092"/>
    <w:rsid w:val="007F72D3"/>
    <w:rsid w:val="007F7E91"/>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629"/>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7B2"/>
    <w:rsid w:val="0086294F"/>
    <w:rsid w:val="00863204"/>
    <w:rsid w:val="008648DF"/>
    <w:rsid w:val="00865334"/>
    <w:rsid w:val="0086555F"/>
    <w:rsid w:val="00865CC2"/>
    <w:rsid w:val="00867098"/>
    <w:rsid w:val="00867B63"/>
    <w:rsid w:val="008704C6"/>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02"/>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447"/>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5F5"/>
    <w:rsid w:val="00902F1E"/>
    <w:rsid w:val="00903883"/>
    <w:rsid w:val="009043F9"/>
    <w:rsid w:val="00905276"/>
    <w:rsid w:val="00906813"/>
    <w:rsid w:val="00906B87"/>
    <w:rsid w:val="00907516"/>
    <w:rsid w:val="00907CDC"/>
    <w:rsid w:val="009109C6"/>
    <w:rsid w:val="00911046"/>
    <w:rsid w:val="00911DAF"/>
    <w:rsid w:val="009125C7"/>
    <w:rsid w:val="00912721"/>
    <w:rsid w:val="00912B94"/>
    <w:rsid w:val="00925268"/>
    <w:rsid w:val="00927A1E"/>
    <w:rsid w:val="00930581"/>
    <w:rsid w:val="00931B82"/>
    <w:rsid w:val="00932352"/>
    <w:rsid w:val="0093449C"/>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22D"/>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A09"/>
    <w:rsid w:val="009B5FFE"/>
    <w:rsid w:val="009B6528"/>
    <w:rsid w:val="009B78E3"/>
    <w:rsid w:val="009B7B21"/>
    <w:rsid w:val="009C0171"/>
    <w:rsid w:val="009C225A"/>
    <w:rsid w:val="009C2516"/>
    <w:rsid w:val="009C26B5"/>
    <w:rsid w:val="009C33E6"/>
    <w:rsid w:val="009C4B9A"/>
    <w:rsid w:val="009C5B84"/>
    <w:rsid w:val="009C6915"/>
    <w:rsid w:val="009C694E"/>
    <w:rsid w:val="009C70BE"/>
    <w:rsid w:val="009C7DFE"/>
    <w:rsid w:val="009C7F60"/>
    <w:rsid w:val="009D04F3"/>
    <w:rsid w:val="009D1394"/>
    <w:rsid w:val="009D1E40"/>
    <w:rsid w:val="009D2460"/>
    <w:rsid w:val="009D543C"/>
    <w:rsid w:val="009D5CE9"/>
    <w:rsid w:val="009D615B"/>
    <w:rsid w:val="009D6380"/>
    <w:rsid w:val="009D6FCD"/>
    <w:rsid w:val="009D7CF8"/>
    <w:rsid w:val="009E0B2F"/>
    <w:rsid w:val="009E176C"/>
    <w:rsid w:val="009E21EA"/>
    <w:rsid w:val="009E2327"/>
    <w:rsid w:val="009E276C"/>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591"/>
    <w:rsid w:val="00A069A0"/>
    <w:rsid w:val="00A10A28"/>
    <w:rsid w:val="00A117A7"/>
    <w:rsid w:val="00A124D2"/>
    <w:rsid w:val="00A20B13"/>
    <w:rsid w:val="00A2130D"/>
    <w:rsid w:val="00A21612"/>
    <w:rsid w:val="00A21A11"/>
    <w:rsid w:val="00A21A21"/>
    <w:rsid w:val="00A21FCA"/>
    <w:rsid w:val="00A233CD"/>
    <w:rsid w:val="00A234CA"/>
    <w:rsid w:val="00A23D52"/>
    <w:rsid w:val="00A30DC0"/>
    <w:rsid w:val="00A319C8"/>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6D1"/>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561"/>
    <w:rsid w:val="00A91D53"/>
    <w:rsid w:val="00A93F12"/>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295A"/>
    <w:rsid w:val="00AC39B4"/>
    <w:rsid w:val="00AC489B"/>
    <w:rsid w:val="00AC527C"/>
    <w:rsid w:val="00AC56BA"/>
    <w:rsid w:val="00AC578E"/>
    <w:rsid w:val="00AC604E"/>
    <w:rsid w:val="00AC65F9"/>
    <w:rsid w:val="00AC6ACE"/>
    <w:rsid w:val="00AC7703"/>
    <w:rsid w:val="00AC7D83"/>
    <w:rsid w:val="00AD0961"/>
    <w:rsid w:val="00AD0988"/>
    <w:rsid w:val="00AD0B06"/>
    <w:rsid w:val="00AD0E40"/>
    <w:rsid w:val="00AD0F44"/>
    <w:rsid w:val="00AD1B79"/>
    <w:rsid w:val="00AD3A0B"/>
    <w:rsid w:val="00AD4A9E"/>
    <w:rsid w:val="00AD5A56"/>
    <w:rsid w:val="00AD621C"/>
    <w:rsid w:val="00AD6E04"/>
    <w:rsid w:val="00AE01D2"/>
    <w:rsid w:val="00AE1765"/>
    <w:rsid w:val="00AE5BB4"/>
    <w:rsid w:val="00AE6177"/>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5163"/>
    <w:rsid w:val="00B055C9"/>
    <w:rsid w:val="00B05F5B"/>
    <w:rsid w:val="00B10113"/>
    <w:rsid w:val="00B1166F"/>
    <w:rsid w:val="00B12057"/>
    <w:rsid w:val="00B123E0"/>
    <w:rsid w:val="00B12AC5"/>
    <w:rsid w:val="00B13175"/>
    <w:rsid w:val="00B166CC"/>
    <w:rsid w:val="00B17D05"/>
    <w:rsid w:val="00B20152"/>
    <w:rsid w:val="00B21813"/>
    <w:rsid w:val="00B23D55"/>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7D9"/>
    <w:rsid w:val="00B50ADE"/>
    <w:rsid w:val="00B512C6"/>
    <w:rsid w:val="00B515D7"/>
    <w:rsid w:val="00B53546"/>
    <w:rsid w:val="00B5389F"/>
    <w:rsid w:val="00B544F7"/>
    <w:rsid w:val="00B54D09"/>
    <w:rsid w:val="00B54D79"/>
    <w:rsid w:val="00B55423"/>
    <w:rsid w:val="00B55F5E"/>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D61"/>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241"/>
    <w:rsid w:val="00B93912"/>
    <w:rsid w:val="00B94771"/>
    <w:rsid w:val="00B95469"/>
    <w:rsid w:val="00B96F85"/>
    <w:rsid w:val="00B975A7"/>
    <w:rsid w:val="00BA1114"/>
    <w:rsid w:val="00BA3549"/>
    <w:rsid w:val="00BA3E16"/>
    <w:rsid w:val="00BA5D10"/>
    <w:rsid w:val="00BA755F"/>
    <w:rsid w:val="00BA79D0"/>
    <w:rsid w:val="00BA7F6D"/>
    <w:rsid w:val="00BB1307"/>
    <w:rsid w:val="00BB175A"/>
    <w:rsid w:val="00BB1DD4"/>
    <w:rsid w:val="00BB2393"/>
    <w:rsid w:val="00BB3A0B"/>
    <w:rsid w:val="00BB4F64"/>
    <w:rsid w:val="00BB502A"/>
    <w:rsid w:val="00BB5060"/>
    <w:rsid w:val="00BB5159"/>
    <w:rsid w:val="00BB5451"/>
    <w:rsid w:val="00BB5E2D"/>
    <w:rsid w:val="00BB614C"/>
    <w:rsid w:val="00BB67F4"/>
    <w:rsid w:val="00BC1E2D"/>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D7F53"/>
    <w:rsid w:val="00BE144D"/>
    <w:rsid w:val="00BE16C2"/>
    <w:rsid w:val="00BE227F"/>
    <w:rsid w:val="00BE26D0"/>
    <w:rsid w:val="00BE2BF3"/>
    <w:rsid w:val="00BE2E5B"/>
    <w:rsid w:val="00BE380F"/>
    <w:rsid w:val="00BE387C"/>
    <w:rsid w:val="00BE3B32"/>
    <w:rsid w:val="00BE4511"/>
    <w:rsid w:val="00BE5D61"/>
    <w:rsid w:val="00BE6AF7"/>
    <w:rsid w:val="00BF0B46"/>
    <w:rsid w:val="00BF0DE0"/>
    <w:rsid w:val="00BF204E"/>
    <w:rsid w:val="00BF33B0"/>
    <w:rsid w:val="00BF3629"/>
    <w:rsid w:val="00BF64A7"/>
    <w:rsid w:val="00C00480"/>
    <w:rsid w:val="00C0063E"/>
    <w:rsid w:val="00C01616"/>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2193"/>
    <w:rsid w:val="00C43741"/>
    <w:rsid w:val="00C4377E"/>
    <w:rsid w:val="00C439D9"/>
    <w:rsid w:val="00C448F8"/>
    <w:rsid w:val="00C45F06"/>
    <w:rsid w:val="00C461B1"/>
    <w:rsid w:val="00C46D28"/>
    <w:rsid w:val="00C5003D"/>
    <w:rsid w:val="00C505DA"/>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2AE4"/>
    <w:rsid w:val="00C75CC6"/>
    <w:rsid w:val="00C771C4"/>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23BA"/>
    <w:rsid w:val="00CA3344"/>
    <w:rsid w:val="00CA4E93"/>
    <w:rsid w:val="00CA4FF9"/>
    <w:rsid w:val="00CA67B5"/>
    <w:rsid w:val="00CA6A8D"/>
    <w:rsid w:val="00CA6AFB"/>
    <w:rsid w:val="00CB1182"/>
    <w:rsid w:val="00CB247D"/>
    <w:rsid w:val="00CB24A5"/>
    <w:rsid w:val="00CB25DB"/>
    <w:rsid w:val="00CB3D15"/>
    <w:rsid w:val="00CB3E5F"/>
    <w:rsid w:val="00CB3EB8"/>
    <w:rsid w:val="00CB4E15"/>
    <w:rsid w:val="00CB564A"/>
    <w:rsid w:val="00CB6CF6"/>
    <w:rsid w:val="00CB6D1E"/>
    <w:rsid w:val="00CB7109"/>
    <w:rsid w:val="00CB798D"/>
    <w:rsid w:val="00CC0A71"/>
    <w:rsid w:val="00CC0AED"/>
    <w:rsid w:val="00CC1BB7"/>
    <w:rsid w:val="00CD0574"/>
    <w:rsid w:val="00CD0907"/>
    <w:rsid w:val="00CD0AE5"/>
    <w:rsid w:val="00CD10A2"/>
    <w:rsid w:val="00CD1C9B"/>
    <w:rsid w:val="00CD3160"/>
    <w:rsid w:val="00CD39E4"/>
    <w:rsid w:val="00CD5135"/>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1EEC"/>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4488"/>
    <w:rsid w:val="00D44868"/>
    <w:rsid w:val="00D450A2"/>
    <w:rsid w:val="00D4545A"/>
    <w:rsid w:val="00D45D61"/>
    <w:rsid w:val="00D46975"/>
    <w:rsid w:val="00D46C58"/>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437"/>
    <w:rsid w:val="00D657A1"/>
    <w:rsid w:val="00D72644"/>
    <w:rsid w:val="00D74A57"/>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5743"/>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0C"/>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1F83"/>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0B4E"/>
    <w:rsid w:val="00E318B9"/>
    <w:rsid w:val="00E3296F"/>
    <w:rsid w:val="00E35E85"/>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60"/>
    <w:rsid w:val="00E539A5"/>
    <w:rsid w:val="00E53B49"/>
    <w:rsid w:val="00E54EF7"/>
    <w:rsid w:val="00E56547"/>
    <w:rsid w:val="00E56D44"/>
    <w:rsid w:val="00E572C9"/>
    <w:rsid w:val="00E601FE"/>
    <w:rsid w:val="00E60A9F"/>
    <w:rsid w:val="00E60E16"/>
    <w:rsid w:val="00E60E34"/>
    <w:rsid w:val="00E6127D"/>
    <w:rsid w:val="00E63C31"/>
    <w:rsid w:val="00E64012"/>
    <w:rsid w:val="00E6470D"/>
    <w:rsid w:val="00E65319"/>
    <w:rsid w:val="00E67AE1"/>
    <w:rsid w:val="00E67D24"/>
    <w:rsid w:val="00E70CE5"/>
    <w:rsid w:val="00E71BDE"/>
    <w:rsid w:val="00E72E8D"/>
    <w:rsid w:val="00E748DD"/>
    <w:rsid w:val="00E75F5D"/>
    <w:rsid w:val="00E769A1"/>
    <w:rsid w:val="00E76AEB"/>
    <w:rsid w:val="00E777B0"/>
    <w:rsid w:val="00E818FC"/>
    <w:rsid w:val="00E84B59"/>
    <w:rsid w:val="00E85C05"/>
    <w:rsid w:val="00E85C8B"/>
    <w:rsid w:val="00E86784"/>
    <w:rsid w:val="00E86BBB"/>
    <w:rsid w:val="00E87293"/>
    <w:rsid w:val="00E873A3"/>
    <w:rsid w:val="00E90252"/>
    <w:rsid w:val="00E92005"/>
    <w:rsid w:val="00E92EB4"/>
    <w:rsid w:val="00E934BE"/>
    <w:rsid w:val="00E934F3"/>
    <w:rsid w:val="00E9543D"/>
    <w:rsid w:val="00E9686F"/>
    <w:rsid w:val="00E971E7"/>
    <w:rsid w:val="00E973EB"/>
    <w:rsid w:val="00E9764D"/>
    <w:rsid w:val="00E97A66"/>
    <w:rsid w:val="00E97FE1"/>
    <w:rsid w:val="00EA0186"/>
    <w:rsid w:val="00EA02C5"/>
    <w:rsid w:val="00EA13FF"/>
    <w:rsid w:val="00EA44B9"/>
    <w:rsid w:val="00EA494A"/>
    <w:rsid w:val="00EA6670"/>
    <w:rsid w:val="00EA6DBB"/>
    <w:rsid w:val="00EA75DE"/>
    <w:rsid w:val="00EA7630"/>
    <w:rsid w:val="00EB3007"/>
    <w:rsid w:val="00EB3418"/>
    <w:rsid w:val="00EB41AF"/>
    <w:rsid w:val="00EB43F3"/>
    <w:rsid w:val="00EB5362"/>
    <w:rsid w:val="00EB5A21"/>
    <w:rsid w:val="00EB651C"/>
    <w:rsid w:val="00EB68CD"/>
    <w:rsid w:val="00EB6B3A"/>
    <w:rsid w:val="00EB72DD"/>
    <w:rsid w:val="00EC250E"/>
    <w:rsid w:val="00EC39B6"/>
    <w:rsid w:val="00EC3A90"/>
    <w:rsid w:val="00EC4C13"/>
    <w:rsid w:val="00EC69C5"/>
    <w:rsid w:val="00EC796D"/>
    <w:rsid w:val="00ED02BA"/>
    <w:rsid w:val="00ED0E58"/>
    <w:rsid w:val="00ED1379"/>
    <w:rsid w:val="00ED1E5B"/>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3E27"/>
    <w:rsid w:val="00EF41E3"/>
    <w:rsid w:val="00EF476C"/>
    <w:rsid w:val="00EF4CF5"/>
    <w:rsid w:val="00EF4E42"/>
    <w:rsid w:val="00EF55C2"/>
    <w:rsid w:val="00EF56AF"/>
    <w:rsid w:val="00EF59F7"/>
    <w:rsid w:val="00EF691C"/>
    <w:rsid w:val="00EF6FD0"/>
    <w:rsid w:val="00EF74A3"/>
    <w:rsid w:val="00EF7910"/>
    <w:rsid w:val="00F002C9"/>
    <w:rsid w:val="00F00317"/>
    <w:rsid w:val="00F006B6"/>
    <w:rsid w:val="00F009BB"/>
    <w:rsid w:val="00F02579"/>
    <w:rsid w:val="00F03269"/>
    <w:rsid w:val="00F042EB"/>
    <w:rsid w:val="00F04FFB"/>
    <w:rsid w:val="00F0631F"/>
    <w:rsid w:val="00F06E70"/>
    <w:rsid w:val="00F06ED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86C"/>
    <w:rsid w:val="00F26F29"/>
    <w:rsid w:val="00F3086B"/>
    <w:rsid w:val="00F314E4"/>
    <w:rsid w:val="00F315EB"/>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05A5"/>
    <w:rsid w:val="00F71502"/>
    <w:rsid w:val="00F7183F"/>
    <w:rsid w:val="00F71C81"/>
    <w:rsid w:val="00F723AC"/>
    <w:rsid w:val="00F72768"/>
    <w:rsid w:val="00F77612"/>
    <w:rsid w:val="00F8018D"/>
    <w:rsid w:val="00F80303"/>
    <w:rsid w:val="00F80D85"/>
    <w:rsid w:val="00F823F3"/>
    <w:rsid w:val="00F82875"/>
    <w:rsid w:val="00F8360D"/>
    <w:rsid w:val="00F84E35"/>
    <w:rsid w:val="00F84F77"/>
    <w:rsid w:val="00F87537"/>
    <w:rsid w:val="00F87927"/>
    <w:rsid w:val="00F911B3"/>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64"/>
    <w:rsid w:val="00FA5ED6"/>
    <w:rsid w:val="00FA664A"/>
    <w:rsid w:val="00FA7039"/>
    <w:rsid w:val="00FA7A34"/>
    <w:rsid w:val="00FB001B"/>
    <w:rsid w:val="00FB00A3"/>
    <w:rsid w:val="00FB0603"/>
    <w:rsid w:val="00FB153E"/>
    <w:rsid w:val="00FB6262"/>
    <w:rsid w:val="00FB6D9D"/>
    <w:rsid w:val="00FB7FED"/>
    <w:rsid w:val="00FC01FF"/>
    <w:rsid w:val="00FC164F"/>
    <w:rsid w:val="00FC206F"/>
    <w:rsid w:val="00FC2F8D"/>
    <w:rsid w:val="00FC5833"/>
    <w:rsid w:val="00FC5948"/>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6A40"/>
    <w:rsid w:val="00FE7C2E"/>
    <w:rsid w:val="00FE7F36"/>
    <w:rsid w:val="00FF3A17"/>
    <w:rsid w:val="00FF4B59"/>
    <w:rsid w:val="00FF4D7D"/>
    <w:rsid w:val="00FF785C"/>
    <w:rsid w:val="01791CD3"/>
    <w:rsid w:val="01C502E0"/>
    <w:rsid w:val="0205793E"/>
    <w:rsid w:val="023764B2"/>
    <w:rsid w:val="02533F80"/>
    <w:rsid w:val="03944676"/>
    <w:rsid w:val="03D114CB"/>
    <w:rsid w:val="03F21BCC"/>
    <w:rsid w:val="0433251E"/>
    <w:rsid w:val="047B0B3A"/>
    <w:rsid w:val="04EB0EE2"/>
    <w:rsid w:val="063C29C9"/>
    <w:rsid w:val="06832477"/>
    <w:rsid w:val="06856661"/>
    <w:rsid w:val="073B62FE"/>
    <w:rsid w:val="078966FD"/>
    <w:rsid w:val="07BD4336"/>
    <w:rsid w:val="08A01674"/>
    <w:rsid w:val="0920039A"/>
    <w:rsid w:val="095E54F2"/>
    <w:rsid w:val="09FF1157"/>
    <w:rsid w:val="0A015D01"/>
    <w:rsid w:val="0A4C255E"/>
    <w:rsid w:val="0A4F1CC6"/>
    <w:rsid w:val="0A7F56D8"/>
    <w:rsid w:val="0A854839"/>
    <w:rsid w:val="0ACA0AE6"/>
    <w:rsid w:val="0AD94570"/>
    <w:rsid w:val="0AEB48B5"/>
    <w:rsid w:val="0BAE1B1C"/>
    <w:rsid w:val="0C0E7A39"/>
    <w:rsid w:val="0D1F336B"/>
    <w:rsid w:val="0DD6300D"/>
    <w:rsid w:val="0DDB4FA9"/>
    <w:rsid w:val="0DE03378"/>
    <w:rsid w:val="0E2B2918"/>
    <w:rsid w:val="0E7D4BEE"/>
    <w:rsid w:val="0E9A33AE"/>
    <w:rsid w:val="0EE408D5"/>
    <w:rsid w:val="0EF71738"/>
    <w:rsid w:val="0F655FB1"/>
    <w:rsid w:val="0FCD31DE"/>
    <w:rsid w:val="100C2663"/>
    <w:rsid w:val="100D7D1E"/>
    <w:rsid w:val="107F782F"/>
    <w:rsid w:val="11094D4C"/>
    <w:rsid w:val="111C3487"/>
    <w:rsid w:val="117B3ACB"/>
    <w:rsid w:val="11803E11"/>
    <w:rsid w:val="11B147AE"/>
    <w:rsid w:val="11F052D6"/>
    <w:rsid w:val="122A59BD"/>
    <w:rsid w:val="12761244"/>
    <w:rsid w:val="12A76E20"/>
    <w:rsid w:val="12B20277"/>
    <w:rsid w:val="147C4B0B"/>
    <w:rsid w:val="14BE5F44"/>
    <w:rsid w:val="15194B44"/>
    <w:rsid w:val="1546345F"/>
    <w:rsid w:val="15891CCA"/>
    <w:rsid w:val="15C55D50"/>
    <w:rsid w:val="15CC6A3A"/>
    <w:rsid w:val="15E907B0"/>
    <w:rsid w:val="15FD3A42"/>
    <w:rsid w:val="163F73D8"/>
    <w:rsid w:val="16C9AC94"/>
    <w:rsid w:val="17373E4C"/>
    <w:rsid w:val="17EEF9BF"/>
    <w:rsid w:val="18CD0120"/>
    <w:rsid w:val="19010B5E"/>
    <w:rsid w:val="193B6702"/>
    <w:rsid w:val="199865BF"/>
    <w:rsid w:val="1A321375"/>
    <w:rsid w:val="1AE6371B"/>
    <w:rsid w:val="1AEE8575"/>
    <w:rsid w:val="1B125BAC"/>
    <w:rsid w:val="1B150798"/>
    <w:rsid w:val="1B287E1F"/>
    <w:rsid w:val="1BDF427D"/>
    <w:rsid w:val="1C11583C"/>
    <w:rsid w:val="1C212338"/>
    <w:rsid w:val="1C634634"/>
    <w:rsid w:val="1C803DCB"/>
    <w:rsid w:val="1CA064D4"/>
    <w:rsid w:val="1CB60B01"/>
    <w:rsid w:val="1D0F0676"/>
    <w:rsid w:val="1D68505D"/>
    <w:rsid w:val="1DDF7107"/>
    <w:rsid w:val="1DF613D9"/>
    <w:rsid w:val="1E0D352E"/>
    <w:rsid w:val="1E1835F3"/>
    <w:rsid w:val="1E8E66B7"/>
    <w:rsid w:val="1EB5526B"/>
    <w:rsid w:val="1EF354FD"/>
    <w:rsid w:val="1F2703FC"/>
    <w:rsid w:val="1FB902AF"/>
    <w:rsid w:val="1FDB18A8"/>
    <w:rsid w:val="1FDF7FCD"/>
    <w:rsid w:val="1FF35677"/>
    <w:rsid w:val="207A470F"/>
    <w:rsid w:val="210B463E"/>
    <w:rsid w:val="21104AD5"/>
    <w:rsid w:val="212E710B"/>
    <w:rsid w:val="217106AC"/>
    <w:rsid w:val="21943D46"/>
    <w:rsid w:val="21D043CE"/>
    <w:rsid w:val="21F5556B"/>
    <w:rsid w:val="2288155B"/>
    <w:rsid w:val="22F94293"/>
    <w:rsid w:val="246B6A3F"/>
    <w:rsid w:val="255B6AC9"/>
    <w:rsid w:val="25DC07E7"/>
    <w:rsid w:val="267D6303"/>
    <w:rsid w:val="267E36E0"/>
    <w:rsid w:val="277D4073"/>
    <w:rsid w:val="27824BF7"/>
    <w:rsid w:val="278D7DFF"/>
    <w:rsid w:val="27A75FE0"/>
    <w:rsid w:val="27F7B3D6"/>
    <w:rsid w:val="28685886"/>
    <w:rsid w:val="289C1037"/>
    <w:rsid w:val="28B05A59"/>
    <w:rsid w:val="28B97D6A"/>
    <w:rsid w:val="28F10DEC"/>
    <w:rsid w:val="29572F1C"/>
    <w:rsid w:val="29D12225"/>
    <w:rsid w:val="2A3D0E7D"/>
    <w:rsid w:val="2A675B61"/>
    <w:rsid w:val="2A9F4381"/>
    <w:rsid w:val="2AD35F6A"/>
    <w:rsid w:val="2B337D29"/>
    <w:rsid w:val="2B746879"/>
    <w:rsid w:val="2BC4E4FA"/>
    <w:rsid w:val="2BDFA08F"/>
    <w:rsid w:val="2BE17618"/>
    <w:rsid w:val="2C7C3FCF"/>
    <w:rsid w:val="2C8972E8"/>
    <w:rsid w:val="2D126703"/>
    <w:rsid w:val="2D653220"/>
    <w:rsid w:val="2D7E4089"/>
    <w:rsid w:val="2D7F3696"/>
    <w:rsid w:val="2D9178FC"/>
    <w:rsid w:val="2E0C4867"/>
    <w:rsid w:val="2E460B24"/>
    <w:rsid w:val="2EAEC9F1"/>
    <w:rsid w:val="2F1321AD"/>
    <w:rsid w:val="2F257996"/>
    <w:rsid w:val="2F5F1AD0"/>
    <w:rsid w:val="2F79B7FF"/>
    <w:rsid w:val="2F8A7425"/>
    <w:rsid w:val="2FB11BF0"/>
    <w:rsid w:val="30C85830"/>
    <w:rsid w:val="30F50996"/>
    <w:rsid w:val="30FC548F"/>
    <w:rsid w:val="31286E31"/>
    <w:rsid w:val="32C21E80"/>
    <w:rsid w:val="32CC4585"/>
    <w:rsid w:val="32D833CC"/>
    <w:rsid w:val="32FF0045"/>
    <w:rsid w:val="33222F79"/>
    <w:rsid w:val="33446C47"/>
    <w:rsid w:val="337D6FDA"/>
    <w:rsid w:val="337E48D0"/>
    <w:rsid w:val="338D7B37"/>
    <w:rsid w:val="33D632D4"/>
    <w:rsid w:val="33ED121E"/>
    <w:rsid w:val="341337CB"/>
    <w:rsid w:val="347E7F55"/>
    <w:rsid w:val="34983880"/>
    <w:rsid w:val="34D33B5B"/>
    <w:rsid w:val="35DEB453"/>
    <w:rsid w:val="35F452AD"/>
    <w:rsid w:val="35FA18FA"/>
    <w:rsid w:val="35FDA9A0"/>
    <w:rsid w:val="36057C4F"/>
    <w:rsid w:val="369D7621"/>
    <w:rsid w:val="36D13079"/>
    <w:rsid w:val="36EFD636"/>
    <w:rsid w:val="36F42249"/>
    <w:rsid w:val="370B5D0C"/>
    <w:rsid w:val="372DF4E4"/>
    <w:rsid w:val="373B347C"/>
    <w:rsid w:val="37540AA2"/>
    <w:rsid w:val="37CEC8E3"/>
    <w:rsid w:val="37EFC505"/>
    <w:rsid w:val="38073074"/>
    <w:rsid w:val="383A64FE"/>
    <w:rsid w:val="38E87BC9"/>
    <w:rsid w:val="392320EF"/>
    <w:rsid w:val="392F64B6"/>
    <w:rsid w:val="3953468E"/>
    <w:rsid w:val="3997BC09"/>
    <w:rsid w:val="39FBDF40"/>
    <w:rsid w:val="3A296FBE"/>
    <w:rsid w:val="3A49346A"/>
    <w:rsid w:val="3AB63421"/>
    <w:rsid w:val="3AF7C7FE"/>
    <w:rsid w:val="3B3C48E8"/>
    <w:rsid w:val="3B6F22B3"/>
    <w:rsid w:val="3B7C21DC"/>
    <w:rsid w:val="3B9E1077"/>
    <w:rsid w:val="3BAF13BF"/>
    <w:rsid w:val="3BB64A76"/>
    <w:rsid w:val="3BE65550"/>
    <w:rsid w:val="3BF533B1"/>
    <w:rsid w:val="3BF64AAD"/>
    <w:rsid w:val="3BFF7820"/>
    <w:rsid w:val="3BFF8763"/>
    <w:rsid w:val="3BFFEA80"/>
    <w:rsid w:val="3C02752B"/>
    <w:rsid w:val="3C271159"/>
    <w:rsid w:val="3C9D1F87"/>
    <w:rsid w:val="3CEA23BD"/>
    <w:rsid w:val="3D366A4A"/>
    <w:rsid w:val="3D4476E5"/>
    <w:rsid w:val="3D49013B"/>
    <w:rsid w:val="3D6E79D2"/>
    <w:rsid w:val="3D7D2179"/>
    <w:rsid w:val="3DB70AD3"/>
    <w:rsid w:val="3DDD6D33"/>
    <w:rsid w:val="3DFD8960"/>
    <w:rsid w:val="3DFF6A48"/>
    <w:rsid w:val="3E0D90E0"/>
    <w:rsid w:val="3E4FDD81"/>
    <w:rsid w:val="3F2FF45A"/>
    <w:rsid w:val="3F4B2142"/>
    <w:rsid w:val="3F4EFA06"/>
    <w:rsid w:val="3F67181A"/>
    <w:rsid w:val="3F6FB961"/>
    <w:rsid w:val="3F7AE3C0"/>
    <w:rsid w:val="3F841762"/>
    <w:rsid w:val="3FAE82D2"/>
    <w:rsid w:val="3FB9CFD9"/>
    <w:rsid w:val="3FC43BC9"/>
    <w:rsid w:val="3FDD800F"/>
    <w:rsid w:val="3FDF0E39"/>
    <w:rsid w:val="3FDFD8B7"/>
    <w:rsid w:val="3FE0CCD5"/>
    <w:rsid w:val="3FE2218B"/>
    <w:rsid w:val="3FF74EEE"/>
    <w:rsid w:val="3FFA062E"/>
    <w:rsid w:val="3FFDF18F"/>
    <w:rsid w:val="3FFF356A"/>
    <w:rsid w:val="3FFF4E45"/>
    <w:rsid w:val="3FFF89BB"/>
    <w:rsid w:val="40360E64"/>
    <w:rsid w:val="408C4C8F"/>
    <w:rsid w:val="413B40E9"/>
    <w:rsid w:val="414E51F3"/>
    <w:rsid w:val="41B10AC2"/>
    <w:rsid w:val="41D95413"/>
    <w:rsid w:val="4259386D"/>
    <w:rsid w:val="431866C6"/>
    <w:rsid w:val="434D3B25"/>
    <w:rsid w:val="438F73C5"/>
    <w:rsid w:val="43C5EFCC"/>
    <w:rsid w:val="43D44955"/>
    <w:rsid w:val="44585D35"/>
    <w:rsid w:val="445B21D4"/>
    <w:rsid w:val="44FA1861"/>
    <w:rsid w:val="45453B9B"/>
    <w:rsid w:val="466E52B3"/>
    <w:rsid w:val="46CA7E9E"/>
    <w:rsid w:val="46F65E21"/>
    <w:rsid w:val="4744128D"/>
    <w:rsid w:val="47504770"/>
    <w:rsid w:val="47921C09"/>
    <w:rsid w:val="47D479C8"/>
    <w:rsid w:val="47EE1D62"/>
    <w:rsid w:val="47F1197B"/>
    <w:rsid w:val="48E56A2C"/>
    <w:rsid w:val="495E4CB3"/>
    <w:rsid w:val="497B4A43"/>
    <w:rsid w:val="498E1E37"/>
    <w:rsid w:val="49EFCEA3"/>
    <w:rsid w:val="4A064368"/>
    <w:rsid w:val="4A2F5D4E"/>
    <w:rsid w:val="4AA05FC0"/>
    <w:rsid w:val="4AA20354"/>
    <w:rsid w:val="4ADB22A1"/>
    <w:rsid w:val="4AEC34B5"/>
    <w:rsid w:val="4B5005B9"/>
    <w:rsid w:val="4BFFDA48"/>
    <w:rsid w:val="4C1414C8"/>
    <w:rsid w:val="4C2067BE"/>
    <w:rsid w:val="4CB5461B"/>
    <w:rsid w:val="4CBC5762"/>
    <w:rsid w:val="4D100E7F"/>
    <w:rsid w:val="4D1F38CE"/>
    <w:rsid w:val="4DB766CD"/>
    <w:rsid w:val="4DB8CA2B"/>
    <w:rsid w:val="4E4D5452"/>
    <w:rsid w:val="4E8778D4"/>
    <w:rsid w:val="4EAF389A"/>
    <w:rsid w:val="4F5812B6"/>
    <w:rsid w:val="4F5A5B74"/>
    <w:rsid w:val="4F671238"/>
    <w:rsid w:val="4FB31116"/>
    <w:rsid w:val="4FBD4F30"/>
    <w:rsid w:val="4FE53972"/>
    <w:rsid w:val="503C68AA"/>
    <w:rsid w:val="50CE02B2"/>
    <w:rsid w:val="50E04BBA"/>
    <w:rsid w:val="50F95C4E"/>
    <w:rsid w:val="51086BB6"/>
    <w:rsid w:val="51326EB6"/>
    <w:rsid w:val="514D6B2E"/>
    <w:rsid w:val="516E5206"/>
    <w:rsid w:val="51EB103B"/>
    <w:rsid w:val="527926DA"/>
    <w:rsid w:val="52FB52AE"/>
    <w:rsid w:val="5358751C"/>
    <w:rsid w:val="53740B45"/>
    <w:rsid w:val="53C83586"/>
    <w:rsid w:val="548E6E95"/>
    <w:rsid w:val="54915733"/>
    <w:rsid w:val="54DE1417"/>
    <w:rsid w:val="5549276B"/>
    <w:rsid w:val="554F368F"/>
    <w:rsid w:val="556B45C1"/>
    <w:rsid w:val="55FF452A"/>
    <w:rsid w:val="56104FC2"/>
    <w:rsid w:val="56262319"/>
    <w:rsid w:val="56513061"/>
    <w:rsid w:val="569B2BBD"/>
    <w:rsid w:val="569C760E"/>
    <w:rsid w:val="569F7CC5"/>
    <w:rsid w:val="56FB12FA"/>
    <w:rsid w:val="57250B4B"/>
    <w:rsid w:val="57571CC6"/>
    <w:rsid w:val="576E2CC0"/>
    <w:rsid w:val="578A4B45"/>
    <w:rsid w:val="57FE5A6A"/>
    <w:rsid w:val="57FFABDC"/>
    <w:rsid w:val="58234BB9"/>
    <w:rsid w:val="584B08BD"/>
    <w:rsid w:val="58A67FE8"/>
    <w:rsid w:val="591FD123"/>
    <w:rsid w:val="596C0CB3"/>
    <w:rsid w:val="5A222771"/>
    <w:rsid w:val="5AD46575"/>
    <w:rsid w:val="5B146098"/>
    <w:rsid w:val="5B4A0DDA"/>
    <w:rsid w:val="5BC3325E"/>
    <w:rsid w:val="5BF1578E"/>
    <w:rsid w:val="5C193A65"/>
    <w:rsid w:val="5CF2576A"/>
    <w:rsid w:val="5CFFBE88"/>
    <w:rsid w:val="5DB911BC"/>
    <w:rsid w:val="5DE6657A"/>
    <w:rsid w:val="5DF5819D"/>
    <w:rsid w:val="5E7C376C"/>
    <w:rsid w:val="5E8D6361"/>
    <w:rsid w:val="5EA837C9"/>
    <w:rsid w:val="5EC02968"/>
    <w:rsid w:val="5EF71B2E"/>
    <w:rsid w:val="5F0E45BB"/>
    <w:rsid w:val="5F3DC737"/>
    <w:rsid w:val="5F5F5F0E"/>
    <w:rsid w:val="5F606F7D"/>
    <w:rsid w:val="5F6F27E6"/>
    <w:rsid w:val="5F7A91EA"/>
    <w:rsid w:val="5F8624F1"/>
    <w:rsid w:val="5F8D37B7"/>
    <w:rsid w:val="5F9B53A1"/>
    <w:rsid w:val="5FC50B3D"/>
    <w:rsid w:val="5FDB1D92"/>
    <w:rsid w:val="5FEA2932"/>
    <w:rsid w:val="5FEDC342"/>
    <w:rsid w:val="5FF23595"/>
    <w:rsid w:val="5FF35171"/>
    <w:rsid w:val="5FF60412"/>
    <w:rsid w:val="5FF65026"/>
    <w:rsid w:val="5FFFAC80"/>
    <w:rsid w:val="60124C12"/>
    <w:rsid w:val="60393A72"/>
    <w:rsid w:val="603A516E"/>
    <w:rsid w:val="60754B42"/>
    <w:rsid w:val="60B30F76"/>
    <w:rsid w:val="60C237D0"/>
    <w:rsid w:val="60C931D4"/>
    <w:rsid w:val="61572DAE"/>
    <w:rsid w:val="61AC78CC"/>
    <w:rsid w:val="620307DD"/>
    <w:rsid w:val="62176D39"/>
    <w:rsid w:val="62343ED9"/>
    <w:rsid w:val="62467BC8"/>
    <w:rsid w:val="63311331"/>
    <w:rsid w:val="63532FF1"/>
    <w:rsid w:val="63903516"/>
    <w:rsid w:val="63EC7FE2"/>
    <w:rsid w:val="63FC06B4"/>
    <w:rsid w:val="6444055B"/>
    <w:rsid w:val="644E7E74"/>
    <w:rsid w:val="647057FB"/>
    <w:rsid w:val="6478757A"/>
    <w:rsid w:val="647975EC"/>
    <w:rsid w:val="64A954DC"/>
    <w:rsid w:val="6502744D"/>
    <w:rsid w:val="65064292"/>
    <w:rsid w:val="650937C9"/>
    <w:rsid w:val="653E7284"/>
    <w:rsid w:val="65464BB6"/>
    <w:rsid w:val="65D97BA7"/>
    <w:rsid w:val="65DFA4BB"/>
    <w:rsid w:val="66010196"/>
    <w:rsid w:val="663A1AF8"/>
    <w:rsid w:val="66D03EF3"/>
    <w:rsid w:val="66FFC039"/>
    <w:rsid w:val="67480B1F"/>
    <w:rsid w:val="67596562"/>
    <w:rsid w:val="67AA3B19"/>
    <w:rsid w:val="67AB656F"/>
    <w:rsid w:val="67C15479"/>
    <w:rsid w:val="67CE48E7"/>
    <w:rsid w:val="67DA7FEE"/>
    <w:rsid w:val="67F32B26"/>
    <w:rsid w:val="69165C6D"/>
    <w:rsid w:val="693B6DFD"/>
    <w:rsid w:val="69551473"/>
    <w:rsid w:val="69627389"/>
    <w:rsid w:val="696D0284"/>
    <w:rsid w:val="6978C146"/>
    <w:rsid w:val="6AFFD4D3"/>
    <w:rsid w:val="6B0A723D"/>
    <w:rsid w:val="6B6E2CBD"/>
    <w:rsid w:val="6B777F18"/>
    <w:rsid w:val="6B79A76F"/>
    <w:rsid w:val="6BBE0DBA"/>
    <w:rsid w:val="6BBF2186"/>
    <w:rsid w:val="6BD12F95"/>
    <w:rsid w:val="6BDD5CD8"/>
    <w:rsid w:val="6BF1475D"/>
    <w:rsid w:val="6C075DAC"/>
    <w:rsid w:val="6C325657"/>
    <w:rsid w:val="6C6B2312"/>
    <w:rsid w:val="6CB46AE8"/>
    <w:rsid w:val="6CB60ACE"/>
    <w:rsid w:val="6CF94851"/>
    <w:rsid w:val="6D3C221B"/>
    <w:rsid w:val="6D7ECAAD"/>
    <w:rsid w:val="6DE7CE4B"/>
    <w:rsid w:val="6DF565CB"/>
    <w:rsid w:val="6DFED50D"/>
    <w:rsid w:val="6E453429"/>
    <w:rsid w:val="6E5A7A01"/>
    <w:rsid w:val="6EFFB660"/>
    <w:rsid w:val="6F294684"/>
    <w:rsid w:val="6F6F8BEC"/>
    <w:rsid w:val="6FA71920"/>
    <w:rsid w:val="6FA9BF99"/>
    <w:rsid w:val="6FF7860B"/>
    <w:rsid w:val="6FF7992D"/>
    <w:rsid w:val="6FFF247A"/>
    <w:rsid w:val="70611F6D"/>
    <w:rsid w:val="714675D6"/>
    <w:rsid w:val="715F666C"/>
    <w:rsid w:val="7167914E"/>
    <w:rsid w:val="7177133C"/>
    <w:rsid w:val="71CB4D56"/>
    <w:rsid w:val="71CD44E8"/>
    <w:rsid w:val="71EA0DE7"/>
    <w:rsid w:val="72166513"/>
    <w:rsid w:val="72606A84"/>
    <w:rsid w:val="72BB6DAD"/>
    <w:rsid w:val="72C305F0"/>
    <w:rsid w:val="7314021C"/>
    <w:rsid w:val="73221EA9"/>
    <w:rsid w:val="733A4EA6"/>
    <w:rsid w:val="737C9016"/>
    <w:rsid w:val="73A579AE"/>
    <w:rsid w:val="73B42CFD"/>
    <w:rsid w:val="73BDD73B"/>
    <w:rsid w:val="73C34AAB"/>
    <w:rsid w:val="73CFFE02"/>
    <w:rsid w:val="73FF6DDB"/>
    <w:rsid w:val="740B41CC"/>
    <w:rsid w:val="74B310ED"/>
    <w:rsid w:val="74C86784"/>
    <w:rsid w:val="74C96B93"/>
    <w:rsid w:val="74D1261A"/>
    <w:rsid w:val="754C32EF"/>
    <w:rsid w:val="75616B80"/>
    <w:rsid w:val="758B6266"/>
    <w:rsid w:val="75BF1117"/>
    <w:rsid w:val="75BFF44D"/>
    <w:rsid w:val="75F93477"/>
    <w:rsid w:val="761A6DB5"/>
    <w:rsid w:val="7670288E"/>
    <w:rsid w:val="767F5CD0"/>
    <w:rsid w:val="76DA085C"/>
    <w:rsid w:val="76FC257D"/>
    <w:rsid w:val="770C1377"/>
    <w:rsid w:val="775EF835"/>
    <w:rsid w:val="776F4ECF"/>
    <w:rsid w:val="7779BE38"/>
    <w:rsid w:val="777F12DD"/>
    <w:rsid w:val="77D38755"/>
    <w:rsid w:val="77DC18A8"/>
    <w:rsid w:val="77EB6883"/>
    <w:rsid w:val="77F75118"/>
    <w:rsid w:val="77FA470C"/>
    <w:rsid w:val="77FEC560"/>
    <w:rsid w:val="781F6771"/>
    <w:rsid w:val="78255199"/>
    <w:rsid w:val="786700B7"/>
    <w:rsid w:val="786B0AB7"/>
    <w:rsid w:val="78733EB0"/>
    <w:rsid w:val="788C3F57"/>
    <w:rsid w:val="78921B99"/>
    <w:rsid w:val="78BFEC86"/>
    <w:rsid w:val="791B3704"/>
    <w:rsid w:val="791E388B"/>
    <w:rsid w:val="79594C61"/>
    <w:rsid w:val="795D00B8"/>
    <w:rsid w:val="796B643A"/>
    <w:rsid w:val="797F92FA"/>
    <w:rsid w:val="798D76BC"/>
    <w:rsid w:val="79E00940"/>
    <w:rsid w:val="79E87DBE"/>
    <w:rsid w:val="79F9DA57"/>
    <w:rsid w:val="7A1C6403"/>
    <w:rsid w:val="7A7988CF"/>
    <w:rsid w:val="7A8A2F5E"/>
    <w:rsid w:val="7AAE7A61"/>
    <w:rsid w:val="7AB811A1"/>
    <w:rsid w:val="7AC95D67"/>
    <w:rsid w:val="7AE72BEC"/>
    <w:rsid w:val="7AF34313"/>
    <w:rsid w:val="7AF5498E"/>
    <w:rsid w:val="7AF76CC1"/>
    <w:rsid w:val="7B424F78"/>
    <w:rsid w:val="7B5BAF94"/>
    <w:rsid w:val="7B762783"/>
    <w:rsid w:val="7BCE2005"/>
    <w:rsid w:val="7BD587CA"/>
    <w:rsid w:val="7BDF6CE4"/>
    <w:rsid w:val="7BEA2C24"/>
    <w:rsid w:val="7BF5B145"/>
    <w:rsid w:val="7BF97A4A"/>
    <w:rsid w:val="7BFB630F"/>
    <w:rsid w:val="7BFF0BDB"/>
    <w:rsid w:val="7BFF47BD"/>
    <w:rsid w:val="7C1E72C4"/>
    <w:rsid w:val="7C5B42CF"/>
    <w:rsid w:val="7C5C2F75"/>
    <w:rsid w:val="7CF4E9C8"/>
    <w:rsid w:val="7D5176F5"/>
    <w:rsid w:val="7D824051"/>
    <w:rsid w:val="7D9667B8"/>
    <w:rsid w:val="7D9D3854"/>
    <w:rsid w:val="7DB3162D"/>
    <w:rsid w:val="7DBE7D6B"/>
    <w:rsid w:val="7DBF71B5"/>
    <w:rsid w:val="7DBF7645"/>
    <w:rsid w:val="7DE46888"/>
    <w:rsid w:val="7DFA1D19"/>
    <w:rsid w:val="7DFB2714"/>
    <w:rsid w:val="7E2B5206"/>
    <w:rsid w:val="7E341237"/>
    <w:rsid w:val="7E9B601A"/>
    <w:rsid w:val="7E9E710D"/>
    <w:rsid w:val="7EB5E7B0"/>
    <w:rsid w:val="7EBFF3D7"/>
    <w:rsid w:val="7EE24A62"/>
    <w:rsid w:val="7EED353C"/>
    <w:rsid w:val="7EFF31A0"/>
    <w:rsid w:val="7F3BA972"/>
    <w:rsid w:val="7F4DD6AD"/>
    <w:rsid w:val="7F565496"/>
    <w:rsid w:val="7F6D63DB"/>
    <w:rsid w:val="7F71A189"/>
    <w:rsid w:val="7F759C5B"/>
    <w:rsid w:val="7F7B572D"/>
    <w:rsid w:val="7F7BDD0F"/>
    <w:rsid w:val="7F7E0EE6"/>
    <w:rsid w:val="7F9D4FA1"/>
    <w:rsid w:val="7FAB3839"/>
    <w:rsid w:val="7FAB3D96"/>
    <w:rsid w:val="7FAFFCE2"/>
    <w:rsid w:val="7FB64187"/>
    <w:rsid w:val="7FBA455F"/>
    <w:rsid w:val="7FBEBD3B"/>
    <w:rsid w:val="7FBF1EB0"/>
    <w:rsid w:val="7FCF42A1"/>
    <w:rsid w:val="7FCF5FC9"/>
    <w:rsid w:val="7FD58920"/>
    <w:rsid w:val="7FDF3874"/>
    <w:rsid w:val="7FE7E89E"/>
    <w:rsid w:val="7FEEB066"/>
    <w:rsid w:val="7FEF5B90"/>
    <w:rsid w:val="7FF7EBBA"/>
    <w:rsid w:val="7FF9BFD1"/>
    <w:rsid w:val="7FFA3120"/>
    <w:rsid w:val="7FFB1E89"/>
    <w:rsid w:val="7FFDD19D"/>
    <w:rsid w:val="7FFF6D36"/>
    <w:rsid w:val="7FFF9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750D"/>
  <w15:docId w15:val="{8E66A310-F374-444C-A3E1-089FD31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qFormat="1"/>
    <w:lsdException w:name="footnote text" w:uiPriority="99" w:qFormat="1"/>
    <w:lsdException w:name="annotation text" w:qFormat="1"/>
    <w:lsdException w:name="header" w:qFormat="1"/>
    <w:lsdException w:name="footer" w:qFormat="1"/>
    <w:lsdException w:name="caption" w:uiPriority="35" w:unhideWhenUsed="1" w:qFormat="1"/>
    <w:lsdException w:name="envelope return" w:qFormat="1"/>
    <w:lsdException w:name="footnote reference" w:uiPriority="99" w:qFormat="1"/>
    <w:lsdException w:name="annotation reference" w:qFormat="1"/>
    <w:lsdException w:name="page number"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仿宋_GB2312" w:hAnsi="宋体"/>
      <w:snapToGrid w:val="0"/>
      <w:kern w:val="32"/>
      <w:sz w:val="32"/>
      <w:szCs w:val="32"/>
    </w:rPr>
  </w:style>
  <w:style w:type="paragraph" w:styleId="1">
    <w:name w:val="heading 1"/>
    <w:basedOn w:val="a"/>
    <w:next w:val="a"/>
    <w:qFormat/>
    <w:pPr>
      <w:jc w:val="left"/>
      <w:outlineLvl w:val="0"/>
    </w:pPr>
    <w:rPr>
      <w:rFonts w:ascii="黑体" w:eastAsia="黑体"/>
      <w:bCs/>
    </w:rPr>
  </w:style>
  <w:style w:type="paragraph" w:styleId="2">
    <w:name w:val="heading 2"/>
    <w:basedOn w:val="a"/>
    <w:next w:val="a"/>
    <w:qFormat/>
    <w:pPr>
      <w:outlineLvl w:val="1"/>
    </w:pPr>
    <w:rPr>
      <w:b/>
      <w:bCs/>
    </w:rPr>
  </w:style>
  <w:style w:type="paragraph" w:styleId="3">
    <w:name w:val="heading 3"/>
    <w:basedOn w:val="a"/>
    <w:next w:val="a"/>
    <w:qFormat/>
    <w:pPr>
      <w:adjustRightInd w:val="0"/>
      <w:snapToGrid w:val="0"/>
      <w:spacing w:line="336" w:lineRule="auto"/>
      <w:ind w:firstLineChars="200" w:firstLine="200"/>
      <w:outlineLvl w:val="2"/>
    </w:pPr>
    <w:rPr>
      <w:rFonts w:eastAsia="楷体_GB2312"/>
      <w:bCs/>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caption"/>
    <w:basedOn w:val="a"/>
    <w:next w:val="a"/>
    <w:uiPriority w:val="35"/>
    <w:unhideWhenUsed/>
    <w:qFormat/>
    <w:rPr>
      <w:rFonts w:ascii="Cambria" w:eastAsia="黑体" w:hAnsi="Cambria"/>
      <w:snapToGrid/>
      <w:kern w:val="2"/>
      <w:sz w:val="20"/>
      <w:szCs w:val="20"/>
    </w:rPr>
  </w:style>
  <w:style w:type="paragraph" w:styleId="a5">
    <w:name w:val="Document Map"/>
    <w:basedOn w:val="a"/>
    <w:qFormat/>
    <w:pPr>
      <w:shd w:val="clear" w:color="auto" w:fill="000080"/>
    </w:pPr>
  </w:style>
  <w:style w:type="paragraph" w:styleId="a6">
    <w:name w:val="annotation text"/>
    <w:basedOn w:val="a"/>
    <w:link w:val="a7"/>
    <w:qFormat/>
    <w:pPr>
      <w:jc w:val="left"/>
    </w:pPr>
    <w:rPr>
      <w:rFonts w:ascii="Times New Roman" w:eastAsia="宋体" w:hAnsi="Times New Roman"/>
      <w:snapToGrid/>
      <w:kern w:val="2"/>
      <w:sz w:val="21"/>
      <w:szCs w:val="20"/>
    </w:rPr>
  </w:style>
  <w:style w:type="paragraph" w:styleId="a8">
    <w:name w:val="Body Text"/>
    <w:basedOn w:val="a"/>
    <w:next w:val="a"/>
    <w:link w:val="a9"/>
    <w:qFormat/>
    <w:pPr>
      <w:spacing w:after="120"/>
    </w:pPr>
  </w:style>
  <w:style w:type="paragraph" w:styleId="aa">
    <w:name w:val="Body Text Indent"/>
    <w:basedOn w:val="a"/>
    <w:link w:val="ab"/>
    <w:qFormat/>
    <w:pPr>
      <w:ind w:left="570" w:hanging="30"/>
    </w:pPr>
    <w:rPr>
      <w:rFonts w:ascii="Times New Roman" w:eastAsia="宋体" w:hAnsi="Times New Roman"/>
      <w:snapToGrid/>
      <w:kern w:val="2"/>
      <w:sz w:val="28"/>
      <w:szCs w:val="20"/>
    </w:rPr>
  </w:style>
  <w:style w:type="paragraph" w:styleId="ac">
    <w:name w:val="Block Text"/>
    <w:basedOn w:val="a"/>
    <w:qFormat/>
    <w:pPr>
      <w:ind w:leftChars="-342" w:left="-718" w:rightChars="-244" w:right="-512"/>
      <w:jc w:val="center"/>
    </w:pPr>
    <w:rPr>
      <w:rFonts w:ascii="仿宋_GB2312"/>
      <w:snapToGrid/>
      <w:kern w:val="2"/>
      <w:sz w:val="44"/>
    </w:r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snapToGrid/>
      <w:kern w:val="0"/>
      <w:sz w:val="22"/>
      <w:szCs w:val="22"/>
    </w:rPr>
  </w:style>
  <w:style w:type="paragraph" w:styleId="ad">
    <w:name w:val="Plain Text"/>
    <w:basedOn w:val="a"/>
    <w:link w:val="ae"/>
    <w:qFormat/>
    <w:rPr>
      <w:rFonts w:eastAsia="宋体" w:hAnsi="Courier New" w:cs="Courier New"/>
      <w:kern w:val="2"/>
      <w:sz w:val="21"/>
      <w:szCs w:val="21"/>
    </w:rPr>
  </w:style>
  <w:style w:type="paragraph" w:styleId="af">
    <w:name w:val="Date"/>
    <w:basedOn w:val="a"/>
    <w:next w:val="a"/>
    <w:link w:val="af0"/>
    <w:qFormat/>
    <w:pPr>
      <w:ind w:leftChars="2500" w:left="100"/>
    </w:pPr>
  </w:style>
  <w:style w:type="paragraph" w:styleId="20">
    <w:name w:val="Body Text Indent 2"/>
    <w:basedOn w:val="a"/>
    <w:qFormat/>
    <w:pPr>
      <w:spacing w:after="120" w:line="480" w:lineRule="auto"/>
      <w:ind w:leftChars="200" w:left="420"/>
    </w:pPr>
    <w:rPr>
      <w:rFonts w:ascii="Times New Roman" w:hAnsi="Times New Roman"/>
      <w:snapToGrid/>
      <w:kern w:val="2"/>
      <w:szCs w:val="24"/>
    </w:rPr>
  </w:style>
  <w:style w:type="paragraph" w:styleId="af1">
    <w:name w:val="Balloon Text"/>
    <w:basedOn w:val="a"/>
    <w:qFormat/>
    <w:rPr>
      <w:sz w:val="18"/>
      <w:szCs w:val="18"/>
    </w:rPr>
  </w:style>
  <w:style w:type="paragraph" w:styleId="af2">
    <w:name w:val="footer"/>
    <w:basedOn w:val="a"/>
    <w:next w:val="a"/>
    <w:link w:val="af3"/>
    <w:qFormat/>
    <w:pPr>
      <w:tabs>
        <w:tab w:val="center" w:pos="4153"/>
        <w:tab w:val="right" w:pos="8306"/>
      </w:tabs>
      <w:snapToGrid w:val="0"/>
      <w:jc w:val="left"/>
    </w:pPr>
    <w:rPr>
      <w:sz w:val="18"/>
      <w:szCs w:val="18"/>
    </w:rPr>
  </w:style>
  <w:style w:type="paragraph" w:styleId="af4">
    <w:name w:val="envelope return"/>
    <w:basedOn w:val="a"/>
    <w:qFormat/>
    <w:pPr>
      <w:widowControl/>
      <w:jc w:val="left"/>
    </w:pPr>
    <w:rPr>
      <w:rFonts w:ascii="Garamond" w:eastAsia="宋体" w:hAnsi="Garamond"/>
      <w:snapToGrid/>
      <w:kern w:val="0"/>
      <w:sz w:val="24"/>
      <w:szCs w:val="20"/>
      <w:lang w:val="fr-CH" w:eastAsia="en-US"/>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630"/>
      </w:tabs>
      <w:jc w:val="center"/>
    </w:pPr>
    <w:rPr>
      <w:rFonts w:ascii="华文楷体" w:eastAsia="华文楷体" w:hAnsi="华文楷体"/>
      <w:b/>
      <w:snapToGrid/>
      <w:kern w:val="2"/>
      <w:sz w:val="36"/>
    </w:rPr>
  </w:style>
  <w:style w:type="paragraph" w:styleId="af7">
    <w:name w:val="List"/>
    <w:basedOn w:val="a8"/>
    <w:qFormat/>
    <w:pPr>
      <w:suppressAutoHyphens/>
      <w:spacing w:after="0" w:line="0" w:lineRule="atLeast"/>
      <w:jc w:val="center"/>
    </w:pPr>
    <w:rPr>
      <w:rFonts w:ascii="方正小标宋简体" w:eastAsia="方正小标宋简体" w:hAnsi="方正小标宋简体"/>
      <w:snapToGrid/>
      <w:kern w:val="1"/>
      <w:sz w:val="44"/>
      <w:szCs w:val="24"/>
    </w:rPr>
  </w:style>
  <w:style w:type="paragraph" w:styleId="af8">
    <w:name w:val="footnote text"/>
    <w:basedOn w:val="a"/>
    <w:uiPriority w:val="99"/>
    <w:qFormat/>
    <w:pPr>
      <w:snapToGrid w:val="0"/>
      <w:jc w:val="left"/>
    </w:pPr>
    <w:rPr>
      <w:sz w:val="18"/>
    </w:rPr>
  </w:style>
  <w:style w:type="paragraph" w:styleId="30">
    <w:name w:val="Body Text Indent 3"/>
    <w:basedOn w:val="a"/>
    <w:qFormat/>
    <w:pPr>
      <w:spacing w:after="120"/>
      <w:ind w:leftChars="200" w:left="420"/>
    </w:pPr>
    <w:rPr>
      <w:sz w:val="16"/>
      <w:szCs w:val="16"/>
    </w:rPr>
  </w:style>
  <w:style w:type="paragraph" w:styleId="TOC2">
    <w:name w:val="toc 2"/>
    <w:basedOn w:val="a"/>
    <w:next w:val="a"/>
    <w:uiPriority w:val="39"/>
    <w:unhideWhenUsed/>
    <w:qFormat/>
    <w:pPr>
      <w:ind w:leftChars="200" w:left="420"/>
    </w:pPr>
    <w:rPr>
      <w:rFonts w:ascii="Calibri" w:eastAsia="宋体" w:hAnsi="Calibri"/>
      <w:snapToGrid/>
      <w:kern w:val="2"/>
      <w:sz w:val="21"/>
      <w:szCs w:val="22"/>
    </w:rPr>
  </w:style>
  <w:style w:type="paragraph" w:styleId="21">
    <w:name w:val="Body Text 2"/>
    <w:basedOn w:val="a"/>
    <w:qFormat/>
    <w:pPr>
      <w:spacing w:after="120" w:line="480" w:lineRule="auto"/>
    </w:pPr>
    <w:rPr>
      <w:rFonts w:ascii="Times New Roman" w:eastAsia="宋体" w:hAnsi="Times New Roman"/>
      <w:snapToGrid/>
      <w:kern w:val="2"/>
      <w:sz w:val="21"/>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af9">
    <w:name w:val="Normal (Web)"/>
    <w:basedOn w:val="a"/>
    <w:qFormat/>
    <w:pPr>
      <w:widowControl/>
      <w:spacing w:before="100" w:beforeAutospacing="1"/>
      <w:jc w:val="center"/>
    </w:pPr>
    <w:rPr>
      <w:rFonts w:eastAsia="宋体"/>
      <w:snapToGrid/>
      <w:kern w:val="0"/>
      <w:sz w:val="24"/>
      <w:szCs w:val="24"/>
    </w:rPr>
  </w:style>
  <w:style w:type="paragraph" w:styleId="afa">
    <w:name w:val="Title"/>
    <w:basedOn w:val="a"/>
    <w:link w:val="afb"/>
    <w:qFormat/>
    <w:pPr>
      <w:spacing w:line="216" w:lineRule="auto"/>
      <w:jc w:val="center"/>
      <w:outlineLvl w:val="0"/>
    </w:pPr>
    <w:rPr>
      <w:rFonts w:ascii="方正小标宋简体" w:eastAsia="方正小标宋简体" w:hAnsi="Arial" w:cs="Arial"/>
      <w:bCs/>
      <w:kern w:val="44"/>
      <w:sz w:val="44"/>
      <w:szCs w:val="44"/>
    </w:rPr>
  </w:style>
  <w:style w:type="paragraph" w:styleId="afc">
    <w:name w:val="annotation subject"/>
    <w:basedOn w:val="a6"/>
    <w:next w:val="a6"/>
    <w:link w:val="afd"/>
    <w:qFormat/>
    <w:rPr>
      <w:rFonts w:ascii="宋体" w:eastAsia="仿宋_GB2312" w:hAnsi="宋体"/>
      <w:b/>
      <w:bCs/>
      <w:snapToGrid w:val="0"/>
      <w:kern w:val="32"/>
      <w:sz w:val="32"/>
      <w:szCs w:val="32"/>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qFormat/>
    <w:rPr>
      <w:color w:val="800080"/>
      <w:u w:val="single"/>
    </w:rPr>
  </w:style>
  <w:style w:type="character" w:styleId="aff2">
    <w:name w:val="Hyperlink"/>
    <w:basedOn w:val="a0"/>
    <w:qFormat/>
    <w:rPr>
      <w:color w:val="0000FF"/>
      <w:u w:val="single"/>
    </w:rPr>
  </w:style>
  <w:style w:type="character" w:styleId="aff3">
    <w:name w:val="annotation reference"/>
    <w:basedOn w:val="a0"/>
    <w:qFormat/>
    <w:rPr>
      <w:sz w:val="21"/>
      <w:szCs w:val="21"/>
    </w:rPr>
  </w:style>
  <w:style w:type="character" w:styleId="aff4">
    <w:name w:val="footnote reference"/>
    <w:basedOn w:val="a0"/>
    <w:uiPriority w:val="99"/>
    <w:qFormat/>
    <w:rPr>
      <w:vertAlign w:val="superscript"/>
    </w:rPr>
  </w:style>
  <w:style w:type="paragraph" w:customStyle="1" w:styleId="toc11">
    <w:name w:val="toc 11"/>
    <w:next w:val="a"/>
    <w:qFormat/>
    <w:pPr>
      <w:wordWrap w:val="0"/>
      <w:jc w:val="both"/>
    </w:pPr>
    <w:rPr>
      <w:sz w:val="21"/>
      <w:szCs w:val="22"/>
    </w:rPr>
  </w:style>
  <w:style w:type="paragraph" w:customStyle="1" w:styleId="TOC110">
    <w:name w:val="TOC 11"/>
    <w:next w:val="a"/>
    <w:qFormat/>
    <w:pPr>
      <w:wordWrap w:val="0"/>
      <w:jc w:val="both"/>
    </w:pPr>
    <w:rPr>
      <w:sz w:val="21"/>
      <w:szCs w:val="22"/>
    </w:rPr>
  </w:style>
  <w:style w:type="character" w:customStyle="1" w:styleId="ab">
    <w:name w:val="正文文本缩进 字符"/>
    <w:basedOn w:val="a0"/>
    <w:link w:val="aa"/>
    <w:qFormat/>
    <w:rPr>
      <w:rFonts w:eastAsia="宋体"/>
      <w:kern w:val="2"/>
      <w:sz w:val="28"/>
      <w:lang w:val="en-US" w:eastAsia="zh-CN" w:bidi="ar-SA"/>
    </w:rPr>
  </w:style>
  <w:style w:type="character" w:customStyle="1" w:styleId="ae">
    <w:name w:val="纯文本 字符"/>
    <w:basedOn w:val="a0"/>
    <w:link w:val="ad"/>
    <w:qFormat/>
    <w:rPr>
      <w:rFonts w:ascii="宋体" w:eastAsia="宋体" w:hAnsi="Courier New" w:cs="Courier New"/>
      <w:kern w:val="2"/>
      <w:sz w:val="21"/>
      <w:szCs w:val="21"/>
      <w:lang w:val="en-US" w:eastAsia="zh-CN" w:bidi="ar-SA"/>
    </w:rPr>
  </w:style>
  <w:style w:type="character" w:customStyle="1" w:styleId="af0">
    <w:name w:val="日期 字符"/>
    <w:basedOn w:val="a0"/>
    <w:link w:val="af"/>
    <w:semiHidden/>
    <w:qFormat/>
    <w:locked/>
    <w:rPr>
      <w:rFonts w:ascii="宋体" w:eastAsia="仿宋_GB2312" w:hAnsi="宋体"/>
      <w:snapToGrid w:val="0"/>
      <w:kern w:val="32"/>
      <w:sz w:val="32"/>
      <w:szCs w:val="32"/>
      <w:lang w:val="en-US" w:eastAsia="zh-CN" w:bidi="ar-SA"/>
    </w:rPr>
  </w:style>
  <w:style w:type="character" w:customStyle="1" w:styleId="af3">
    <w:name w:val="页脚 字符"/>
    <w:basedOn w:val="a0"/>
    <w:link w:val="af2"/>
    <w:semiHidden/>
    <w:qFormat/>
    <w:locked/>
    <w:rPr>
      <w:rFonts w:ascii="宋体" w:eastAsia="仿宋_GB2312" w:hAnsi="宋体"/>
      <w:snapToGrid w:val="0"/>
      <w:kern w:val="32"/>
      <w:sz w:val="18"/>
      <w:szCs w:val="18"/>
      <w:lang w:val="en-US" w:eastAsia="zh-CN" w:bidi="ar-SA"/>
    </w:rPr>
  </w:style>
  <w:style w:type="character" w:customStyle="1" w:styleId="af6">
    <w:name w:val="页眉 字符"/>
    <w:basedOn w:val="a0"/>
    <w:link w:val="af5"/>
    <w:semiHidden/>
    <w:qFormat/>
    <w:locked/>
    <w:rPr>
      <w:rFonts w:ascii="宋体" w:eastAsia="仿宋_GB2312" w:hAnsi="宋体"/>
      <w:snapToGrid w:val="0"/>
      <w:kern w:val="32"/>
      <w:sz w:val="18"/>
      <w:szCs w:val="18"/>
      <w:lang w:val="en-US" w:eastAsia="zh-CN" w:bidi="ar-SA"/>
    </w:rPr>
  </w:style>
  <w:style w:type="character" w:customStyle="1" w:styleId="HTML0">
    <w:name w:val="HTML 预设格式 字符"/>
    <w:link w:val="HTML"/>
    <w:qFormat/>
    <w:locked/>
    <w:rPr>
      <w:rFonts w:ascii="宋体" w:eastAsia="宋体" w:hAnsi="宋体"/>
      <w:sz w:val="24"/>
      <w:szCs w:val="24"/>
      <w:lang w:val="en-US" w:eastAsia="zh-CN" w:bidi="ar-SA"/>
    </w:rPr>
  </w:style>
  <w:style w:type="character" w:customStyle="1" w:styleId="afb">
    <w:name w:val="标题 字符"/>
    <w:basedOn w:val="a0"/>
    <w:link w:val="afa"/>
    <w:qFormat/>
    <w:locked/>
    <w:rPr>
      <w:rFonts w:ascii="方正小标宋简体" w:eastAsia="方正小标宋简体" w:hAnsi="Arial" w:cs="Arial"/>
      <w:bCs/>
      <w:snapToGrid w:val="0"/>
      <w:kern w:val="44"/>
      <w:sz w:val="44"/>
      <w:szCs w:val="44"/>
      <w:lang w:val="en-US" w:eastAsia="zh-CN" w:bidi="ar-SA"/>
    </w:rPr>
  </w:style>
  <w:style w:type="character" w:customStyle="1" w:styleId="heise12c">
    <w:name w:val="heise_12c"/>
    <w:basedOn w:val="a0"/>
    <w:qFormat/>
  </w:style>
  <w:style w:type="character" w:customStyle="1" w:styleId="content1">
    <w:name w:val="content1"/>
    <w:basedOn w:val="a0"/>
    <w:qFormat/>
    <w:rPr>
      <w:sz w:val="21"/>
      <w:szCs w:val="21"/>
    </w:rPr>
  </w:style>
  <w:style w:type="character" w:customStyle="1" w:styleId="PlainTextChar">
    <w:name w:val="Plain Text Char"/>
    <w:basedOn w:val="a0"/>
    <w:qFormat/>
    <w:rPr>
      <w:rFonts w:ascii="宋体" w:eastAsia="宋体" w:hAnsi="Courier New" w:cs="Courier New"/>
      <w:sz w:val="21"/>
      <w:szCs w:val="21"/>
    </w:rPr>
  </w:style>
  <w:style w:type="character" w:customStyle="1" w:styleId="apple-style-span">
    <w:name w:val="apple-style-span"/>
    <w:basedOn w:val="a0"/>
    <w:qFormat/>
  </w:style>
  <w:style w:type="character" w:customStyle="1" w:styleId="oalinshistyle21">
    <w:name w:val="oalinshistyle21"/>
    <w:basedOn w:val="a0"/>
    <w:qFormat/>
    <w:rPr>
      <w:rFonts w:ascii="Arial" w:hAnsi="Arial" w:cs="Arial" w:hint="default"/>
      <w:sz w:val="27"/>
      <w:szCs w:val="27"/>
    </w:rPr>
  </w:style>
  <w:style w:type="character" w:customStyle="1" w:styleId="bz12">
    <w:name w:val="bz_12"/>
    <w:basedOn w:val="a0"/>
    <w:qFormat/>
  </w:style>
  <w:style w:type="character" w:customStyle="1" w:styleId="font1">
    <w:name w:val="font1"/>
    <w:basedOn w:val="a0"/>
    <w:qFormat/>
    <w:rPr>
      <w:sz w:val="18"/>
      <w:szCs w:val="18"/>
    </w:rPr>
  </w:style>
  <w:style w:type="character" w:customStyle="1" w:styleId="1CharChar">
    <w:name w:val="样式1 Char Char"/>
    <w:basedOn w:val="a0"/>
    <w:link w:val="10"/>
    <w:qFormat/>
    <w:rPr>
      <w:rFonts w:ascii="方正小标宋简体" w:eastAsia="方正小标宋简体" w:hAnsi="Calibri"/>
      <w:kern w:val="2"/>
      <w:sz w:val="44"/>
      <w:szCs w:val="44"/>
      <w:lang w:val="en-US" w:eastAsia="zh-CN" w:bidi="ar-SA"/>
    </w:rPr>
  </w:style>
  <w:style w:type="paragraph" w:customStyle="1" w:styleId="10">
    <w:name w:val="样式1"/>
    <w:basedOn w:val="a"/>
    <w:link w:val="1CharChar"/>
    <w:qFormat/>
    <w:pPr>
      <w:jc w:val="center"/>
    </w:pPr>
    <w:rPr>
      <w:rFonts w:ascii="方正小标宋简体" w:eastAsia="方正小标宋简体" w:hAnsi="Calibri"/>
      <w:kern w:val="2"/>
      <w:sz w:val="44"/>
      <w:szCs w:val="44"/>
    </w:rPr>
  </w:style>
  <w:style w:type="paragraph" w:customStyle="1" w:styleId="ListParagraph1">
    <w:name w:val="List Paragraph1"/>
    <w:basedOn w:val="a"/>
    <w:qFormat/>
    <w:pPr>
      <w:ind w:firstLineChars="200" w:firstLine="420"/>
    </w:pPr>
    <w:rPr>
      <w:rFonts w:ascii="Calibri" w:eastAsia="宋体" w:hAnsi="Calibri" w:cs="Calibri"/>
      <w:snapToGrid/>
      <w:kern w:val="2"/>
      <w:sz w:val="21"/>
      <w:szCs w:val="21"/>
    </w:rPr>
  </w:style>
  <w:style w:type="paragraph" w:customStyle="1" w:styleId="Char1CharCharChar">
    <w:name w:val="Char1 Char Char Char"/>
    <w:basedOn w:val="a"/>
    <w:qFormat/>
  </w:style>
  <w:style w:type="paragraph" w:customStyle="1" w:styleId="11">
    <w:name w:val="无间隔1"/>
    <w:qFormat/>
    <w:pPr>
      <w:widowControl w:val="0"/>
      <w:jc w:val="both"/>
    </w:pPr>
    <w:rPr>
      <w:rFonts w:ascii="Calibri" w:hAnsi="Calibri"/>
      <w:kern w:val="2"/>
      <w:sz w:val="21"/>
      <w:szCs w:val="22"/>
    </w:rPr>
  </w:style>
  <w:style w:type="paragraph" w:customStyle="1" w:styleId="Char1CharCharChar1">
    <w:name w:val="Char1 Char Char Char1"/>
    <w:basedOn w:val="a"/>
    <w:qFormat/>
    <w:rPr>
      <w:rFonts w:ascii="Tahoma" w:eastAsia="宋体" w:hAnsi="Tahoma"/>
      <w:snapToGrid/>
      <w:kern w:val="2"/>
      <w:sz w:val="24"/>
      <w:szCs w:val="20"/>
    </w:rPr>
  </w:style>
  <w:style w:type="paragraph" w:customStyle="1" w:styleId="CharCharCharCharCharCharChar">
    <w:name w:val="样式 正文缩进正文（首行缩进两字）正文（首行缩进两字） Char Char Char Char Char Char Char..."/>
    <w:basedOn w:val="a3"/>
    <w:qFormat/>
    <w:pPr>
      <w:spacing w:line="312" w:lineRule="auto"/>
      <w:ind w:firstLineChars="0" w:firstLine="539"/>
    </w:pPr>
    <w:rPr>
      <w:rFonts w:ascii="Times New Roman" w:eastAsia="宋体" w:hAnsi="Times New Roman" w:cs="宋体"/>
      <w:snapToGrid/>
      <w:kern w:val="2"/>
      <w:sz w:val="28"/>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rFonts w:ascii="Times New Roman" w:eastAsia="宋体" w:hAnsi="Times New Roman"/>
      <w:snapToGrid/>
      <w:kern w:val="2"/>
      <w:sz w:val="21"/>
      <w:szCs w:val="20"/>
    </w:rPr>
  </w:style>
  <w:style w:type="paragraph" w:customStyle="1" w:styleId="aff5">
    <w:name w:val="规划正文"/>
    <w:basedOn w:val="a"/>
    <w:qFormat/>
    <w:pPr>
      <w:spacing w:afterLines="50" w:after="156" w:line="480" w:lineRule="exact"/>
      <w:ind w:firstLineChars="200" w:firstLine="200"/>
    </w:pPr>
    <w:rPr>
      <w:rFonts w:ascii="仿宋_GB2312" w:hAnsi="Times New Roman"/>
      <w:snapToGrid/>
      <w:kern w:val="2"/>
      <w:sz w:val="30"/>
      <w:szCs w:val="30"/>
    </w:rPr>
  </w:style>
  <w:style w:type="paragraph" w:customStyle="1" w:styleId="113125">
    <w:name w:val="样式 三号 首行缩进:  1.13 厘米 行距: 多倍行距 1.25 字行"/>
    <w:basedOn w:val="a"/>
    <w:qFormat/>
    <w:pPr>
      <w:adjustRightInd w:val="0"/>
      <w:snapToGrid w:val="0"/>
      <w:spacing w:line="360" w:lineRule="auto"/>
      <w:ind w:firstLineChars="200" w:firstLine="200"/>
    </w:pPr>
    <w:rPr>
      <w:rFonts w:ascii="Times New Roman" w:hAnsi="Times New Roman"/>
      <w:snapToGrid/>
      <w:kern w:val="2"/>
    </w:rPr>
  </w:style>
  <w:style w:type="paragraph" w:customStyle="1" w:styleId="CharChar2Char">
    <w:name w:val="Char Char2 Char"/>
    <w:basedOn w:val="a"/>
    <w:qFormat/>
    <w:rPr>
      <w:rFonts w:eastAsia="宋体" w:cs="Courier New"/>
      <w:snapToGrid/>
      <w:kern w:val="2"/>
    </w:rPr>
  </w:style>
  <w:style w:type="paragraph" w:customStyle="1" w:styleId="aff6">
    <w:name w:val="封面副标题"/>
    <w:qFormat/>
    <w:pPr>
      <w:adjustRightInd w:val="0"/>
      <w:snapToGrid w:val="0"/>
      <w:spacing w:beforeLines="50" w:before="156" w:line="360" w:lineRule="auto"/>
      <w:jc w:val="center"/>
    </w:pPr>
    <w:rPr>
      <w:rFonts w:eastAsia="黑体"/>
      <w:b/>
      <w:snapToGrid w:val="0"/>
      <w:spacing w:val="20"/>
      <w:sz w:val="52"/>
    </w:rPr>
  </w:style>
  <w:style w:type="paragraph" w:customStyle="1" w:styleId="ddddd">
    <w:name w:val="ddddd"/>
    <w:basedOn w:val="a"/>
    <w:qFormat/>
    <w:pPr>
      <w:pageBreakBefore/>
    </w:pPr>
    <w:rPr>
      <w:rFonts w:ascii="Times New Roman" w:eastAsia="宋体" w:hAnsi="Times New Roman"/>
      <w:snapToGrid/>
      <w:kern w:val="2"/>
      <w:sz w:val="21"/>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ascii="Tahoma" w:eastAsia="宋体" w:hAnsi="Tahoma"/>
      <w:b/>
      <w:snapToGrid/>
      <w:kern w:val="2"/>
      <w:sz w:val="24"/>
      <w:szCs w:val="24"/>
    </w:rPr>
  </w:style>
  <w:style w:type="paragraph" w:customStyle="1" w:styleId="aff7">
    <w:name w:val="封面标准名称"/>
    <w:qFormat/>
    <w:pPr>
      <w:widowControl w:val="0"/>
      <w:spacing w:line="680" w:lineRule="exact"/>
      <w:jc w:val="center"/>
      <w:textAlignment w:val="center"/>
    </w:pPr>
    <w:rPr>
      <w:rFonts w:ascii="黑体" w:eastAsia="黑体"/>
      <w:sz w:val="52"/>
    </w:rPr>
  </w:style>
  <w:style w:type="paragraph" w:customStyle="1" w:styleId="CharChar1">
    <w:name w:val="Char Char1"/>
    <w:basedOn w:val="a5"/>
    <w:qFormat/>
    <w:rPr>
      <w:rFonts w:ascii="Tahoma" w:eastAsia="宋体" w:hAnsi="Tahoma"/>
      <w:snapToGrid/>
      <w:kern w:val="2"/>
      <w:sz w:val="24"/>
      <w:szCs w:val="24"/>
    </w:rPr>
  </w:style>
  <w:style w:type="paragraph" w:customStyle="1" w:styleId="CharCharCharChar">
    <w:name w:val="Char Char Char Char"/>
    <w:basedOn w:val="a"/>
    <w:qFormat/>
    <w:rPr>
      <w:rFonts w:ascii="Times New Roman" w:eastAsia="宋体" w:hAnsi="Times New Roman"/>
      <w:snapToGrid/>
      <w:kern w:val="2"/>
      <w:sz w:val="21"/>
      <w:szCs w:val="24"/>
    </w:rPr>
  </w:style>
  <w:style w:type="paragraph" w:customStyle="1" w:styleId="aff8">
    <w:name w:val="首信标准正文"/>
    <w:basedOn w:val="a"/>
    <w:qFormat/>
    <w:pPr>
      <w:spacing w:line="360" w:lineRule="auto"/>
    </w:pPr>
    <w:rPr>
      <w:rFonts w:ascii="Tahoma" w:eastAsia="宋体" w:hAnsi="Tahoma"/>
      <w:snapToGrid/>
      <w:kern w:val="2"/>
      <w:sz w:val="24"/>
      <w:szCs w:val="20"/>
    </w:rPr>
  </w:style>
  <w:style w:type="paragraph" w:customStyle="1" w:styleId="ParaCharCharChar2CharCharCharCharCharCharCharCharCharChar">
    <w:name w:val="默认段落字体 Para Char Char Char2 Char Char Char Char Char Char Char Char Char Char"/>
    <w:basedOn w:val="a"/>
    <w:qFormat/>
    <w:rPr>
      <w:rFonts w:eastAsia="宋体" w:cs="Courier New"/>
      <w:snapToGrid/>
      <w:kern w:val="2"/>
    </w:rPr>
  </w:style>
  <w:style w:type="paragraph" w:customStyle="1" w:styleId="Char">
    <w:name w:val="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
    <w:name w:val="Char Char Char Char Char Char Char Char Char Char"/>
    <w:basedOn w:val="a"/>
    <w:qFormat/>
    <w:rPr>
      <w:rFonts w:ascii="Tahoma" w:eastAsia="宋体" w:hAnsi="Tahoma"/>
      <w:snapToGrid/>
      <w:kern w:val="2"/>
      <w:sz w:val="24"/>
      <w:szCs w:val="20"/>
    </w:rPr>
  </w:style>
  <w:style w:type="paragraph" w:customStyle="1" w:styleId="cjk">
    <w:name w:val="cjk"/>
    <w:basedOn w:val="a"/>
    <w:qFormat/>
    <w:pPr>
      <w:widowControl/>
      <w:spacing w:before="100" w:beforeAutospacing="1"/>
      <w:jc w:val="center"/>
    </w:pPr>
    <w:rPr>
      <w:rFonts w:eastAsia="宋体"/>
      <w:b/>
      <w:bCs/>
      <w:snapToGrid/>
      <w:kern w:val="0"/>
    </w:rPr>
  </w:style>
  <w:style w:type="paragraph" w:customStyle="1" w:styleId="CharCharCharChar1">
    <w:name w:val="Char Char Char Char1"/>
    <w:basedOn w:val="a"/>
    <w:qFormat/>
    <w:pPr>
      <w:adjustRightInd w:val="0"/>
      <w:spacing w:line="360" w:lineRule="auto"/>
    </w:pPr>
    <w:rPr>
      <w:rFonts w:ascii="Times New Roman" w:eastAsia="宋体" w:hAnsi="Times New Roman"/>
      <w:snapToGrid/>
      <w:kern w:val="0"/>
      <w:sz w:val="24"/>
      <w:szCs w:val="20"/>
    </w:rPr>
  </w:style>
  <w:style w:type="paragraph" w:customStyle="1" w:styleId="12">
    <w:name w:val="列表段落1"/>
    <w:basedOn w:val="a"/>
    <w:qFormat/>
    <w:pPr>
      <w:ind w:firstLineChars="200" w:firstLine="420"/>
    </w:pPr>
    <w:rPr>
      <w:rFonts w:ascii="Calibri" w:eastAsia="宋体" w:hAnsi="Calibri"/>
      <w:snapToGrid/>
      <w:kern w:val="2"/>
      <w:sz w:val="21"/>
      <w:szCs w:val="22"/>
    </w:rPr>
  </w:style>
  <w:style w:type="paragraph" w:customStyle="1" w:styleId="aff9">
    <w:name w:val="正文（基准，首行不缩进）"/>
    <w:qFormat/>
    <w:pPr>
      <w:widowControl w:val="0"/>
      <w:autoSpaceDE w:val="0"/>
      <w:autoSpaceDN w:val="0"/>
      <w:adjustRightInd w:val="0"/>
      <w:jc w:val="both"/>
    </w:pPr>
    <w:rPr>
      <w:sz w:val="21"/>
    </w:rPr>
  </w:style>
  <w:style w:type="paragraph" w:customStyle="1" w:styleId="WW-2">
    <w:name w:val="WW-正文文字缩进 2"/>
    <w:basedOn w:val="a"/>
    <w:qFormat/>
    <w:pPr>
      <w:suppressAutoHyphens/>
      <w:spacing w:line="276" w:lineRule="auto"/>
      <w:ind w:firstLine="630"/>
    </w:pPr>
    <w:rPr>
      <w:rFonts w:ascii="楷体_GB2312" w:eastAsia="宋体" w:hAnsi="楷体_GB2312"/>
      <w:snapToGrid/>
      <w:kern w:val="1"/>
      <w:szCs w:val="20"/>
    </w:rPr>
  </w:style>
  <w:style w:type="paragraph" w:customStyle="1" w:styleId="Char11">
    <w:name w:val="Char11"/>
    <w:basedOn w:val="a"/>
    <w:qFormat/>
    <w:rPr>
      <w:rFonts w:eastAsia="宋体" w:cs="Courier New"/>
      <w:snapToGrid/>
      <w:kern w:val="2"/>
    </w:rPr>
  </w:style>
  <w:style w:type="paragraph" w:customStyle="1" w:styleId="CharCharCharCharCharChar">
    <w:name w:val="Char Char Char Char Char Char"/>
    <w:basedOn w:val="a"/>
    <w:qFormat/>
    <w:pPr>
      <w:widowControl/>
      <w:spacing w:after="160" w:line="240" w:lineRule="exact"/>
      <w:jc w:val="left"/>
    </w:pPr>
    <w:rPr>
      <w:rFonts w:ascii="Arial" w:eastAsia="Times New Roman" w:hAnsi="Arial" w:cs="Verdana"/>
      <w:b/>
      <w:snapToGrid/>
      <w:kern w:val="0"/>
      <w:sz w:val="24"/>
      <w:szCs w:val="20"/>
      <w:lang w:eastAsia="en-US"/>
    </w:rPr>
  </w:style>
  <w:style w:type="paragraph" w:customStyle="1" w:styleId="CharCharCharCharCharCharCharCharCharCharCharCharChar">
    <w:name w:val="Char Char Char Char Char Char Char Char Char Char Char Char Char"/>
    <w:basedOn w:val="a"/>
    <w:qFormat/>
    <w:rPr>
      <w:rFonts w:ascii="Tahoma" w:eastAsia="宋体" w:hAnsi="Tahoma"/>
      <w:snapToGrid/>
      <w:kern w:val="2"/>
      <w:sz w:val="24"/>
      <w:szCs w:val="20"/>
    </w:rPr>
  </w:style>
  <w:style w:type="paragraph" w:customStyle="1" w:styleId="Char2CharCharCharCharCharChar">
    <w:name w:val="Char2 Char Char Char Char Char Char"/>
    <w:basedOn w:val="a"/>
    <w:qFormat/>
    <w:pPr>
      <w:snapToGrid w:val="0"/>
      <w:spacing w:line="360" w:lineRule="auto"/>
      <w:ind w:firstLineChars="200" w:firstLine="200"/>
    </w:pPr>
    <w:rPr>
      <w:rFonts w:ascii="Times New Roman" w:hAnsi="Times New Roman"/>
      <w:snapToGrid/>
      <w:kern w:val="2"/>
      <w:sz w:val="24"/>
      <w:szCs w:val="24"/>
    </w:rPr>
  </w:style>
  <w:style w:type="paragraph" w:customStyle="1" w:styleId="CharCharCharCharCharCharChar0">
    <w:name w:val="Char Char Char Char Char Char Char"/>
    <w:basedOn w:val="a"/>
    <w:qFormat/>
    <w:rPr>
      <w:rFonts w:eastAsia="宋体" w:cs="Courier New"/>
      <w:snapToGrid/>
      <w:kern w:val="2"/>
    </w:rPr>
  </w:style>
  <w:style w:type="paragraph" w:customStyle="1" w:styleId="CharCharCharCharCharCharCharCharCharCharCharCharCharCharCharChar">
    <w:name w:val="Char Char Char Char Char Char Char Char Char Char Char Char Char Char Char Char"/>
    <w:basedOn w:val="a"/>
    <w:qFormat/>
    <w:pPr>
      <w:jc w:val="center"/>
    </w:pPr>
    <w:rPr>
      <w:rFonts w:ascii="Tahoma" w:eastAsia="宋体" w:hAnsi="Tahoma"/>
      <w:snapToGrid/>
      <w:kern w:val="2"/>
      <w:sz w:val="24"/>
      <w:szCs w:val="20"/>
    </w:rPr>
  </w:style>
  <w:style w:type="paragraph" w:customStyle="1" w:styleId="Char1">
    <w:name w:val="Char1"/>
    <w:basedOn w:val="a"/>
    <w:qFormat/>
    <w:rPr>
      <w:rFonts w:ascii="Tahoma" w:eastAsia="宋体" w:hAnsi="Tahoma"/>
      <w:snapToGrid/>
      <w:kern w:val="2"/>
      <w:sz w:val="24"/>
      <w:szCs w:val="20"/>
    </w:rPr>
  </w:style>
  <w:style w:type="paragraph" w:customStyle="1" w:styleId="ParaCharCharCharChar">
    <w:name w:val="默认段落字体 Para Char Char Char Char"/>
    <w:basedOn w:val="a"/>
    <w:qFormat/>
    <w:rPr>
      <w:rFonts w:ascii="Times New Roman" w:eastAsia="宋体" w:hAnsi="Times New Roman"/>
      <w:snapToGrid/>
      <w:kern w:val="2"/>
      <w:sz w:val="21"/>
      <w:szCs w:val="24"/>
    </w:rPr>
  </w:style>
  <w:style w:type="paragraph" w:customStyle="1" w:styleId="msolistparagraph0">
    <w:name w:val="msolistparagraph"/>
    <w:basedOn w:val="a"/>
    <w:qFormat/>
    <w:pPr>
      <w:widowControl/>
      <w:spacing w:before="100" w:beforeAutospacing="1" w:after="100" w:afterAutospacing="1"/>
      <w:jc w:val="left"/>
    </w:pPr>
    <w:rPr>
      <w:rFonts w:eastAsia="宋体" w:cs="宋体"/>
      <w:snapToGrid/>
      <w:kern w:val="0"/>
      <w:sz w:val="24"/>
      <w:szCs w:val="24"/>
    </w:rPr>
  </w:style>
  <w:style w:type="character" w:customStyle="1" w:styleId="content">
    <w:name w:val="content"/>
    <w:basedOn w:val="a0"/>
    <w:qFormat/>
  </w:style>
  <w:style w:type="paragraph" w:customStyle="1" w:styleId="affa">
    <w:name w:val="主题词"/>
    <w:basedOn w:val="a"/>
    <w:qFormat/>
    <w:pPr>
      <w:jc w:val="left"/>
    </w:pPr>
    <w:rPr>
      <w:rFonts w:ascii="Times New Roman" w:eastAsia="宋体" w:hAnsi="Times New Roman"/>
      <w:snapToGrid/>
      <w:kern w:val="2"/>
      <w:szCs w:val="20"/>
    </w:rPr>
  </w:style>
  <w:style w:type="paragraph" w:customStyle="1" w:styleId="affb">
    <w:name w:val="我的正文"/>
    <w:basedOn w:val="a"/>
    <w:qFormat/>
    <w:pPr>
      <w:ind w:firstLineChars="200" w:firstLine="200"/>
    </w:pPr>
    <w:rPr>
      <w:rFonts w:ascii="Calibri" w:eastAsia="宋体" w:hAnsi="Calibri"/>
      <w:snapToGrid/>
      <w:kern w:val="2"/>
      <w:sz w:val="24"/>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cxspmiddle">
    <w:name w:val="msonormalcxspmiddle"/>
    <w:basedOn w:val="a"/>
    <w:qFormat/>
    <w:pPr>
      <w:widowControl/>
      <w:spacing w:before="100" w:beforeAutospacing="1" w:after="100" w:afterAutospacing="1"/>
      <w:jc w:val="left"/>
    </w:pPr>
    <w:rPr>
      <w:rFonts w:eastAsia="宋体" w:cs="宋体"/>
      <w:snapToGrid/>
      <w:kern w:val="0"/>
      <w:sz w:val="24"/>
      <w:szCs w:val="24"/>
    </w:rPr>
  </w:style>
  <w:style w:type="paragraph" w:customStyle="1" w:styleId="BECC">
    <w:name w:val="!BECC正文"/>
    <w:basedOn w:val="a"/>
    <w:link w:val="BECCChar"/>
    <w:qFormat/>
    <w:pPr>
      <w:tabs>
        <w:tab w:val="left" w:pos="0"/>
      </w:tabs>
      <w:spacing w:beforeLines="50" w:afterLines="50" w:line="360" w:lineRule="auto"/>
      <w:ind w:firstLineChars="200" w:firstLine="480"/>
      <w:contextualSpacing/>
    </w:pPr>
    <w:rPr>
      <w:rFonts w:ascii="Times New Roman" w:eastAsia="宋体" w:hAnsi="Times New Roman"/>
      <w:snapToGrid/>
      <w:kern w:val="0"/>
      <w:sz w:val="24"/>
      <w:szCs w:val="24"/>
    </w:rPr>
  </w:style>
  <w:style w:type="character" w:customStyle="1" w:styleId="BECCChar">
    <w:name w:val="!BECC正文 Char"/>
    <w:link w:val="BECC"/>
    <w:qFormat/>
    <w:rPr>
      <w:rFonts w:eastAsia="宋体"/>
      <w:sz w:val="24"/>
      <w:szCs w:val="24"/>
      <w:lang w:bidi="ar-SA"/>
    </w:rPr>
  </w:style>
  <w:style w:type="paragraph" w:customStyle="1" w:styleId="WW-">
    <w:name w:val="WW-日期"/>
    <w:basedOn w:val="a"/>
    <w:next w:val="a"/>
    <w:qFormat/>
    <w:pPr>
      <w:suppressAutoHyphens/>
    </w:pPr>
    <w:rPr>
      <w:rFonts w:ascii="仿宋_GB2312" w:hAnsi="仿宋_GB2312"/>
      <w:snapToGrid/>
      <w:kern w:val="1"/>
      <w:szCs w:val="24"/>
    </w:rPr>
  </w:style>
  <w:style w:type="paragraph" w:customStyle="1" w:styleId="New">
    <w:name w:val="正文 New"/>
    <w:qFormat/>
    <w:pPr>
      <w:widowControl w:val="0"/>
      <w:jc w:val="both"/>
    </w:pPr>
    <w:rPr>
      <w:rFonts w:eastAsia="楷体_GB2312"/>
      <w:kern w:val="2"/>
      <w:sz w:val="3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Calibri" w:hAnsi="Calibri" w:cs="黑体"/>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snapToGrid w:val="0"/>
      <w:jc w:val="both"/>
    </w:pPr>
    <w:rPr>
      <w:rFonts w:ascii="宋体" w:eastAsia="仿宋_GB2312" w:hAnsi="宋体"/>
      <w:kern w:val="32"/>
      <w:sz w:val="32"/>
      <w:szCs w:val="32"/>
    </w:rPr>
  </w:style>
  <w:style w:type="paragraph" w:customStyle="1" w:styleId="NewNewNew">
    <w:name w:val="正文 New New New"/>
    <w:qFormat/>
    <w:pPr>
      <w:widowControl w:val="0"/>
      <w:jc w:val="both"/>
    </w:pPr>
    <w:rPr>
      <w:rFonts w:ascii="宋体" w:eastAsia="楷体_GB2312" w:hAnsi="宋体"/>
      <w:kern w:val="2"/>
      <w:sz w:val="32"/>
    </w:rPr>
  </w:style>
  <w:style w:type="character" w:customStyle="1" w:styleId="1CharNew">
    <w:name w:val="标题 1 Char New"/>
    <w:basedOn w:val="a0"/>
    <w:link w:val="110"/>
    <w:qFormat/>
    <w:locked/>
    <w:rPr>
      <w:rFonts w:ascii="宋体" w:hAnsi="宋体"/>
      <w:b/>
      <w:kern w:val="36"/>
      <w:sz w:val="48"/>
      <w:lang w:bidi="ar-SA"/>
    </w:rPr>
  </w:style>
  <w:style w:type="paragraph" w:customStyle="1" w:styleId="110">
    <w:name w:val="标题 11"/>
    <w:basedOn w:val="a"/>
    <w:link w:val="1CharNew"/>
    <w:qFormat/>
    <w:pPr>
      <w:spacing w:before="100" w:beforeAutospacing="1" w:after="100" w:afterAutospacing="1" w:line="336" w:lineRule="auto"/>
      <w:outlineLvl w:val="0"/>
    </w:pPr>
    <w:rPr>
      <w:rFonts w:eastAsia="Times New Roman"/>
      <w:b/>
      <w:snapToGrid/>
      <w:kern w:val="36"/>
      <w:sz w:val="48"/>
      <w:szCs w:val="20"/>
    </w:rPr>
  </w:style>
  <w:style w:type="character" w:customStyle="1" w:styleId="Char0">
    <w:name w:val="段 Char"/>
    <w:link w:val="affc"/>
    <w:qFormat/>
    <w:rPr>
      <w:rFonts w:ascii="宋体" w:eastAsia="Times New Roman"/>
      <w:sz w:val="21"/>
      <w:lang w:val="en-US" w:eastAsia="zh-CN" w:bidi="ar-SA"/>
    </w:rPr>
  </w:style>
  <w:style w:type="paragraph" w:customStyle="1" w:styleId="affc">
    <w:name w:val="段"/>
    <w:link w:val="Char0"/>
    <w:qFormat/>
    <w:pPr>
      <w:tabs>
        <w:tab w:val="center" w:pos="4201"/>
        <w:tab w:val="right" w:leader="dot" w:pos="9298"/>
      </w:tabs>
      <w:autoSpaceDE w:val="0"/>
      <w:autoSpaceDN w:val="0"/>
      <w:ind w:firstLineChars="200" w:firstLine="420"/>
      <w:jc w:val="both"/>
    </w:pPr>
    <w:rPr>
      <w:rFonts w:ascii="宋体" w:eastAsia="Times New Roman"/>
      <w:sz w:val="21"/>
    </w:rPr>
  </w:style>
  <w:style w:type="paragraph" w:customStyle="1" w:styleId="CharCharCharCharCharCharChar1">
    <w:name w:val="Char Char Char Char Char Char Char1"/>
    <w:basedOn w:val="a"/>
    <w:qFormat/>
    <w:rPr>
      <w:rFonts w:ascii="Tahoma" w:eastAsia="宋体" w:hAnsi="Tahoma"/>
      <w:snapToGrid/>
      <w:kern w:val="2"/>
      <w:sz w:val="24"/>
      <w:szCs w:val="20"/>
    </w:rPr>
  </w:style>
  <w:style w:type="paragraph" w:customStyle="1" w:styleId="13">
    <w:name w:val="列出段落1"/>
    <w:basedOn w:val="a"/>
    <w:uiPriority w:val="34"/>
    <w:qFormat/>
    <w:pPr>
      <w:ind w:firstLineChars="200" w:firstLine="420"/>
    </w:pPr>
    <w:rPr>
      <w:rFonts w:ascii="Calibri" w:eastAsia="宋体" w:hAnsi="Calibri"/>
      <w:snapToGrid/>
      <w:kern w:val="2"/>
      <w:sz w:val="21"/>
      <w:szCs w:val="22"/>
    </w:rPr>
  </w:style>
  <w:style w:type="paragraph" w:customStyle="1" w:styleId="14">
    <w:name w:val="修订1"/>
    <w:hidden/>
    <w:uiPriority w:val="99"/>
    <w:semiHidden/>
    <w:qFormat/>
    <w:rPr>
      <w:rFonts w:ascii="宋体" w:eastAsia="仿宋_GB2312" w:hAnsi="宋体"/>
      <w:snapToGrid w:val="0"/>
      <w:kern w:val="32"/>
      <w:sz w:val="32"/>
      <w:szCs w:val="32"/>
    </w:rPr>
  </w:style>
  <w:style w:type="paragraph" w:customStyle="1" w:styleId="Style5">
    <w:name w:val="_Style 5"/>
    <w:basedOn w:val="a"/>
    <w:qFormat/>
    <w:pPr>
      <w:ind w:firstLineChars="200" w:firstLine="420"/>
    </w:pPr>
    <w:rPr>
      <w:rFonts w:ascii="Calibri" w:eastAsia="宋体" w:hAnsi="Calibri" w:cs="Calibri"/>
      <w:snapToGrid/>
      <w:kern w:val="2"/>
      <w:sz w:val="21"/>
      <w:szCs w:val="21"/>
    </w:rPr>
  </w:style>
  <w:style w:type="character" w:customStyle="1" w:styleId="15">
    <w:name w:val="15"/>
    <w:basedOn w:val="a0"/>
    <w:qFormat/>
    <w:rPr>
      <w:rFonts w:ascii="Times New Roman" w:hAnsi="Times New Roman" w:cs="Times New Roman" w:hint="default"/>
    </w:rPr>
  </w:style>
  <w:style w:type="character" w:customStyle="1" w:styleId="NormalCharacter">
    <w:name w:val="NormalCharacter"/>
    <w:link w:val="UserStyle19"/>
    <w:qFormat/>
  </w:style>
  <w:style w:type="paragraph" w:customStyle="1" w:styleId="UserStyle19">
    <w:name w:val="UserStyle_19"/>
    <w:basedOn w:val="a"/>
    <w:link w:val="NormalCharacter"/>
    <w:qFormat/>
    <w:pPr>
      <w:textAlignment w:val="baseline"/>
    </w:pPr>
  </w:style>
  <w:style w:type="character" w:customStyle="1" w:styleId="a7">
    <w:name w:val="批注文字 字符"/>
    <w:basedOn w:val="a0"/>
    <w:link w:val="a6"/>
    <w:qFormat/>
    <w:rPr>
      <w:kern w:val="2"/>
      <w:sz w:val="21"/>
    </w:rPr>
  </w:style>
  <w:style w:type="character" w:customStyle="1" w:styleId="afd">
    <w:name w:val="批注主题 字符"/>
    <w:basedOn w:val="a7"/>
    <w:link w:val="afc"/>
    <w:qFormat/>
    <w:rPr>
      <w:rFonts w:ascii="宋体" w:eastAsia="仿宋_GB2312" w:hAnsi="宋体"/>
      <w:b/>
      <w:bCs/>
      <w:snapToGrid w:val="0"/>
      <w:kern w:val="32"/>
      <w:sz w:val="32"/>
      <w:szCs w:val="32"/>
    </w:rPr>
  </w:style>
  <w:style w:type="paragraph" w:customStyle="1" w:styleId="22">
    <w:name w:val="修订2"/>
    <w:hidden/>
    <w:uiPriority w:val="99"/>
    <w:unhideWhenUsed/>
    <w:qFormat/>
    <w:rPr>
      <w:rFonts w:ascii="宋体" w:eastAsia="仿宋_GB2312" w:hAnsi="宋体"/>
      <w:snapToGrid w:val="0"/>
      <w:kern w:val="32"/>
      <w:sz w:val="32"/>
      <w:szCs w:val="32"/>
    </w:rPr>
  </w:style>
  <w:style w:type="paragraph" w:customStyle="1" w:styleId="111">
    <w:name w:val="目录 11"/>
    <w:next w:val="a"/>
    <w:qFormat/>
    <w:pPr>
      <w:wordWrap w:val="0"/>
      <w:jc w:val="both"/>
    </w:pPr>
    <w:rPr>
      <w:sz w:val="21"/>
      <w:szCs w:val="22"/>
    </w:rPr>
  </w:style>
  <w:style w:type="paragraph" w:customStyle="1" w:styleId="affd">
    <w:name w:val="公文正文"/>
    <w:basedOn w:val="a"/>
    <w:qFormat/>
    <w:pPr>
      <w:adjustRightInd w:val="0"/>
      <w:snapToGrid w:val="0"/>
      <w:spacing w:line="560" w:lineRule="exact"/>
      <w:ind w:firstLineChars="200" w:firstLine="560"/>
    </w:pPr>
  </w:style>
  <w:style w:type="paragraph" w:customStyle="1" w:styleId="31">
    <w:name w:val="修订3"/>
    <w:hidden/>
    <w:uiPriority w:val="99"/>
    <w:unhideWhenUsed/>
    <w:qFormat/>
    <w:rPr>
      <w:rFonts w:ascii="宋体" w:eastAsia="仿宋_GB2312" w:hAnsi="宋体"/>
      <w:snapToGrid w:val="0"/>
      <w:kern w:val="32"/>
      <w:sz w:val="32"/>
      <w:szCs w:val="32"/>
    </w:rPr>
  </w:style>
  <w:style w:type="paragraph" w:styleId="affe">
    <w:name w:val="List Paragraph"/>
    <w:basedOn w:val="a"/>
    <w:uiPriority w:val="99"/>
    <w:unhideWhenUsed/>
    <w:qFormat/>
    <w:pPr>
      <w:ind w:firstLineChars="200" w:firstLine="420"/>
    </w:pPr>
  </w:style>
  <w:style w:type="paragraph" w:customStyle="1" w:styleId="UserStyle4">
    <w:name w:val="UserStyle_4"/>
    <w:next w:val="a"/>
    <w:qFormat/>
    <w:pPr>
      <w:jc w:val="both"/>
      <w:textAlignment w:val="baseline"/>
    </w:pPr>
    <w:rPr>
      <w:rFonts w:ascii="Calibri" w:hAnsi="Calibri"/>
      <w:sz w:val="21"/>
      <w:szCs w:val="22"/>
    </w:rPr>
  </w:style>
  <w:style w:type="character" w:customStyle="1" w:styleId="a9">
    <w:name w:val="正文文本 字符"/>
    <w:basedOn w:val="a0"/>
    <w:link w:val="a8"/>
    <w:qFormat/>
    <w:rPr>
      <w:rFonts w:ascii="宋体" w:eastAsia="仿宋_GB2312" w:hAnsi="宋体"/>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2934</Words>
  <Characters>3082</Characters>
  <Application>Microsoft Office Word</Application>
  <DocSecurity>0</DocSecurity>
  <Lines>162</Lines>
  <Paragraphs>127</Paragraphs>
  <ScaleCrop>false</ScaleCrop>
  <Company>bgs</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楚轩 黄</cp:lastModifiedBy>
  <cp:revision>104</cp:revision>
  <cp:lastPrinted>2025-09-25T02:33:00Z</cp:lastPrinted>
  <dcterms:created xsi:type="dcterms:W3CDTF">2019-06-13T16:38:00Z</dcterms:created>
  <dcterms:modified xsi:type="dcterms:W3CDTF">2025-10-15T08:20:00Z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1460FD987CA3DB815D55D2686CD9CA6B</vt:lpwstr>
  </property>
  <property fmtid="{D5CDD505-2E9C-101B-9397-08002B2CF9AE}" pid="4" name="KSOTemplateDocerSaveRecord">
    <vt:lpwstr>eyJoZGlkIjoiMTMyYjJiZjVlZmYzM2ExMTM4ZWFjN2JiM2FiMWJhZjciLCJ1c2VySWQiOiIzODM0NDUxMTIifQ==</vt:lpwstr>
  </property>
</Properties>
</file>