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6A8A9F63" w14:textId="77777777" w:rsidR="007E2E2A" w:rsidRDefault="00000000">
      <w:pPr>
        <w:pStyle w:val="a8"/>
        <w:spacing w:after="0" w:line="600" w:lineRule="exact"/>
        <w:rPr>
          <w:rFonts w:asciiTheme="majorEastAsia" w:eastAsiaTheme="majorEastAsia" w:hAnsiTheme="majorEastAsia" w:cstheme="majorEastAsia" w:hint="eastAsia"/>
        </w:rPr>
      </w:pPr>
      <w:r>
        <w:rPr>
          <w:rFonts w:asciiTheme="majorEastAsia" w:eastAsiaTheme="majorEastAsia" w:hAnsiTheme="majorEastAsia" w:cstheme="majorEastAsia" w:hint="eastAsia"/>
        </w:rPr>
        <w:t>附件1</w:t>
      </w:r>
    </w:p>
    <w:p w14:paraId="63119A4A" w14:textId="77777777" w:rsidR="007E2E2A" w:rsidRDefault="00000000">
      <w:pPr>
        <w:spacing w:line="600" w:lineRule="exact"/>
        <w:jc w:val="center"/>
        <w:rPr>
          <w:rFonts w:ascii="方正小标宋简体" w:eastAsia="方正小标宋简体" w:hint="eastAsia"/>
          <w:bCs/>
          <w:sz w:val="44"/>
          <w:szCs w:val="44"/>
        </w:rPr>
      </w:pPr>
      <w:r>
        <w:rPr>
          <w:rFonts w:ascii="方正小标宋简体" w:eastAsia="方正小标宋简体" w:hint="eastAsia"/>
          <w:bCs/>
          <w:sz w:val="44"/>
          <w:szCs w:val="44"/>
        </w:rPr>
        <w:t>北京市2026年电力市场化交易方案</w:t>
      </w:r>
    </w:p>
    <w:p w14:paraId="3558F65B" w14:textId="12E5B6BF" w:rsidR="007E2E2A" w:rsidRDefault="00000000">
      <w:pPr>
        <w:spacing w:line="600" w:lineRule="exact"/>
        <w:jc w:val="center"/>
        <w:rPr>
          <w:rFonts w:ascii="华文楷体" w:eastAsia="华文楷体" w:hAnsi="华文楷体" w:cs="华文楷体" w:hint="eastAsia"/>
          <w:b/>
          <w:bCs/>
        </w:rPr>
      </w:pPr>
      <w:r>
        <w:rPr>
          <w:rFonts w:ascii="华文楷体" w:eastAsia="华文楷体" w:hAnsi="华文楷体" w:cs="华文楷体" w:hint="eastAsia"/>
          <w:b/>
          <w:bCs/>
        </w:rPr>
        <w:t>（</w:t>
      </w:r>
      <w:r w:rsidR="00EE661D">
        <w:rPr>
          <w:rFonts w:ascii="华文楷体" w:eastAsia="华文楷体" w:hAnsi="华文楷体" w:cs="华文楷体" w:hint="eastAsia"/>
          <w:b/>
          <w:bCs/>
        </w:rPr>
        <w:t>征求意见</w:t>
      </w:r>
      <w:r>
        <w:rPr>
          <w:rFonts w:ascii="华文楷体" w:eastAsia="华文楷体" w:hAnsi="华文楷体" w:cs="华文楷体" w:hint="eastAsia"/>
          <w:b/>
          <w:bCs/>
        </w:rPr>
        <w:t>稿）</w:t>
      </w:r>
    </w:p>
    <w:p w14:paraId="30EFC2FF" w14:textId="77777777" w:rsidR="007E2E2A" w:rsidRDefault="007E2E2A">
      <w:pPr>
        <w:spacing w:line="600" w:lineRule="exact"/>
        <w:jc w:val="center"/>
        <w:rPr>
          <w:rFonts w:hint="eastAsia"/>
          <w:sz w:val="44"/>
          <w:szCs w:val="44"/>
        </w:rPr>
      </w:pPr>
    </w:p>
    <w:p w14:paraId="7918847A" w14:textId="77777777" w:rsidR="007E2E2A" w:rsidRDefault="00000000">
      <w:pPr>
        <w:spacing w:line="600" w:lineRule="exact"/>
        <w:ind w:firstLineChars="200" w:firstLine="640"/>
        <w:rPr>
          <w:rFonts w:ascii="仿宋_GB2312" w:hAnsi="仿宋_GB2312" w:cs="仿宋_GB2312" w:hint="eastAsia"/>
          <w:color w:val="000000"/>
        </w:rPr>
      </w:pPr>
      <w:r>
        <w:rPr>
          <w:rFonts w:ascii="仿宋_GB2312" w:hAnsi="仿宋_GB2312" w:cs="仿宋_GB2312" w:hint="eastAsia"/>
          <w:color w:val="000000"/>
        </w:rPr>
        <w:t>为贯彻落实国家发展改革委《关于进一步深化燃煤发电上网电价市场化改革的通知》（</w:t>
      </w:r>
      <w:proofErr w:type="gramStart"/>
      <w:r>
        <w:rPr>
          <w:rFonts w:ascii="仿宋_GB2312" w:hAnsi="仿宋_GB2312" w:cs="仿宋_GB2312" w:hint="eastAsia"/>
          <w:color w:val="000000"/>
        </w:rPr>
        <w:t>发改价格</w:t>
      </w:r>
      <w:proofErr w:type="gramEnd"/>
      <w:r>
        <w:rPr>
          <w:rFonts w:ascii="仿宋_GB2312" w:hAnsi="仿宋_GB2312" w:cs="仿宋_GB2312" w:hint="eastAsia"/>
          <w:color w:val="000000"/>
        </w:rPr>
        <w:t>〔2021〕1439号）、国家发展改革委《电力市场运行基本规则》（2024年第20号令）、国家发展改革委、国家能源局《关于印发&lt;电力中长期市场基本规则&gt;的通知》（征求意见稿）</w:t>
      </w:r>
      <w:r>
        <w:rPr>
          <w:rFonts w:ascii="仿宋_GB2312" w:hAnsi="仿宋_GB2312" w:cs="仿宋_GB2312" w:hint="eastAsia"/>
        </w:rPr>
        <w:t>等文件</w:t>
      </w:r>
      <w:r>
        <w:rPr>
          <w:rFonts w:ascii="仿宋_GB2312" w:hAnsi="仿宋_GB2312" w:cs="仿宋_GB2312" w:hint="eastAsia"/>
          <w:color w:val="000000"/>
        </w:rPr>
        <w:t>要求，持续做好北京地区电力市场化改革，充分发挥电力中长期交易压舱石、稳定器的作用，稳妥推进北京市2026年电力市场化直接交易工作，结合北京市实际，特制定本方案。</w:t>
      </w:r>
    </w:p>
    <w:p w14:paraId="3C9F4657" w14:textId="77777777" w:rsidR="007E2E2A" w:rsidRDefault="00000000">
      <w:pPr>
        <w:spacing w:line="600" w:lineRule="exact"/>
        <w:ind w:firstLineChars="200" w:firstLine="640"/>
        <w:rPr>
          <w:rFonts w:ascii="黑体" w:eastAsia="黑体" w:hAnsi="黑体" w:cs="黑体" w:hint="eastAsia"/>
        </w:rPr>
      </w:pPr>
      <w:r>
        <w:rPr>
          <w:rFonts w:ascii="黑体" w:eastAsia="黑体" w:hAnsi="黑体" w:cs="黑体" w:hint="eastAsia"/>
        </w:rPr>
        <w:t>一、交易电量规模</w:t>
      </w:r>
    </w:p>
    <w:p w14:paraId="455A418F" w14:textId="77777777" w:rsidR="007E2E2A" w:rsidRDefault="00000000">
      <w:pPr>
        <w:spacing w:line="600" w:lineRule="exact"/>
        <w:ind w:firstLineChars="200" w:firstLine="640"/>
        <w:rPr>
          <w:rFonts w:ascii="仿宋_GB2312" w:hAnsi="仿宋_GB2312" w:cs="仿宋_GB2312" w:hint="eastAsia"/>
          <w:color w:val="000000"/>
        </w:rPr>
      </w:pPr>
      <w:r>
        <w:rPr>
          <w:rFonts w:ascii="仿宋_GB2312" w:hAnsi="仿宋_GB2312" w:cs="仿宋_GB2312" w:hint="eastAsia"/>
          <w:color w:val="000000"/>
        </w:rPr>
        <w:t>2026年，北京市电力市场化交易总电量规模拟安排950亿千瓦时，其中，直接市场交易规模350亿千瓦时，电网代理购电规模600亿千瓦时。</w:t>
      </w:r>
    </w:p>
    <w:p w14:paraId="3291EF81" w14:textId="77777777" w:rsidR="007E2E2A" w:rsidRDefault="00000000">
      <w:pPr>
        <w:spacing w:line="600" w:lineRule="exact"/>
        <w:ind w:firstLineChars="200" w:firstLine="640"/>
        <w:rPr>
          <w:rFonts w:ascii="黑体" w:eastAsia="黑体" w:hAnsi="黑体" w:cs="黑体" w:hint="eastAsia"/>
        </w:rPr>
      </w:pPr>
      <w:r>
        <w:rPr>
          <w:rFonts w:ascii="黑体" w:eastAsia="黑体" w:hAnsi="黑体" w:cs="黑体" w:hint="eastAsia"/>
        </w:rPr>
        <w:t>二、市场参与方式</w:t>
      </w:r>
    </w:p>
    <w:p w14:paraId="239DF890" w14:textId="77777777" w:rsidR="007E2E2A" w:rsidRDefault="00000000">
      <w:pPr>
        <w:spacing w:line="600" w:lineRule="exact"/>
        <w:ind w:firstLineChars="200" w:firstLine="640"/>
        <w:rPr>
          <w:rFonts w:ascii="楷体_GB2312" w:eastAsia="楷体_GB2312" w:hAnsi="楷体_GB2312" w:cs="楷体_GB2312" w:hint="eastAsia"/>
          <w:color w:val="000000"/>
        </w:rPr>
      </w:pPr>
      <w:r>
        <w:rPr>
          <w:rFonts w:ascii="楷体_GB2312" w:eastAsia="楷体_GB2312" w:hAnsi="楷体_GB2312" w:cs="楷体_GB2312" w:hint="eastAsia"/>
          <w:color w:val="000000"/>
        </w:rPr>
        <w:t>（一）直接参与市场交易</w:t>
      </w:r>
    </w:p>
    <w:p w14:paraId="7E5577D6" w14:textId="77777777" w:rsidR="007E2E2A" w:rsidRDefault="00000000">
      <w:pPr>
        <w:spacing w:line="600" w:lineRule="exact"/>
        <w:ind w:firstLineChars="200" w:firstLine="640"/>
        <w:rPr>
          <w:rFonts w:ascii="仿宋_GB2312" w:hAnsi="仿宋_GB2312" w:cs="仿宋_GB2312" w:hint="eastAsia"/>
          <w:color w:val="000000"/>
        </w:rPr>
      </w:pPr>
      <w:r>
        <w:rPr>
          <w:rFonts w:ascii="仿宋_GB2312" w:hAnsi="仿宋_GB2312" w:cs="仿宋_GB2312" w:hint="eastAsia"/>
          <w:color w:val="000000"/>
        </w:rPr>
        <w:t>执行工商业电价的电力用户原则上全部直接参与市场交易（直接向发电企业和售电公司购电，下同）。</w:t>
      </w:r>
    </w:p>
    <w:p w14:paraId="2FE3508B" w14:textId="77777777" w:rsidR="007E2E2A" w:rsidRDefault="00000000">
      <w:pPr>
        <w:spacing w:line="600" w:lineRule="exact"/>
        <w:ind w:firstLineChars="200" w:firstLine="640"/>
        <w:rPr>
          <w:rFonts w:ascii="仿宋_GB2312" w:hAnsi="仿宋_GB2312" w:cs="仿宋_GB2312" w:hint="eastAsia"/>
        </w:rPr>
      </w:pPr>
      <w:r>
        <w:rPr>
          <w:rFonts w:ascii="仿宋_GB2312" w:hAnsi="仿宋_GB2312" w:cs="仿宋_GB2312" w:hint="eastAsia"/>
          <w:color w:val="000000"/>
        </w:rPr>
        <w:t>选择直接参与市场交易的电力用户，应在首都电力交易中心</w:t>
      </w:r>
      <w:r>
        <w:rPr>
          <w:rFonts w:ascii="仿宋_GB2312" w:hAnsi="仿宋_GB2312" w:cs="仿宋_GB2312" w:hint="eastAsia"/>
          <w:color w:val="000000"/>
        </w:rPr>
        <w:lastRenderedPageBreak/>
        <w:t>完成市场注册</w:t>
      </w:r>
      <w:r>
        <w:rPr>
          <w:rFonts w:ascii="仿宋_GB2312" w:hAnsi="仿宋_GB2312" w:cs="仿宋_GB2312" w:hint="eastAsia"/>
          <w:color w:val="000000"/>
          <w:shd w:val="clear" w:color="auto" w:fill="FFFFFF"/>
        </w:rPr>
        <w:t>，电力用户可以供用电合同上的单位名称申请入市，也可以缴费人的单位名称申请入市（需获得供用电合同上的单位授权，视同供用电合同上的单位入市）。</w:t>
      </w:r>
      <w:r>
        <w:rPr>
          <w:rFonts w:ascii="仿宋_GB2312" w:hAnsi="仿宋_GB2312" w:cs="仿宋_GB2312" w:hint="eastAsia"/>
          <w:color w:val="000000"/>
        </w:rPr>
        <w:t>其全部电量均应通过直接参与市场交易购买。</w:t>
      </w:r>
      <w:r>
        <w:rPr>
          <w:rFonts w:ascii="仿宋_GB2312" w:hAnsi="仿宋_GB2312" w:cs="仿宋_GB2312" w:hint="eastAsia"/>
          <w:color w:val="000000"/>
          <w:shd w:val="clear" w:color="auto" w:fill="FFFFFF"/>
        </w:rPr>
        <w:t>鼓励年用电量超过500万千瓦时的用户与发电企业开展电力直接交易。</w:t>
      </w:r>
    </w:p>
    <w:p w14:paraId="3E95AB74" w14:textId="77777777" w:rsidR="007E2E2A" w:rsidRDefault="00000000">
      <w:pPr>
        <w:spacing w:line="600" w:lineRule="exact"/>
        <w:ind w:firstLineChars="200" w:firstLine="640"/>
        <w:rPr>
          <w:rFonts w:ascii="楷体_GB2312" w:eastAsia="楷体_GB2312" w:hAnsi="楷体_GB2312" w:cs="楷体_GB2312" w:hint="eastAsia"/>
          <w:color w:val="000000"/>
        </w:rPr>
      </w:pPr>
      <w:r>
        <w:rPr>
          <w:rFonts w:ascii="楷体_GB2312" w:eastAsia="楷体_GB2312" w:hAnsi="楷体_GB2312" w:cs="楷体_GB2312" w:hint="eastAsia"/>
          <w:color w:val="000000"/>
        </w:rPr>
        <w:t>（二）电网代理购电</w:t>
      </w:r>
    </w:p>
    <w:p w14:paraId="0EDF5B82" w14:textId="77777777" w:rsidR="007E2E2A" w:rsidRDefault="00000000">
      <w:pPr>
        <w:spacing w:line="600" w:lineRule="exact"/>
        <w:ind w:firstLineChars="200" w:firstLine="640"/>
        <w:rPr>
          <w:rFonts w:ascii="仿宋_GB2312" w:hAnsi="仿宋_GB2312" w:cs="仿宋_GB2312" w:hint="eastAsia"/>
          <w:color w:val="000000"/>
          <w:shd w:val="clear" w:color="auto" w:fill="FFFFFF"/>
        </w:rPr>
      </w:pPr>
      <w:r>
        <w:rPr>
          <w:rFonts w:ascii="仿宋_GB2312" w:hAnsi="仿宋_GB2312" w:cs="仿宋_GB2312" w:hint="eastAsia"/>
          <w:color w:val="000000"/>
        </w:rPr>
        <w:t>对暂未直接参与市场交易的电力用户，</w:t>
      </w:r>
      <w:proofErr w:type="gramStart"/>
      <w:r>
        <w:rPr>
          <w:rFonts w:ascii="仿宋_GB2312" w:hAnsi="仿宋_GB2312" w:cs="仿宋_GB2312" w:hint="eastAsia"/>
          <w:color w:val="000000"/>
        </w:rPr>
        <w:t>由国网北京市</w:t>
      </w:r>
      <w:proofErr w:type="gramEnd"/>
      <w:r>
        <w:rPr>
          <w:rFonts w:ascii="仿宋_GB2312" w:hAnsi="仿宋_GB2312" w:cs="仿宋_GB2312" w:hint="eastAsia"/>
          <w:color w:val="000000"/>
        </w:rPr>
        <w:t>电力公司代理购电；已直接参与市场交易又退出的电力用户，以用户编号为单位，</w:t>
      </w:r>
      <w:proofErr w:type="gramStart"/>
      <w:r>
        <w:rPr>
          <w:rFonts w:ascii="仿宋_GB2312" w:hAnsi="仿宋_GB2312" w:cs="仿宋_GB2312" w:hint="eastAsia"/>
          <w:color w:val="000000"/>
        </w:rPr>
        <w:t>由国网北京市</w:t>
      </w:r>
      <w:proofErr w:type="gramEnd"/>
      <w:r>
        <w:rPr>
          <w:rFonts w:ascii="仿宋_GB2312" w:hAnsi="仿宋_GB2312" w:cs="仿宋_GB2312" w:hint="eastAsia"/>
          <w:color w:val="000000"/>
        </w:rPr>
        <w:t>电力公司代理购电，</w:t>
      </w:r>
      <w:r>
        <w:rPr>
          <w:rFonts w:ascii="仿宋_GB2312" w:hAnsi="仿宋_GB2312" w:cs="仿宋_GB2312" w:hint="eastAsia"/>
          <w:color w:val="000000"/>
          <w:shd w:val="clear" w:color="auto" w:fill="FFFFFF"/>
        </w:rPr>
        <w:t>其用电价格按照国家有关政策文件执行。</w:t>
      </w:r>
    </w:p>
    <w:p w14:paraId="29C63FF4" w14:textId="77777777" w:rsidR="007E2E2A" w:rsidRDefault="00000000">
      <w:pPr>
        <w:spacing w:line="600" w:lineRule="exact"/>
        <w:ind w:firstLineChars="200" w:firstLine="640"/>
        <w:rPr>
          <w:rFonts w:ascii="仿宋_GB2312" w:hAnsi="仿宋_GB2312" w:cs="仿宋_GB2312" w:hint="eastAsia"/>
          <w:color w:val="000000"/>
        </w:rPr>
      </w:pPr>
      <w:proofErr w:type="gramStart"/>
      <w:r>
        <w:rPr>
          <w:rFonts w:ascii="仿宋_GB2312" w:hAnsi="仿宋_GB2312" w:cs="仿宋_GB2312" w:hint="eastAsia"/>
          <w:color w:val="000000"/>
          <w:shd w:val="clear" w:color="auto" w:fill="FFFFFF"/>
        </w:rPr>
        <w:t>由国网北京市</w:t>
      </w:r>
      <w:proofErr w:type="gramEnd"/>
      <w:r>
        <w:rPr>
          <w:rFonts w:ascii="仿宋_GB2312" w:hAnsi="仿宋_GB2312" w:cs="仿宋_GB2312" w:hint="eastAsia"/>
          <w:color w:val="000000"/>
          <w:shd w:val="clear" w:color="auto" w:fill="FFFFFF"/>
        </w:rPr>
        <w:t>电力公司代理购电的工商业用户，可在每月20日前，在首都电力交易平台完成注册，</w:t>
      </w:r>
      <w:proofErr w:type="gramStart"/>
      <w:r>
        <w:rPr>
          <w:rFonts w:ascii="仿宋_GB2312" w:hAnsi="仿宋_GB2312" w:cs="仿宋_GB2312" w:hint="eastAsia"/>
          <w:color w:val="000000"/>
          <w:shd w:val="clear" w:color="auto" w:fill="FFFFFF"/>
        </w:rPr>
        <w:t>选择自</w:t>
      </w:r>
      <w:proofErr w:type="gramEnd"/>
      <w:r>
        <w:rPr>
          <w:rFonts w:ascii="仿宋_GB2312" w:hAnsi="仿宋_GB2312" w:cs="仿宋_GB2312" w:hint="eastAsia"/>
          <w:color w:val="000000"/>
          <w:shd w:val="clear" w:color="auto" w:fill="FFFFFF"/>
        </w:rPr>
        <w:t>下月起直接参与市场交易，</w:t>
      </w:r>
      <w:proofErr w:type="gramStart"/>
      <w:r>
        <w:rPr>
          <w:rFonts w:ascii="仿宋_GB2312" w:hAnsi="仿宋_GB2312" w:cs="仿宋_GB2312" w:hint="eastAsia"/>
          <w:color w:val="000000"/>
          <w:shd w:val="clear" w:color="auto" w:fill="FFFFFF"/>
        </w:rPr>
        <w:t>国网北京市</w:t>
      </w:r>
      <w:proofErr w:type="gramEnd"/>
      <w:r>
        <w:rPr>
          <w:rFonts w:ascii="仿宋_GB2312" w:hAnsi="仿宋_GB2312" w:cs="仿宋_GB2312" w:hint="eastAsia"/>
          <w:color w:val="000000"/>
          <w:shd w:val="clear" w:color="auto" w:fill="FFFFFF"/>
        </w:rPr>
        <w:t>电力公司代理购电相应终止。首都电</w:t>
      </w:r>
      <w:r>
        <w:rPr>
          <w:rFonts w:ascii="仿宋_GB2312" w:hAnsi="仿宋_GB2312" w:cs="仿宋_GB2312" w:hint="eastAsia"/>
          <w:color w:val="000000"/>
          <w:spacing w:val="6"/>
          <w:shd w:val="clear" w:color="auto" w:fill="FFFFFF"/>
        </w:rPr>
        <w:t>力交易</w:t>
      </w:r>
      <w:r>
        <w:rPr>
          <w:rFonts w:ascii="仿宋_GB2312" w:hAnsi="仿宋_GB2312" w:cs="仿宋_GB2312" w:hint="eastAsia"/>
          <w:color w:val="000000"/>
          <w:spacing w:val="6"/>
        </w:rPr>
        <w:t>中心应将上述变更信息于2日内</w:t>
      </w:r>
      <w:proofErr w:type="gramStart"/>
      <w:r>
        <w:rPr>
          <w:rFonts w:ascii="仿宋_GB2312" w:hAnsi="仿宋_GB2312" w:cs="仿宋_GB2312" w:hint="eastAsia"/>
          <w:color w:val="000000"/>
          <w:spacing w:val="6"/>
        </w:rPr>
        <w:t>告知国网</w:t>
      </w:r>
      <w:proofErr w:type="gramEnd"/>
      <w:r>
        <w:rPr>
          <w:rFonts w:ascii="仿宋_GB2312" w:hAnsi="仿宋_GB2312" w:cs="仿宋_GB2312" w:hint="eastAsia"/>
          <w:color w:val="000000"/>
          <w:spacing w:val="6"/>
        </w:rPr>
        <w:t>北京市电力公司。</w:t>
      </w:r>
    </w:p>
    <w:p w14:paraId="3590302F" w14:textId="77777777" w:rsidR="007E2E2A" w:rsidRDefault="00000000">
      <w:pPr>
        <w:spacing w:line="600" w:lineRule="exact"/>
        <w:ind w:firstLineChars="200" w:firstLine="640"/>
        <w:rPr>
          <w:rFonts w:ascii="黑体" w:eastAsia="黑体" w:hAnsi="黑体" w:cs="黑体" w:hint="eastAsia"/>
        </w:rPr>
      </w:pPr>
      <w:r>
        <w:rPr>
          <w:rFonts w:ascii="黑体" w:eastAsia="黑体" w:hAnsi="黑体" w:cs="黑体" w:hint="eastAsia"/>
        </w:rPr>
        <w:t>三、交易组织安排</w:t>
      </w:r>
    </w:p>
    <w:p w14:paraId="77954BEB" w14:textId="77777777" w:rsidR="007E2E2A" w:rsidRDefault="00000000">
      <w:pPr>
        <w:spacing w:line="600" w:lineRule="exact"/>
        <w:ind w:firstLineChars="200" w:firstLine="640"/>
        <w:rPr>
          <w:rFonts w:ascii="仿宋_GB2312" w:hAnsi="仿宋_GB2312" w:cs="仿宋_GB2312" w:hint="eastAsia"/>
          <w:color w:val="000000"/>
        </w:rPr>
      </w:pPr>
      <w:r>
        <w:rPr>
          <w:rFonts w:ascii="仿宋_GB2312" w:hAnsi="仿宋_GB2312" w:cs="仿宋_GB2312" w:hint="eastAsia"/>
          <w:color w:val="000000"/>
        </w:rPr>
        <w:t>北京市电力市场化交易工作由北京电力交易中心、首都电力交易中心共同组织开展。</w:t>
      </w:r>
    </w:p>
    <w:p w14:paraId="358E7633" w14:textId="77777777" w:rsidR="007E2E2A" w:rsidRDefault="00000000">
      <w:pPr>
        <w:spacing w:line="600" w:lineRule="exact"/>
        <w:ind w:firstLineChars="200" w:firstLine="640"/>
        <w:rPr>
          <w:rFonts w:ascii="楷体_GB2312" w:eastAsia="楷体_GB2312" w:hAnsi="楷体_GB2312" w:cs="楷体_GB2312" w:hint="eastAsia"/>
        </w:rPr>
      </w:pPr>
      <w:r>
        <w:rPr>
          <w:rFonts w:ascii="楷体_GB2312" w:eastAsia="楷体_GB2312" w:hAnsi="楷体_GB2312" w:cs="楷体_GB2312" w:hint="eastAsia"/>
        </w:rPr>
        <w:t>（一）市场成员</w:t>
      </w:r>
    </w:p>
    <w:p w14:paraId="355957DF" w14:textId="77777777" w:rsidR="007E2E2A" w:rsidRDefault="00000000">
      <w:pPr>
        <w:spacing w:line="600" w:lineRule="exact"/>
        <w:ind w:firstLineChars="200" w:firstLine="640"/>
        <w:rPr>
          <w:rFonts w:ascii="仿宋_GB2312" w:hAnsi="仿宋_GB2312" w:cs="仿宋_GB2312" w:hint="eastAsia"/>
          <w:color w:val="000000"/>
        </w:rPr>
      </w:pPr>
      <w:r>
        <w:rPr>
          <w:rFonts w:ascii="仿宋_GB2312" w:hAnsi="仿宋_GB2312" w:cs="仿宋_GB2312" w:hint="eastAsia"/>
          <w:color w:val="000000"/>
        </w:rPr>
        <w:t>1.发电企业</w:t>
      </w:r>
    </w:p>
    <w:p w14:paraId="3F8CDB95" w14:textId="77777777" w:rsidR="007E2E2A" w:rsidRDefault="00000000">
      <w:pPr>
        <w:spacing w:line="600" w:lineRule="exact"/>
        <w:ind w:firstLineChars="200" w:firstLine="640"/>
        <w:rPr>
          <w:rFonts w:ascii="仿宋_GB2312" w:hAnsi="仿宋_GB2312" w:cs="仿宋_GB2312" w:hint="eastAsia"/>
          <w:color w:val="000000"/>
        </w:rPr>
      </w:pPr>
      <w:r>
        <w:rPr>
          <w:rFonts w:ascii="仿宋_GB2312" w:hAnsi="仿宋_GB2312" w:cs="仿宋_GB2312" w:hint="eastAsia"/>
          <w:color w:val="000000"/>
        </w:rPr>
        <w:t>符合国家能源局《电力市场注册基本规则》（国能发监管</w:t>
      </w:r>
      <w:proofErr w:type="gramStart"/>
      <w:r>
        <w:rPr>
          <w:rFonts w:ascii="仿宋_GB2312" w:hAnsi="仿宋_GB2312" w:cs="仿宋_GB2312" w:hint="eastAsia"/>
          <w:color w:val="000000"/>
        </w:rPr>
        <w:t>规</w:t>
      </w:r>
      <w:proofErr w:type="gramEnd"/>
      <w:r>
        <w:rPr>
          <w:rFonts w:ascii="仿宋_GB2312" w:hAnsi="仿宋_GB2312" w:cs="仿宋_GB2312" w:hint="eastAsia"/>
          <w:color w:val="000000"/>
        </w:rPr>
        <w:lastRenderedPageBreak/>
        <w:t>〔2024〕76号）等有关要求的发电企业，具体以电力交易中心公告为准。</w:t>
      </w:r>
    </w:p>
    <w:p w14:paraId="19D0A73E" w14:textId="77777777" w:rsidR="007E2E2A" w:rsidRDefault="00000000">
      <w:pPr>
        <w:spacing w:line="600" w:lineRule="exact"/>
        <w:ind w:firstLineChars="200" w:firstLine="640"/>
        <w:rPr>
          <w:rFonts w:ascii="仿宋_GB2312" w:hAnsi="仿宋_GB2312" w:cs="仿宋_GB2312" w:hint="eastAsia"/>
          <w:color w:val="000000"/>
        </w:rPr>
      </w:pPr>
      <w:r>
        <w:rPr>
          <w:rFonts w:ascii="仿宋_GB2312" w:hAnsi="仿宋_GB2312" w:cs="仿宋_GB2312" w:hint="eastAsia"/>
          <w:color w:val="000000"/>
        </w:rPr>
        <w:t>2.售电公司</w:t>
      </w:r>
    </w:p>
    <w:p w14:paraId="74ACAD44" w14:textId="77777777" w:rsidR="007E2E2A" w:rsidRDefault="00000000">
      <w:pPr>
        <w:spacing w:line="600" w:lineRule="exact"/>
        <w:ind w:firstLineChars="200" w:firstLine="640"/>
        <w:rPr>
          <w:rFonts w:ascii="仿宋_GB2312" w:hAnsi="仿宋_GB2312" w:cs="仿宋_GB2312" w:hint="eastAsia"/>
          <w:color w:val="000000"/>
        </w:rPr>
      </w:pPr>
      <w:r>
        <w:rPr>
          <w:rFonts w:ascii="仿宋_GB2312" w:hAnsi="仿宋_GB2312" w:cs="仿宋_GB2312" w:hint="eastAsia"/>
          <w:color w:val="000000"/>
        </w:rPr>
        <w:t>在首都电力交易平台注册生效的售电公司。</w:t>
      </w:r>
    </w:p>
    <w:p w14:paraId="1F800F4D" w14:textId="77777777" w:rsidR="007E2E2A" w:rsidRDefault="00000000">
      <w:pPr>
        <w:spacing w:line="600" w:lineRule="exact"/>
        <w:ind w:firstLineChars="200" w:firstLine="640"/>
        <w:rPr>
          <w:rFonts w:ascii="仿宋_GB2312" w:hAnsi="仿宋_GB2312" w:cs="仿宋_GB2312" w:hint="eastAsia"/>
          <w:color w:val="000000"/>
        </w:rPr>
      </w:pPr>
      <w:r>
        <w:rPr>
          <w:rFonts w:ascii="仿宋_GB2312" w:hAnsi="仿宋_GB2312" w:cs="仿宋_GB2312" w:hint="eastAsia"/>
          <w:color w:val="000000"/>
        </w:rPr>
        <w:t>3.电力用户</w:t>
      </w:r>
    </w:p>
    <w:p w14:paraId="0ED7D1B8" w14:textId="77777777" w:rsidR="007E2E2A" w:rsidRDefault="00000000">
      <w:pPr>
        <w:spacing w:line="600" w:lineRule="exact"/>
        <w:ind w:firstLineChars="200" w:firstLine="640"/>
        <w:rPr>
          <w:rFonts w:ascii="仿宋_GB2312" w:hAnsi="仿宋_GB2312" w:cs="仿宋_GB2312" w:hint="eastAsia"/>
          <w:color w:val="000000"/>
        </w:rPr>
      </w:pPr>
      <w:r>
        <w:rPr>
          <w:rFonts w:ascii="仿宋_GB2312" w:hAnsi="仿宋_GB2312" w:cs="仿宋_GB2312" w:hint="eastAsia"/>
          <w:color w:val="000000"/>
        </w:rPr>
        <w:t>在首都电力交易平台注册生效的电力用户分为批发用户和零售用户，并按照注册类型，分别参与批发市场和零售市场。</w:t>
      </w:r>
    </w:p>
    <w:p w14:paraId="08954408" w14:textId="77777777" w:rsidR="007E2E2A" w:rsidRDefault="00000000">
      <w:pPr>
        <w:spacing w:line="600" w:lineRule="exact"/>
        <w:ind w:firstLineChars="200" w:firstLine="640"/>
        <w:rPr>
          <w:rFonts w:ascii="仿宋_GB2312" w:hAnsi="仿宋_GB2312" w:cs="仿宋_GB2312" w:hint="eastAsia"/>
          <w:color w:val="000000"/>
        </w:rPr>
      </w:pPr>
      <w:r>
        <w:rPr>
          <w:rFonts w:ascii="仿宋_GB2312" w:hAnsi="仿宋_GB2312" w:cs="仿宋_GB2312" w:hint="eastAsia"/>
          <w:color w:val="000000"/>
        </w:rPr>
        <w:t>4.电力市场运营机构</w:t>
      </w:r>
    </w:p>
    <w:p w14:paraId="615FA59F" w14:textId="77777777" w:rsidR="007E2E2A" w:rsidRDefault="00000000">
      <w:pPr>
        <w:spacing w:line="600" w:lineRule="exact"/>
        <w:ind w:firstLineChars="200" w:firstLine="640"/>
        <w:rPr>
          <w:rFonts w:ascii="仿宋_GB2312" w:hAnsi="仿宋_GB2312" w:cs="仿宋_GB2312" w:hint="eastAsia"/>
          <w:color w:val="000000"/>
        </w:rPr>
      </w:pPr>
      <w:r>
        <w:rPr>
          <w:rFonts w:ascii="仿宋_GB2312" w:hAnsi="仿宋_GB2312" w:cs="仿宋_GB2312" w:hint="eastAsia"/>
          <w:color w:val="000000"/>
        </w:rPr>
        <w:t>包括北京电力交易中心市场交易二部、首都电力交易中心；华北电力</w:t>
      </w:r>
      <w:r>
        <w:rPr>
          <w:rFonts w:ascii="仿宋_GB2312" w:hAnsi="仿宋_GB2312" w:cs="仿宋_GB2312" w:hint="eastAsia"/>
        </w:rPr>
        <w:t>调度控制中心</w:t>
      </w:r>
      <w:r>
        <w:rPr>
          <w:rFonts w:ascii="仿宋_GB2312" w:hAnsi="仿宋_GB2312" w:cs="仿宋_GB2312" w:hint="eastAsia"/>
          <w:color w:val="000000"/>
        </w:rPr>
        <w:t>、</w:t>
      </w:r>
      <w:r>
        <w:rPr>
          <w:rFonts w:ascii="仿宋_GB2312" w:hAnsi="仿宋_GB2312" w:cs="仿宋_GB2312" w:hint="eastAsia"/>
        </w:rPr>
        <w:t>北京电力调度控制中心等。</w:t>
      </w:r>
    </w:p>
    <w:p w14:paraId="2D619FE0" w14:textId="77777777" w:rsidR="007E2E2A" w:rsidRDefault="00000000">
      <w:pPr>
        <w:spacing w:line="600" w:lineRule="exact"/>
        <w:ind w:firstLineChars="200" w:firstLine="640"/>
        <w:rPr>
          <w:rFonts w:ascii="楷体_GB2312" w:eastAsia="楷体_GB2312" w:hAnsi="楷体_GB2312" w:cs="楷体_GB2312" w:hint="eastAsia"/>
        </w:rPr>
      </w:pPr>
      <w:r>
        <w:rPr>
          <w:rFonts w:ascii="楷体_GB2312" w:eastAsia="楷体_GB2312" w:hAnsi="楷体_GB2312" w:cs="楷体_GB2312" w:hint="eastAsia"/>
        </w:rPr>
        <w:t>（二）交易组织具体方式</w:t>
      </w:r>
    </w:p>
    <w:p w14:paraId="153F296C" w14:textId="77777777" w:rsidR="007E2E2A" w:rsidRDefault="00000000">
      <w:pPr>
        <w:spacing w:line="600" w:lineRule="exact"/>
        <w:ind w:firstLineChars="200" w:firstLine="640"/>
        <w:rPr>
          <w:rFonts w:ascii="仿宋_GB2312" w:hAnsi="仿宋_GB2312" w:cs="仿宋_GB2312" w:hint="eastAsia"/>
          <w:color w:val="000000"/>
        </w:rPr>
      </w:pPr>
      <w:r>
        <w:rPr>
          <w:rFonts w:ascii="仿宋_GB2312" w:hAnsi="仿宋_GB2312" w:cs="仿宋_GB2312" w:hint="eastAsia"/>
          <w:color w:val="000000"/>
        </w:rPr>
        <w:t>1.交易方式</w:t>
      </w:r>
    </w:p>
    <w:p w14:paraId="3324CDEE" w14:textId="77777777" w:rsidR="007E2E2A" w:rsidRDefault="00000000">
      <w:pPr>
        <w:spacing w:line="600" w:lineRule="exact"/>
        <w:ind w:firstLineChars="200" w:firstLine="640"/>
        <w:rPr>
          <w:rFonts w:ascii="仿宋_GB2312" w:hAnsi="仿宋_GB2312" w:cs="仿宋_GB2312" w:hint="eastAsia"/>
          <w:color w:val="000000"/>
        </w:rPr>
      </w:pPr>
      <w:r>
        <w:rPr>
          <w:rFonts w:ascii="仿宋_GB2312" w:hAnsi="仿宋_GB2312" w:cs="仿宋_GB2312" w:hint="eastAsia"/>
          <w:color w:val="000000"/>
        </w:rPr>
        <w:t>（1）为贯彻落实国家电力市场化改革工作部署，</w:t>
      </w:r>
      <w:r>
        <w:rPr>
          <w:rFonts w:ascii="仿宋_GB2312" w:hAnsi="仿宋_GB2312" w:cs="仿宋_GB2312" w:hint="eastAsia"/>
        </w:rPr>
        <w:t>2026年北京市采用双边协商、集中交易等方式开展分时段电力中长期交易。</w:t>
      </w:r>
      <w:r>
        <w:rPr>
          <w:rFonts w:ascii="仿宋_GB2312" w:hAnsi="仿宋_GB2312" w:cs="仿宋_GB2312" w:hint="eastAsia"/>
          <w:color w:val="000000"/>
        </w:rPr>
        <w:t>交易周期包含年度、月度、月内等。年度交易按月申报，以双边协商为主，月度、月内交易以集中竞价为主</w:t>
      </w:r>
      <w:r>
        <w:rPr>
          <w:rFonts w:ascii="仿宋_GB2312" w:hAnsi="仿宋_GB2312" w:cs="仿宋_GB2312" w:hint="eastAsia"/>
          <w:color w:val="000000"/>
          <w:kern w:val="0"/>
          <w:lang w:bidi="ar"/>
        </w:rPr>
        <w:t>采用双边协商方式时，发、用双方协商确定电量曲线；</w:t>
      </w:r>
      <w:r>
        <w:rPr>
          <w:rFonts w:ascii="仿宋_GB2312" w:hAnsi="仿宋_GB2312" w:cs="仿宋_GB2312" w:hint="eastAsia"/>
          <w:color w:val="000000"/>
        </w:rPr>
        <w:t>当采用集中竞价交易时，成交电量默认按北京典型负荷曲线电量比例分解，具体内容按照电力交易中心发布的交易公告执行。电网企业代理购电交易方式按照国家、北京市有关文件规定执行。</w:t>
      </w:r>
    </w:p>
    <w:p w14:paraId="25FCF80F" w14:textId="77777777" w:rsidR="007E2E2A" w:rsidRDefault="00000000">
      <w:pPr>
        <w:spacing w:line="600" w:lineRule="exact"/>
        <w:ind w:firstLineChars="200" w:firstLine="640"/>
        <w:rPr>
          <w:rFonts w:ascii="仿宋_GB2312" w:hAnsi="仿宋_GB2312" w:cs="仿宋_GB2312" w:hint="eastAsia"/>
        </w:rPr>
      </w:pPr>
      <w:r>
        <w:rPr>
          <w:rFonts w:ascii="仿宋_GB2312" w:hAnsi="仿宋_GB2312" w:cs="仿宋_GB2312" w:hint="eastAsia"/>
          <w:color w:val="000000"/>
        </w:rPr>
        <w:t>（2）</w:t>
      </w:r>
      <w:r>
        <w:rPr>
          <w:rFonts w:ascii="仿宋_GB2312" w:hAnsi="仿宋_GB2312" w:cs="仿宋_GB2312" w:hint="eastAsia"/>
        </w:rPr>
        <w:t>合同电量转让交易按照华北能源监管局及北京地区有</w:t>
      </w:r>
      <w:r>
        <w:rPr>
          <w:rFonts w:ascii="仿宋_GB2312" w:hAnsi="仿宋_GB2312" w:cs="仿宋_GB2312" w:hint="eastAsia"/>
        </w:rPr>
        <w:lastRenderedPageBreak/>
        <w:t>关规则执行。</w:t>
      </w:r>
    </w:p>
    <w:p w14:paraId="74C50DB2" w14:textId="77777777" w:rsidR="007E2E2A" w:rsidRDefault="00000000">
      <w:pPr>
        <w:spacing w:line="600" w:lineRule="exact"/>
        <w:ind w:firstLineChars="200" w:firstLine="640"/>
        <w:rPr>
          <w:rFonts w:ascii="仿宋_GB2312" w:hAnsi="仿宋_GB2312" w:cs="仿宋_GB2312" w:hint="eastAsia"/>
          <w:color w:val="000000"/>
        </w:rPr>
      </w:pPr>
      <w:r>
        <w:rPr>
          <w:rFonts w:ascii="仿宋_GB2312" w:hAnsi="仿宋_GB2312" w:cs="仿宋_GB2312" w:hint="eastAsia"/>
          <w:color w:val="000000"/>
        </w:rPr>
        <w:t>2.交易单元</w:t>
      </w:r>
    </w:p>
    <w:p w14:paraId="46AB52FC" w14:textId="77777777" w:rsidR="007E2E2A" w:rsidRDefault="00000000">
      <w:pPr>
        <w:spacing w:line="600" w:lineRule="exact"/>
        <w:ind w:firstLineChars="200" w:firstLine="640"/>
        <w:rPr>
          <w:rFonts w:ascii="仿宋_GB2312" w:hAnsi="仿宋_GB2312" w:cs="仿宋_GB2312" w:hint="eastAsia"/>
          <w:color w:val="000000"/>
        </w:rPr>
      </w:pPr>
      <w:r>
        <w:rPr>
          <w:rFonts w:ascii="仿宋_GB2312" w:hAnsi="仿宋_GB2312" w:cs="仿宋_GB2312" w:hint="eastAsia"/>
          <w:color w:val="000000"/>
        </w:rPr>
        <w:t>发电企业：将在交易平台注册生效的发电企业所属机组统一打包参与交易。</w:t>
      </w:r>
    </w:p>
    <w:p w14:paraId="359B67FC" w14:textId="77777777" w:rsidR="007E2E2A" w:rsidRDefault="00000000">
      <w:pPr>
        <w:spacing w:line="600" w:lineRule="exact"/>
        <w:ind w:firstLineChars="200" w:firstLine="640"/>
        <w:rPr>
          <w:rFonts w:ascii="仿宋_GB2312" w:hAnsi="仿宋_GB2312" w:cs="仿宋_GB2312" w:hint="eastAsia"/>
          <w:color w:val="000000"/>
        </w:rPr>
      </w:pPr>
      <w:r>
        <w:rPr>
          <w:rFonts w:ascii="仿宋_GB2312" w:hAnsi="仿宋_GB2312" w:cs="仿宋_GB2312" w:hint="eastAsia"/>
          <w:color w:val="000000"/>
        </w:rPr>
        <w:t>电力用户：将同一注册用户全部电压等级的用电单元统一打包参与交易。</w:t>
      </w:r>
    </w:p>
    <w:p w14:paraId="25F1119B" w14:textId="77777777" w:rsidR="007E2E2A" w:rsidRDefault="00000000">
      <w:pPr>
        <w:spacing w:line="600" w:lineRule="exact"/>
        <w:ind w:firstLineChars="200" w:firstLine="640"/>
        <w:rPr>
          <w:rFonts w:ascii="仿宋_GB2312" w:hAnsi="仿宋_GB2312" w:cs="仿宋_GB2312" w:hint="eastAsia"/>
          <w:color w:val="000000"/>
        </w:rPr>
      </w:pPr>
      <w:r>
        <w:rPr>
          <w:rFonts w:ascii="仿宋_GB2312" w:hAnsi="仿宋_GB2312" w:cs="仿宋_GB2312" w:hint="eastAsia"/>
          <w:color w:val="000000"/>
        </w:rPr>
        <w:t>售电公司：将所代理用户全部电压等级的用电单元统一打包参与交易。</w:t>
      </w:r>
    </w:p>
    <w:p w14:paraId="2C3D1FBB" w14:textId="77777777" w:rsidR="007E2E2A" w:rsidRDefault="00000000">
      <w:pPr>
        <w:spacing w:line="600" w:lineRule="exact"/>
        <w:ind w:firstLineChars="200" w:firstLine="640"/>
        <w:rPr>
          <w:rFonts w:ascii="仿宋_GB2312" w:hAnsi="仿宋_GB2312" w:cs="仿宋_GB2312" w:hint="eastAsia"/>
          <w:color w:val="000000"/>
        </w:rPr>
      </w:pPr>
      <w:proofErr w:type="gramStart"/>
      <w:r>
        <w:rPr>
          <w:rFonts w:ascii="仿宋_GB2312" w:hAnsi="仿宋_GB2312" w:cs="仿宋_GB2312" w:hint="eastAsia"/>
          <w:color w:val="000000"/>
        </w:rPr>
        <w:t>国网北京市</w:t>
      </w:r>
      <w:proofErr w:type="gramEnd"/>
      <w:r>
        <w:rPr>
          <w:rFonts w:ascii="仿宋_GB2312" w:hAnsi="仿宋_GB2312" w:cs="仿宋_GB2312" w:hint="eastAsia"/>
          <w:color w:val="000000"/>
        </w:rPr>
        <w:t>电力公司：将所代理用户全部电压等级的用户编号统一打包参与交易。</w:t>
      </w:r>
    </w:p>
    <w:p w14:paraId="3FF71A28" w14:textId="77777777" w:rsidR="007E2E2A" w:rsidRDefault="00000000">
      <w:pPr>
        <w:spacing w:line="600" w:lineRule="exact"/>
        <w:ind w:firstLineChars="200" w:firstLine="640"/>
        <w:rPr>
          <w:rFonts w:ascii="仿宋_GB2312" w:hAnsi="仿宋_GB2312" w:cs="仿宋_GB2312" w:hint="eastAsia"/>
          <w:color w:val="000000"/>
        </w:rPr>
      </w:pPr>
      <w:r>
        <w:rPr>
          <w:rFonts w:ascii="仿宋_GB2312" w:hAnsi="仿宋_GB2312" w:cs="仿宋_GB2312" w:hint="eastAsia"/>
          <w:color w:val="000000"/>
        </w:rPr>
        <w:t>3.安全校核</w:t>
      </w:r>
    </w:p>
    <w:p w14:paraId="05B3467A" w14:textId="77777777" w:rsidR="007E2E2A" w:rsidRDefault="00000000">
      <w:pPr>
        <w:spacing w:line="600" w:lineRule="exact"/>
        <w:ind w:firstLineChars="200" w:firstLine="640"/>
        <w:rPr>
          <w:rFonts w:ascii="仿宋_GB2312" w:hAnsi="仿宋_GB2312" w:cs="仿宋_GB2312" w:hint="eastAsia"/>
          <w:color w:val="000000"/>
        </w:rPr>
      </w:pPr>
      <w:proofErr w:type="gramStart"/>
      <w:r>
        <w:rPr>
          <w:rFonts w:ascii="仿宋_GB2312" w:hAnsi="仿宋_GB2312" w:cs="仿宋_GB2312" w:hint="eastAsia"/>
          <w:color w:val="000000"/>
        </w:rPr>
        <w:t>由国网华北分部</w:t>
      </w:r>
      <w:proofErr w:type="gramEnd"/>
      <w:r>
        <w:rPr>
          <w:rFonts w:ascii="仿宋_GB2312" w:hAnsi="仿宋_GB2312" w:cs="仿宋_GB2312" w:hint="eastAsia"/>
          <w:color w:val="000000"/>
        </w:rPr>
        <w:t>电力调度控制中心会同相关电力调度机构协调开展直接交易安全校核工作。</w:t>
      </w:r>
    </w:p>
    <w:p w14:paraId="49A376E9" w14:textId="77777777" w:rsidR="007E2E2A" w:rsidRDefault="00000000">
      <w:pPr>
        <w:spacing w:line="600" w:lineRule="exact"/>
        <w:ind w:firstLineChars="200" w:firstLine="640"/>
        <w:rPr>
          <w:rFonts w:ascii="仿宋_GB2312" w:hAnsi="仿宋_GB2312" w:cs="仿宋_GB2312" w:hint="eastAsia"/>
          <w:color w:val="000000"/>
        </w:rPr>
      </w:pPr>
      <w:r>
        <w:rPr>
          <w:rFonts w:ascii="仿宋_GB2312" w:hAnsi="仿宋_GB2312" w:cs="仿宋_GB2312" w:hint="eastAsia"/>
          <w:color w:val="000000"/>
        </w:rPr>
        <w:t>4.交易结果发布</w:t>
      </w:r>
    </w:p>
    <w:p w14:paraId="1F159227" w14:textId="77777777" w:rsidR="007E2E2A" w:rsidRDefault="00000000">
      <w:pPr>
        <w:spacing w:line="600" w:lineRule="exact"/>
        <w:ind w:firstLineChars="200" w:firstLine="640"/>
        <w:rPr>
          <w:rFonts w:ascii="仿宋_GB2312" w:hAnsi="仿宋_GB2312" w:cs="仿宋_GB2312" w:hint="eastAsia"/>
          <w:color w:val="000000"/>
        </w:rPr>
      </w:pPr>
      <w:r>
        <w:rPr>
          <w:rFonts w:ascii="仿宋_GB2312" w:hAnsi="仿宋_GB2312" w:cs="仿宋_GB2312" w:hint="eastAsia"/>
          <w:color w:val="000000"/>
        </w:rPr>
        <w:t>由北京电力交易中心、首都电力交易中心发布交易结果。交易结果一经电力交易平台发布即作为交易执行依据，交易各方不再签订纸质合同。</w:t>
      </w:r>
    </w:p>
    <w:p w14:paraId="19949CEA" w14:textId="77777777" w:rsidR="007E2E2A" w:rsidRDefault="00000000">
      <w:pPr>
        <w:spacing w:line="600" w:lineRule="exact"/>
        <w:ind w:firstLineChars="200" w:firstLine="640"/>
        <w:rPr>
          <w:rFonts w:ascii="方正小标宋简体" w:eastAsia="方正小标宋简体" w:hAnsi="方正小标宋简体" w:cs="方正小标宋简体" w:hint="eastAsia"/>
        </w:rPr>
      </w:pPr>
      <w:r>
        <w:rPr>
          <w:rFonts w:ascii="方正小标宋简体" w:eastAsia="方正小标宋简体" w:hAnsi="方正小标宋简体" w:cs="方正小标宋简体" w:hint="eastAsia"/>
        </w:rPr>
        <w:t>四、直接交易价格</w:t>
      </w:r>
    </w:p>
    <w:p w14:paraId="75548011" w14:textId="77777777" w:rsidR="007E2E2A" w:rsidRDefault="00000000">
      <w:pPr>
        <w:spacing w:line="600" w:lineRule="exact"/>
        <w:ind w:firstLineChars="200" w:firstLine="640"/>
        <w:rPr>
          <w:rFonts w:ascii="仿宋_GB2312" w:hAnsi="仿宋_GB2312" w:cs="仿宋_GB2312" w:hint="eastAsia"/>
        </w:rPr>
      </w:pPr>
      <w:r>
        <w:rPr>
          <w:rFonts w:ascii="仿宋_GB2312" w:hAnsi="仿宋_GB2312" w:cs="仿宋_GB2312" w:hint="eastAsia"/>
          <w:color w:val="000000"/>
        </w:rPr>
        <w:t>燃煤发电市场交易价格在“基准价+上下浮动”范围内形成，基准价适用</w:t>
      </w:r>
      <w:proofErr w:type="gramStart"/>
      <w:r>
        <w:rPr>
          <w:rFonts w:ascii="仿宋_GB2312" w:hAnsi="仿宋_GB2312" w:cs="仿宋_GB2312" w:hint="eastAsia"/>
          <w:color w:val="000000"/>
        </w:rPr>
        <w:t>落地省</w:t>
      </w:r>
      <w:proofErr w:type="gramEnd"/>
      <w:r>
        <w:rPr>
          <w:rFonts w:ascii="仿宋_GB2312" w:hAnsi="仿宋_GB2312" w:cs="仿宋_GB2312" w:hint="eastAsia"/>
          <w:color w:val="000000"/>
        </w:rPr>
        <w:t>基准价水平，浮动范围原则上均不超过20%</w:t>
      </w:r>
      <w:r>
        <w:rPr>
          <w:rFonts w:ascii="仿宋_GB2312" w:hAnsi="仿宋_GB2312" w:cs="仿宋_GB2312" w:hint="eastAsia"/>
          <w:color w:val="404040"/>
        </w:rPr>
        <w:t>。</w:t>
      </w:r>
      <w:r>
        <w:rPr>
          <w:rFonts w:ascii="仿宋_GB2312" w:hAnsi="仿宋_GB2312" w:cs="仿宋_GB2312" w:hint="eastAsia"/>
        </w:rPr>
        <w:t>鼓励购</w:t>
      </w:r>
      <w:proofErr w:type="gramStart"/>
      <w:r>
        <w:rPr>
          <w:rFonts w:ascii="仿宋_GB2312" w:hAnsi="仿宋_GB2312" w:cs="仿宋_GB2312" w:hint="eastAsia"/>
        </w:rPr>
        <w:t>售双方</w:t>
      </w:r>
      <w:proofErr w:type="gramEnd"/>
      <w:r>
        <w:rPr>
          <w:rFonts w:ascii="仿宋_GB2312" w:hAnsi="仿宋_GB2312" w:cs="仿宋_GB2312" w:hint="eastAsia"/>
        </w:rPr>
        <w:t>在中长期合同中设立交易电价随燃料成本变化合</w:t>
      </w:r>
      <w:r>
        <w:rPr>
          <w:rFonts w:ascii="仿宋_GB2312" w:hAnsi="仿宋_GB2312" w:cs="仿宋_GB2312" w:hint="eastAsia"/>
        </w:rPr>
        <w:lastRenderedPageBreak/>
        <w:t>理浮动条款，实行交易价格与煤炭价格挂钩联动，保障能源稳定供应。</w:t>
      </w:r>
    </w:p>
    <w:p w14:paraId="45C1FBD2" w14:textId="77777777" w:rsidR="007E2E2A" w:rsidRDefault="00000000">
      <w:pPr>
        <w:spacing w:line="600" w:lineRule="exact"/>
        <w:ind w:firstLineChars="200" w:firstLine="640"/>
        <w:rPr>
          <w:rFonts w:ascii="楷体_GB2312" w:eastAsia="楷体_GB2312" w:hAnsi="楷体_GB2312" w:cs="楷体_GB2312" w:hint="eastAsia"/>
        </w:rPr>
      </w:pPr>
      <w:r>
        <w:rPr>
          <w:rFonts w:ascii="楷体_GB2312" w:eastAsia="楷体_GB2312" w:hAnsi="楷体_GB2312" w:cs="楷体_GB2312" w:hint="eastAsia"/>
        </w:rPr>
        <w:t>（一）时段划分</w:t>
      </w:r>
    </w:p>
    <w:p w14:paraId="3DE673A4" w14:textId="77777777" w:rsidR="007E2E2A" w:rsidRDefault="00000000">
      <w:pPr>
        <w:spacing w:line="600" w:lineRule="exact"/>
        <w:ind w:firstLineChars="200" w:firstLine="640"/>
        <w:rPr>
          <w:rFonts w:ascii="仿宋_GB2312" w:hAnsi="仿宋_GB2312" w:cs="仿宋_GB2312" w:hint="eastAsia"/>
          <w:color w:val="000000"/>
        </w:rPr>
      </w:pPr>
      <w:r>
        <w:rPr>
          <w:rFonts w:ascii="仿宋_GB2312" w:hAnsi="仿宋_GB2312" w:cs="仿宋_GB2312" w:hint="eastAsia"/>
          <w:color w:val="000000"/>
        </w:rPr>
        <w:t>2026年北京市电力市场化交易分为以下五个时段：</w:t>
      </w:r>
    </w:p>
    <w:p w14:paraId="4CEF37F0" w14:textId="77777777" w:rsidR="007E2E2A" w:rsidRDefault="00000000">
      <w:pPr>
        <w:spacing w:line="600" w:lineRule="exact"/>
        <w:ind w:firstLineChars="200" w:firstLine="640"/>
        <w:rPr>
          <w:rFonts w:ascii="仿宋_GB2312" w:hAnsi="仿宋_GB2312" w:cs="仿宋_GB2312" w:hint="eastAsia"/>
          <w:color w:val="000000"/>
        </w:rPr>
      </w:pPr>
      <w:r>
        <w:rPr>
          <w:rFonts w:ascii="仿宋_GB2312" w:hAnsi="仿宋_GB2312" w:cs="仿宋_GB2312" w:hint="eastAsia"/>
          <w:color w:val="000000"/>
        </w:rPr>
        <w:t>1.高峰时段：每日10:00-13:00；17:00-22:00；</w:t>
      </w:r>
    </w:p>
    <w:p w14:paraId="1041D878" w14:textId="77777777" w:rsidR="007E2E2A" w:rsidRDefault="00000000">
      <w:pPr>
        <w:spacing w:line="600" w:lineRule="exact"/>
        <w:ind w:firstLineChars="200" w:firstLine="640"/>
        <w:rPr>
          <w:rFonts w:ascii="仿宋_GB2312" w:hAnsi="仿宋_GB2312" w:cs="仿宋_GB2312" w:hint="eastAsia"/>
          <w:color w:val="000000"/>
        </w:rPr>
      </w:pPr>
      <w:r>
        <w:rPr>
          <w:rFonts w:ascii="仿宋_GB2312" w:hAnsi="仿宋_GB2312" w:cs="仿宋_GB2312" w:hint="eastAsia"/>
          <w:color w:val="000000"/>
        </w:rPr>
        <w:t>2.平段：每日7:00-10:00；13:00-17:00；22:00-23:00；</w:t>
      </w:r>
    </w:p>
    <w:p w14:paraId="491A24BF" w14:textId="77777777" w:rsidR="007E2E2A" w:rsidRDefault="00000000">
      <w:pPr>
        <w:spacing w:line="600" w:lineRule="exact"/>
        <w:ind w:firstLineChars="200" w:firstLine="640"/>
        <w:rPr>
          <w:rFonts w:ascii="仿宋_GB2312" w:hAnsi="仿宋_GB2312" w:cs="仿宋_GB2312" w:hint="eastAsia"/>
          <w:color w:val="000000"/>
        </w:rPr>
      </w:pPr>
      <w:r>
        <w:rPr>
          <w:rFonts w:ascii="仿宋_GB2312" w:hAnsi="仿宋_GB2312" w:cs="仿宋_GB2312" w:hint="eastAsia"/>
          <w:color w:val="000000"/>
        </w:rPr>
        <w:t>3.低谷时段：每日23:00-次日7:00；</w:t>
      </w:r>
    </w:p>
    <w:p w14:paraId="0B009339" w14:textId="77777777" w:rsidR="007E2E2A" w:rsidRDefault="00000000">
      <w:pPr>
        <w:spacing w:line="600" w:lineRule="exact"/>
        <w:ind w:firstLineChars="200" w:firstLine="640"/>
        <w:rPr>
          <w:rFonts w:ascii="仿宋_GB2312" w:hAnsi="仿宋_GB2312" w:cs="仿宋_GB2312" w:hint="eastAsia"/>
        </w:rPr>
      </w:pPr>
      <w:r>
        <w:rPr>
          <w:rFonts w:ascii="仿宋_GB2312" w:hAnsi="仿宋_GB2312" w:cs="仿宋_GB2312" w:hint="eastAsia"/>
          <w:color w:val="000000"/>
        </w:rPr>
        <w:t>4.夏季尖峰时段：7月-8月每日11：00-13:00、16:00-17:00；</w:t>
      </w:r>
    </w:p>
    <w:p w14:paraId="301CB166" w14:textId="77777777" w:rsidR="007E2E2A" w:rsidRDefault="00000000">
      <w:pPr>
        <w:spacing w:line="600" w:lineRule="exact"/>
        <w:ind w:firstLineChars="200" w:firstLine="640"/>
        <w:rPr>
          <w:rFonts w:ascii="仿宋_GB2312" w:hAnsi="仿宋_GB2312" w:cs="仿宋_GB2312" w:hint="eastAsia"/>
          <w:color w:val="000000"/>
        </w:rPr>
      </w:pPr>
      <w:r>
        <w:rPr>
          <w:rFonts w:ascii="仿宋_GB2312" w:hAnsi="仿宋_GB2312" w:cs="仿宋_GB2312" w:hint="eastAsia"/>
          <w:color w:val="000000"/>
        </w:rPr>
        <w:t>5.冬季尖峰时段：1月、12月每日18:00-21:00。</w:t>
      </w:r>
    </w:p>
    <w:p w14:paraId="57CE58AA" w14:textId="77777777" w:rsidR="007E2E2A" w:rsidRDefault="00000000">
      <w:pPr>
        <w:spacing w:line="600" w:lineRule="exact"/>
        <w:ind w:firstLineChars="200" w:firstLine="640"/>
        <w:rPr>
          <w:rFonts w:ascii="楷体_GB2312" w:eastAsia="楷体_GB2312" w:hAnsi="楷体_GB2312" w:cs="楷体_GB2312" w:hint="eastAsia"/>
        </w:rPr>
      </w:pPr>
      <w:r>
        <w:rPr>
          <w:rFonts w:ascii="楷体_GB2312" w:eastAsia="楷体_GB2312" w:hAnsi="楷体_GB2312" w:cs="楷体_GB2312" w:hint="eastAsia"/>
        </w:rPr>
        <w:t>（二）交易价格</w:t>
      </w:r>
    </w:p>
    <w:p w14:paraId="222C5DF5" w14:textId="77777777" w:rsidR="007E2E2A" w:rsidRDefault="00000000">
      <w:pPr>
        <w:spacing w:line="600" w:lineRule="exact"/>
        <w:ind w:firstLineChars="200" w:firstLine="640"/>
        <w:rPr>
          <w:rFonts w:ascii="仿宋_GB2312" w:hAnsi="仿宋_GB2312" w:cs="仿宋_GB2312" w:hint="eastAsia"/>
        </w:rPr>
      </w:pPr>
      <w:r>
        <w:rPr>
          <w:rFonts w:ascii="仿宋_GB2312" w:hAnsi="仿宋_GB2312" w:cs="仿宋_GB2312" w:hint="eastAsia"/>
        </w:rPr>
        <w:t>批发用户的用电价格由上网电价、上网环节线损费用、输配电价、系统运行费用、政府性基金及附加构成；零售用户的用电价格由零售合同电能量价格、上网环节线损费用、输配电价、系统运行费用、政府性基金及附加等构成。其中：</w:t>
      </w:r>
    </w:p>
    <w:p w14:paraId="1B1D3E92" w14:textId="77777777" w:rsidR="007E2E2A" w:rsidRDefault="00000000">
      <w:pPr>
        <w:spacing w:line="600" w:lineRule="exact"/>
        <w:ind w:firstLineChars="200" w:firstLine="640"/>
        <w:rPr>
          <w:rFonts w:ascii="仿宋_GB2312" w:hAnsi="仿宋_GB2312" w:cs="仿宋_GB2312" w:hint="eastAsia"/>
        </w:rPr>
      </w:pPr>
      <w:r>
        <w:rPr>
          <w:rFonts w:ascii="仿宋_GB2312" w:hAnsi="仿宋_GB2312" w:cs="仿宋_GB2312" w:hint="eastAsia"/>
        </w:rPr>
        <w:t>上网电价由市场化交易形成，零售合同电能</w:t>
      </w:r>
      <w:proofErr w:type="gramStart"/>
      <w:r>
        <w:rPr>
          <w:rFonts w:ascii="仿宋_GB2312" w:hAnsi="仿宋_GB2312" w:cs="仿宋_GB2312" w:hint="eastAsia"/>
        </w:rPr>
        <w:t>量价格</w:t>
      </w:r>
      <w:proofErr w:type="gramEnd"/>
      <w:r>
        <w:rPr>
          <w:rFonts w:ascii="仿宋_GB2312" w:hAnsi="仿宋_GB2312" w:cs="仿宋_GB2312" w:hint="eastAsia"/>
        </w:rPr>
        <w:t>由售电公司与零售用户签订零售套餐约定。上网环节线损费用、系统运行费用由电网企业按照国家及北京市要求核算并公示，按月由全体工商业用户分摊或分享。</w:t>
      </w:r>
    </w:p>
    <w:p w14:paraId="4BF63437" w14:textId="77777777" w:rsidR="007E2E2A" w:rsidRDefault="00000000">
      <w:pPr>
        <w:spacing w:line="600" w:lineRule="exact"/>
        <w:ind w:firstLineChars="200" w:firstLine="640"/>
        <w:rPr>
          <w:rFonts w:ascii="仿宋_GB2312" w:hAnsi="仿宋_GB2312" w:cs="仿宋_GB2312" w:hint="eastAsia"/>
        </w:rPr>
      </w:pPr>
      <w:r>
        <w:rPr>
          <w:rFonts w:ascii="仿宋_GB2312" w:hAnsi="仿宋_GB2312" w:cs="仿宋_GB2312" w:hint="eastAsia"/>
        </w:rPr>
        <w:t>输配电价包括区域电网输配电价和北京电网输配电价。区域电网输配电</w:t>
      </w:r>
      <w:proofErr w:type="gramStart"/>
      <w:r>
        <w:rPr>
          <w:rFonts w:ascii="仿宋_GB2312" w:hAnsi="仿宋_GB2312" w:cs="仿宋_GB2312" w:hint="eastAsia"/>
        </w:rPr>
        <w:t>价按照</w:t>
      </w:r>
      <w:proofErr w:type="gramEnd"/>
      <w:r>
        <w:rPr>
          <w:rFonts w:ascii="仿宋_GB2312" w:hAnsi="仿宋_GB2312" w:cs="仿宋_GB2312" w:hint="eastAsia"/>
        </w:rPr>
        <w:t>国家发展改革委《关于第三监管周期区域电网输电价格及有关事项的通知》（</w:t>
      </w:r>
      <w:proofErr w:type="gramStart"/>
      <w:r>
        <w:rPr>
          <w:rFonts w:ascii="仿宋_GB2312" w:hAnsi="仿宋_GB2312" w:cs="仿宋_GB2312" w:hint="eastAsia"/>
        </w:rPr>
        <w:t>发改价格</w:t>
      </w:r>
      <w:proofErr w:type="gramEnd"/>
      <w:r>
        <w:rPr>
          <w:rFonts w:ascii="仿宋_GB2312" w:hAnsi="仿宋_GB2312" w:cs="仿宋_GB2312" w:hint="eastAsia"/>
        </w:rPr>
        <w:t>〔2023〕532号）执行。</w:t>
      </w:r>
      <w:r>
        <w:rPr>
          <w:rFonts w:ascii="仿宋_GB2312" w:hAnsi="仿宋_GB2312" w:cs="仿宋_GB2312" w:hint="eastAsia"/>
        </w:rPr>
        <w:lastRenderedPageBreak/>
        <w:t>北京电网输配电</w:t>
      </w:r>
      <w:proofErr w:type="gramStart"/>
      <w:r>
        <w:rPr>
          <w:rFonts w:ascii="仿宋_GB2312" w:hAnsi="仿宋_GB2312" w:cs="仿宋_GB2312" w:hint="eastAsia"/>
        </w:rPr>
        <w:t>价按照</w:t>
      </w:r>
      <w:proofErr w:type="gramEnd"/>
      <w:r>
        <w:rPr>
          <w:rFonts w:ascii="仿宋_GB2312" w:hAnsi="仿宋_GB2312" w:cs="仿宋_GB2312" w:hint="eastAsia"/>
        </w:rPr>
        <w:t>国家发展改革委《关于第三监管周期省级电网输配电价及有关事项的通知》（</w:t>
      </w:r>
      <w:proofErr w:type="gramStart"/>
      <w:r>
        <w:rPr>
          <w:rFonts w:ascii="仿宋_GB2312" w:hAnsi="仿宋_GB2312" w:cs="仿宋_GB2312" w:hint="eastAsia"/>
        </w:rPr>
        <w:t>发改价格</w:t>
      </w:r>
      <w:proofErr w:type="gramEnd"/>
      <w:r>
        <w:rPr>
          <w:rFonts w:ascii="仿宋_GB2312" w:hAnsi="仿宋_GB2312" w:cs="仿宋_GB2312" w:hint="eastAsia"/>
        </w:rPr>
        <w:t>〔2023〕526号）、市发展改革委《关于北京电网第三监管周期输配电价等有关事项的通知》（</w:t>
      </w:r>
      <w:proofErr w:type="gramStart"/>
      <w:r>
        <w:rPr>
          <w:rFonts w:ascii="仿宋_GB2312" w:hAnsi="仿宋_GB2312" w:cs="仿宋_GB2312" w:hint="eastAsia"/>
        </w:rPr>
        <w:t>京发改〔2023〕</w:t>
      </w:r>
      <w:proofErr w:type="gramEnd"/>
      <w:r>
        <w:rPr>
          <w:rFonts w:ascii="仿宋_GB2312" w:hAnsi="仿宋_GB2312" w:cs="仿宋_GB2312" w:hint="eastAsia"/>
        </w:rPr>
        <w:t>637号）执行，</w:t>
      </w:r>
      <w:r>
        <w:rPr>
          <w:rFonts w:ascii="仿宋_GB2312" w:hAnsi="仿宋_GB2312" w:cs="仿宋_GB2312" w:hint="eastAsia"/>
          <w:color w:val="000000"/>
        </w:rPr>
        <w:t>如遇电价政策调整，按新政策执行</w:t>
      </w:r>
      <w:r>
        <w:rPr>
          <w:rFonts w:ascii="仿宋_GB2312" w:hAnsi="仿宋_GB2312" w:cs="仿宋_GB2312" w:hint="eastAsia"/>
        </w:rPr>
        <w:t>。</w:t>
      </w:r>
    </w:p>
    <w:p w14:paraId="3F3DFF44" w14:textId="77777777" w:rsidR="007E2E2A" w:rsidRDefault="00000000">
      <w:pPr>
        <w:spacing w:line="600" w:lineRule="exact"/>
        <w:ind w:firstLineChars="200" w:firstLine="640"/>
        <w:rPr>
          <w:rFonts w:ascii="楷体_GB2312" w:eastAsia="楷体_GB2312" w:hAnsi="楷体_GB2312" w:cs="楷体_GB2312" w:hint="eastAsia"/>
        </w:rPr>
      </w:pPr>
      <w:r>
        <w:rPr>
          <w:rFonts w:ascii="楷体_GB2312" w:eastAsia="楷体_GB2312" w:hAnsi="楷体_GB2312" w:cs="楷体_GB2312" w:hint="eastAsia"/>
        </w:rPr>
        <w:t>（三）分时电价</w:t>
      </w:r>
    </w:p>
    <w:p w14:paraId="4876B303" w14:textId="77777777" w:rsidR="007E2E2A" w:rsidRDefault="00000000">
      <w:pPr>
        <w:spacing w:line="600" w:lineRule="exact"/>
        <w:ind w:firstLineChars="200" w:firstLine="640"/>
        <w:rPr>
          <w:rFonts w:ascii="仿宋_GB2312" w:hAnsi="仿宋_GB2312" w:cs="仿宋_GB2312" w:hint="eastAsia"/>
          <w:color w:val="000000"/>
        </w:rPr>
      </w:pPr>
      <w:r>
        <w:rPr>
          <w:rFonts w:ascii="仿宋_GB2312" w:hAnsi="仿宋_GB2312" w:cs="仿宋_GB2312" w:hint="eastAsia"/>
          <w:color w:val="000000"/>
        </w:rPr>
        <w:t>发电企业、批发用户、售电公司采用分时段报量、单一报价的模式，按照24时段分别报量，以总量参与交易。</w:t>
      </w:r>
    </w:p>
    <w:p w14:paraId="0CBE55BB" w14:textId="77777777" w:rsidR="007E2E2A" w:rsidRDefault="00000000">
      <w:pPr>
        <w:spacing w:line="600" w:lineRule="exact"/>
        <w:ind w:firstLineChars="200" w:firstLine="640"/>
        <w:rPr>
          <w:rFonts w:ascii="仿宋_GB2312" w:hAnsi="仿宋_GB2312" w:cs="仿宋_GB2312" w:hint="eastAsia"/>
          <w:color w:val="000000"/>
        </w:rPr>
      </w:pPr>
      <w:r>
        <w:rPr>
          <w:rFonts w:ascii="仿宋_GB2312" w:hAnsi="仿宋_GB2312" w:cs="仿宋_GB2312" w:hint="eastAsia"/>
          <w:color w:val="000000"/>
        </w:rPr>
        <w:t>执行峰谷分时电价政策的用户，继续执行峰谷分时电价政策。具体按照市发展改革委《关于进一步完善本市分时电价机制等有关事项的通知》（京发改</w:t>
      </w:r>
      <w:proofErr w:type="gramStart"/>
      <w:r>
        <w:rPr>
          <w:rFonts w:ascii="仿宋_GB2312" w:hAnsi="仿宋_GB2312" w:cs="仿宋_GB2312" w:hint="eastAsia"/>
          <w:color w:val="000000"/>
        </w:rPr>
        <w:t>规</w:t>
      </w:r>
      <w:proofErr w:type="gramEnd"/>
      <w:r>
        <w:rPr>
          <w:rFonts w:ascii="仿宋_GB2312" w:hAnsi="仿宋_GB2312" w:cs="仿宋_GB2312" w:hint="eastAsia"/>
          <w:color w:val="000000"/>
        </w:rPr>
        <w:t>〔2023〕11号）执行。如遇电价政策调整，按新政策执行。</w:t>
      </w:r>
    </w:p>
    <w:p w14:paraId="7CEBA007" w14:textId="77777777" w:rsidR="007E2E2A" w:rsidRDefault="00000000">
      <w:pPr>
        <w:spacing w:line="600" w:lineRule="exact"/>
        <w:ind w:firstLineChars="200" w:firstLine="640"/>
        <w:rPr>
          <w:rFonts w:ascii="仿宋_GB2312" w:hAnsi="仿宋_GB2312" w:cs="仿宋_GB2312" w:hint="eastAsia"/>
          <w:color w:val="000000"/>
        </w:rPr>
      </w:pPr>
      <w:r>
        <w:rPr>
          <w:rFonts w:ascii="仿宋_GB2312" w:hAnsi="仿宋_GB2312" w:cs="仿宋_GB2312" w:hint="eastAsia"/>
        </w:rPr>
        <w:t>批发用户通过市场化交易形成的上网电价（</w:t>
      </w:r>
      <w:proofErr w:type="gramStart"/>
      <w:r>
        <w:rPr>
          <w:rFonts w:ascii="仿宋_GB2312" w:hAnsi="仿宋_GB2312" w:cs="仿宋_GB2312" w:hint="eastAsia"/>
        </w:rPr>
        <w:t>含区域</w:t>
      </w:r>
      <w:proofErr w:type="gramEnd"/>
      <w:r>
        <w:rPr>
          <w:rFonts w:ascii="仿宋_GB2312" w:hAnsi="仿宋_GB2312" w:cs="仿宋_GB2312" w:hint="eastAsia"/>
        </w:rPr>
        <w:t>电网度电输电费用</w:t>
      </w:r>
      <w:proofErr w:type="gramStart"/>
      <w:r>
        <w:rPr>
          <w:rFonts w:ascii="仿宋_GB2312" w:hAnsi="仿宋_GB2312" w:cs="仿宋_GB2312" w:hint="eastAsia"/>
        </w:rPr>
        <w:t>及网损折价</w:t>
      </w:r>
      <w:proofErr w:type="gramEnd"/>
      <w:r>
        <w:rPr>
          <w:rFonts w:ascii="仿宋_GB2312" w:hAnsi="仿宋_GB2312" w:cs="仿宋_GB2312" w:hint="eastAsia"/>
        </w:rPr>
        <w:t>）作为平段价格，以此为基准参与峰谷浮动；零售用户按照零售合同电能</w:t>
      </w:r>
      <w:proofErr w:type="gramStart"/>
      <w:r>
        <w:rPr>
          <w:rFonts w:ascii="仿宋_GB2312" w:hAnsi="仿宋_GB2312" w:cs="仿宋_GB2312" w:hint="eastAsia"/>
        </w:rPr>
        <w:t>量价格</w:t>
      </w:r>
      <w:proofErr w:type="gramEnd"/>
      <w:r>
        <w:rPr>
          <w:rFonts w:ascii="仿宋_GB2312" w:hAnsi="仿宋_GB2312" w:cs="仿宋_GB2312" w:hint="eastAsia"/>
        </w:rPr>
        <w:t>作为平段价格，以此为基准参与峰谷浮动。上网环节线损费用、北京电网输配电价、系统运行费用和政府性基金及附加不执行峰谷分时电价。</w:t>
      </w:r>
      <w:r>
        <w:rPr>
          <w:rFonts w:ascii="仿宋_GB2312" w:hAnsi="仿宋_GB2312" w:cs="仿宋_GB2312" w:hint="eastAsia"/>
          <w:color w:val="000000"/>
        </w:rPr>
        <w:t>如遇电价政策调整，按新政策执行。</w:t>
      </w:r>
    </w:p>
    <w:p w14:paraId="7667161D" w14:textId="77777777" w:rsidR="007E2E2A" w:rsidRDefault="00000000">
      <w:pPr>
        <w:spacing w:line="600" w:lineRule="exact"/>
        <w:ind w:firstLineChars="200" w:firstLine="640"/>
        <w:rPr>
          <w:rFonts w:ascii="黑体" w:eastAsia="黑体" w:hAnsi="黑体" w:cs="黑体" w:hint="eastAsia"/>
        </w:rPr>
      </w:pPr>
      <w:r>
        <w:rPr>
          <w:rFonts w:ascii="黑体" w:eastAsia="黑体" w:hAnsi="黑体" w:cs="黑体" w:hint="eastAsia"/>
        </w:rPr>
        <w:t>五、结算方式</w:t>
      </w:r>
    </w:p>
    <w:p w14:paraId="6BC85430" w14:textId="77777777" w:rsidR="007E2E2A" w:rsidRDefault="00000000">
      <w:pPr>
        <w:pStyle w:val="Style5"/>
        <w:spacing w:line="600" w:lineRule="exact"/>
        <w:ind w:firstLine="640"/>
        <w:rPr>
          <w:rFonts w:ascii="仿宋_GB2312" w:eastAsia="仿宋_GB2312" w:hAnsi="仿宋_GB2312" w:cs="仿宋_GB2312" w:hint="eastAsia"/>
          <w:snapToGrid w:val="0"/>
          <w:kern w:val="32"/>
          <w:sz w:val="32"/>
          <w:szCs w:val="32"/>
        </w:rPr>
      </w:pPr>
      <w:r>
        <w:rPr>
          <w:rFonts w:ascii="仿宋_GB2312" w:eastAsia="仿宋_GB2312" w:hAnsi="仿宋_GB2312" w:cs="仿宋_GB2312" w:hint="eastAsia"/>
          <w:snapToGrid w:val="0"/>
          <w:kern w:val="32"/>
          <w:sz w:val="32"/>
          <w:szCs w:val="32"/>
        </w:rPr>
        <w:t>2026年北京地区电力市场化交易结算方式按照华北能源监管局现行政策文件执行。电网企业代理购电产生的偏差电量，按</w:t>
      </w:r>
      <w:r>
        <w:rPr>
          <w:rFonts w:ascii="仿宋_GB2312" w:eastAsia="仿宋_GB2312" w:hAnsi="仿宋_GB2312" w:cs="仿宋_GB2312" w:hint="eastAsia"/>
          <w:snapToGrid w:val="0"/>
          <w:kern w:val="32"/>
          <w:sz w:val="32"/>
          <w:szCs w:val="32"/>
        </w:rPr>
        <w:lastRenderedPageBreak/>
        <w:t>国家、北京市相关文件规定执行。如</w:t>
      </w:r>
      <w:proofErr w:type="gramStart"/>
      <w:r>
        <w:rPr>
          <w:rFonts w:ascii="仿宋_GB2312" w:eastAsia="仿宋_GB2312" w:hAnsi="仿宋_GB2312" w:cs="仿宋_GB2312" w:hint="eastAsia"/>
          <w:snapToGrid w:val="0"/>
          <w:kern w:val="32"/>
          <w:sz w:val="32"/>
          <w:szCs w:val="32"/>
        </w:rPr>
        <w:t>遇政策</w:t>
      </w:r>
      <w:proofErr w:type="gramEnd"/>
      <w:r>
        <w:rPr>
          <w:rFonts w:ascii="仿宋_GB2312" w:eastAsia="仿宋_GB2312" w:hAnsi="仿宋_GB2312" w:cs="仿宋_GB2312" w:hint="eastAsia"/>
          <w:snapToGrid w:val="0"/>
          <w:kern w:val="32"/>
          <w:sz w:val="32"/>
          <w:szCs w:val="32"/>
        </w:rPr>
        <w:t>调整，按照新政策执行。</w:t>
      </w:r>
    </w:p>
    <w:p w14:paraId="7F52A6CD" w14:textId="77777777" w:rsidR="007E2E2A" w:rsidRDefault="00000000">
      <w:pPr>
        <w:spacing w:line="600" w:lineRule="exact"/>
        <w:ind w:firstLineChars="200" w:firstLine="640"/>
        <w:rPr>
          <w:rFonts w:ascii="楷体_GB2312" w:eastAsia="楷体_GB2312" w:hAnsi="楷体_GB2312" w:cs="楷体_GB2312" w:hint="eastAsia"/>
        </w:rPr>
      </w:pPr>
      <w:r>
        <w:rPr>
          <w:rFonts w:ascii="楷体_GB2312" w:eastAsia="楷体_GB2312" w:hAnsi="楷体_GB2312" w:cs="楷体_GB2312" w:hint="eastAsia"/>
        </w:rPr>
        <w:t>（一）偏差结算</w:t>
      </w:r>
    </w:p>
    <w:p w14:paraId="20D5FFEF" w14:textId="77777777" w:rsidR="007E2E2A" w:rsidRDefault="00000000">
      <w:pPr>
        <w:pStyle w:val="Style5"/>
        <w:spacing w:line="600" w:lineRule="exact"/>
        <w:ind w:firstLine="640"/>
        <w:rPr>
          <w:rFonts w:ascii="仿宋_GB2312" w:eastAsia="仿宋_GB2312" w:hAnsi="仿宋_GB2312" w:cs="仿宋_GB2312" w:hint="eastAsia"/>
          <w:snapToGrid w:val="0"/>
          <w:kern w:val="32"/>
          <w:sz w:val="32"/>
          <w:szCs w:val="32"/>
        </w:rPr>
      </w:pPr>
      <w:bookmarkStart w:id="0" w:name="_Hlk181890656"/>
      <w:r>
        <w:rPr>
          <w:rFonts w:ascii="仿宋_GB2312" w:eastAsia="仿宋_GB2312" w:hAnsi="仿宋_GB2312" w:cs="仿宋_GB2312" w:hint="eastAsia"/>
          <w:snapToGrid w:val="0"/>
          <w:kern w:val="32"/>
          <w:sz w:val="32"/>
          <w:szCs w:val="32"/>
        </w:rPr>
        <w:t>本地新能源发电企业的偏差结算方式按照《北京市2026年绿色电力交易方案》执行。</w:t>
      </w:r>
    </w:p>
    <w:p w14:paraId="4CC8383C" w14:textId="77777777" w:rsidR="007E2E2A" w:rsidRDefault="00000000">
      <w:pPr>
        <w:pStyle w:val="Style5"/>
        <w:spacing w:line="600" w:lineRule="exact"/>
        <w:ind w:firstLine="640"/>
        <w:rPr>
          <w:rFonts w:ascii="仿宋_GB2312" w:eastAsia="仿宋_GB2312" w:hAnsi="仿宋_GB2312" w:cs="仿宋_GB2312" w:hint="eastAsia"/>
          <w:snapToGrid w:val="0"/>
          <w:kern w:val="32"/>
          <w:sz w:val="32"/>
          <w:szCs w:val="32"/>
        </w:rPr>
      </w:pPr>
      <w:r>
        <w:rPr>
          <w:rFonts w:ascii="仿宋_GB2312" w:eastAsia="仿宋_GB2312" w:hAnsi="仿宋_GB2312" w:cs="仿宋_GB2312" w:hint="eastAsia"/>
          <w:snapToGrid w:val="0"/>
          <w:kern w:val="32"/>
          <w:sz w:val="32"/>
          <w:szCs w:val="32"/>
        </w:rPr>
        <w:t>批发用户</w:t>
      </w:r>
      <w:bookmarkEnd w:id="0"/>
      <w:r>
        <w:rPr>
          <w:rFonts w:ascii="仿宋_GB2312" w:eastAsia="仿宋_GB2312" w:hAnsi="仿宋_GB2312" w:cs="仿宋_GB2312" w:hint="eastAsia"/>
          <w:snapToGrid w:val="0"/>
          <w:kern w:val="32"/>
          <w:sz w:val="32"/>
          <w:szCs w:val="32"/>
        </w:rPr>
        <w:t>、售电公司</w:t>
      </w:r>
      <w:r>
        <w:rPr>
          <w:rFonts w:ascii="仿宋_GB2312" w:eastAsia="仿宋_GB2312" w:hAnsi="仿宋_GB2312" w:cs="仿宋_GB2312" w:hint="eastAsia"/>
          <w:kern w:val="32"/>
          <w:sz w:val="32"/>
          <w:szCs w:val="32"/>
        </w:rPr>
        <w:t>实际用电量与各类交易合同（购售合同）总电量的差值部分为偏差电量，偏差电量与各类交易合同</w:t>
      </w:r>
      <w:r>
        <w:rPr>
          <w:rFonts w:ascii="仿宋_GB2312" w:eastAsia="仿宋_GB2312" w:hAnsi="仿宋_GB2312" w:cs="仿宋_GB2312" w:hint="eastAsia"/>
          <w:spacing w:val="-6"/>
          <w:kern w:val="32"/>
          <w:sz w:val="32"/>
          <w:szCs w:val="32"/>
        </w:rPr>
        <w:t>（购售合同）总电量的比值为偏差率，即K。</w:t>
      </w:r>
      <w:r>
        <w:rPr>
          <w:rFonts w:ascii="仿宋_GB2312" w:eastAsia="仿宋_GB2312" w:hAnsi="仿宋_GB2312" w:cs="仿宋_GB2312" w:hint="eastAsia"/>
          <w:snapToGrid w:val="0"/>
          <w:spacing w:val="-6"/>
          <w:kern w:val="32"/>
          <w:sz w:val="32"/>
          <w:szCs w:val="32"/>
        </w:rPr>
        <w:t>U</w:t>
      </w:r>
      <w:r>
        <w:rPr>
          <w:rFonts w:ascii="仿宋_GB2312" w:eastAsia="仿宋_GB2312" w:hAnsi="仿宋_GB2312" w:cs="仿宋_GB2312" w:hint="eastAsia"/>
          <w:snapToGrid w:val="0"/>
          <w:spacing w:val="-6"/>
          <w:kern w:val="32"/>
          <w:sz w:val="32"/>
          <w:szCs w:val="32"/>
          <w:vertAlign w:val="subscript"/>
        </w:rPr>
        <w:t>1</w:t>
      </w:r>
      <w:r>
        <w:rPr>
          <w:rFonts w:ascii="仿宋_GB2312" w:eastAsia="仿宋_GB2312" w:hAnsi="仿宋_GB2312" w:cs="仿宋_GB2312" w:hint="eastAsia"/>
          <w:spacing w:val="-6"/>
          <w:kern w:val="32"/>
          <w:sz w:val="32"/>
          <w:szCs w:val="32"/>
        </w:rPr>
        <w:t>、</w:t>
      </w:r>
      <w:r>
        <w:rPr>
          <w:rFonts w:ascii="仿宋_GB2312" w:eastAsia="仿宋_GB2312" w:hAnsi="仿宋_GB2312" w:cs="仿宋_GB2312" w:hint="eastAsia"/>
          <w:snapToGrid w:val="0"/>
          <w:spacing w:val="-6"/>
          <w:kern w:val="32"/>
          <w:sz w:val="32"/>
          <w:szCs w:val="32"/>
        </w:rPr>
        <w:t>U</w:t>
      </w:r>
      <w:r>
        <w:rPr>
          <w:rFonts w:ascii="仿宋_GB2312" w:eastAsia="仿宋_GB2312" w:hAnsi="仿宋_GB2312" w:cs="仿宋_GB2312" w:hint="eastAsia"/>
          <w:snapToGrid w:val="0"/>
          <w:spacing w:val="-6"/>
          <w:kern w:val="32"/>
          <w:sz w:val="32"/>
          <w:szCs w:val="32"/>
          <w:vertAlign w:val="subscript"/>
        </w:rPr>
        <w:t>2</w:t>
      </w:r>
      <w:r>
        <w:rPr>
          <w:rFonts w:ascii="仿宋_GB2312" w:eastAsia="仿宋_GB2312" w:hAnsi="仿宋_GB2312" w:cs="仿宋_GB2312" w:hint="eastAsia"/>
          <w:spacing w:val="-6"/>
          <w:kern w:val="32"/>
          <w:sz w:val="32"/>
          <w:szCs w:val="32"/>
        </w:rPr>
        <w:t>分别为用户侧偏差电量超用、少用调节系数。</w:t>
      </w:r>
    </w:p>
    <w:p w14:paraId="3822296B" w14:textId="77777777" w:rsidR="007E2E2A" w:rsidRDefault="00000000">
      <w:pPr>
        <w:pStyle w:val="Style5"/>
        <w:spacing w:line="600" w:lineRule="exact"/>
        <w:ind w:firstLine="640"/>
        <w:rPr>
          <w:rFonts w:ascii="仿宋_GB2312" w:eastAsia="仿宋_GB2312" w:hAnsi="仿宋_GB2312" w:cs="仿宋_GB2312" w:hint="eastAsia"/>
          <w:snapToGrid w:val="0"/>
          <w:kern w:val="32"/>
          <w:sz w:val="32"/>
          <w:szCs w:val="32"/>
        </w:rPr>
      </w:pPr>
      <w:r>
        <w:rPr>
          <w:rFonts w:ascii="仿宋_GB2312" w:eastAsia="仿宋_GB2312" w:hAnsi="仿宋_GB2312" w:cs="仿宋_GB2312" w:hint="eastAsia"/>
          <w:snapToGrid w:val="0"/>
          <w:kern w:val="32"/>
          <w:sz w:val="32"/>
          <w:szCs w:val="32"/>
        </w:rPr>
        <w:t>2026年用户</w:t>
      </w:r>
      <w:proofErr w:type="gramStart"/>
      <w:r>
        <w:rPr>
          <w:rFonts w:ascii="仿宋_GB2312" w:eastAsia="仿宋_GB2312" w:hAnsi="仿宋_GB2312" w:cs="仿宋_GB2312" w:hint="eastAsia"/>
          <w:snapToGrid w:val="0"/>
          <w:kern w:val="32"/>
          <w:sz w:val="32"/>
          <w:szCs w:val="32"/>
        </w:rPr>
        <w:t>侧合同</w:t>
      </w:r>
      <w:proofErr w:type="gramEnd"/>
      <w:r>
        <w:rPr>
          <w:rFonts w:ascii="仿宋_GB2312" w:eastAsia="仿宋_GB2312" w:hAnsi="仿宋_GB2312" w:cs="仿宋_GB2312" w:hint="eastAsia"/>
          <w:snapToGrid w:val="0"/>
          <w:kern w:val="32"/>
          <w:sz w:val="32"/>
          <w:szCs w:val="32"/>
        </w:rPr>
        <w:t>偏差电量部分按照以下价格结算:</w:t>
      </w:r>
    </w:p>
    <w:p w14:paraId="119BBCA0" w14:textId="77777777" w:rsidR="007E2E2A" w:rsidRDefault="00000000">
      <w:pPr>
        <w:pStyle w:val="Style5"/>
        <w:spacing w:line="600" w:lineRule="exact"/>
        <w:ind w:firstLine="640"/>
        <w:rPr>
          <w:rFonts w:ascii="仿宋_GB2312" w:eastAsia="仿宋_GB2312" w:hAnsi="仿宋_GB2312" w:cs="仿宋_GB2312" w:hint="eastAsia"/>
          <w:snapToGrid w:val="0"/>
          <w:kern w:val="32"/>
          <w:sz w:val="32"/>
          <w:szCs w:val="32"/>
        </w:rPr>
      </w:pPr>
      <w:r>
        <w:rPr>
          <w:rFonts w:ascii="仿宋_GB2312" w:eastAsia="仿宋_GB2312" w:hAnsi="仿宋_GB2312" w:cs="仿宋_GB2312" w:hint="eastAsia"/>
          <w:snapToGrid w:val="0"/>
          <w:kern w:val="32"/>
          <w:sz w:val="32"/>
          <w:szCs w:val="32"/>
        </w:rPr>
        <w:t>超用电量结算电价：max[京津唐当月月度竞价出清价，批发用户、售电公司当月中长期交易合同电能量均价]*U</w:t>
      </w:r>
      <w:r>
        <w:rPr>
          <w:rFonts w:ascii="仿宋_GB2312" w:eastAsia="仿宋_GB2312" w:hAnsi="仿宋_GB2312" w:cs="仿宋_GB2312" w:hint="eastAsia"/>
          <w:snapToGrid w:val="0"/>
          <w:kern w:val="32"/>
          <w:sz w:val="32"/>
          <w:szCs w:val="32"/>
          <w:vertAlign w:val="subscript"/>
        </w:rPr>
        <w:t>1</w:t>
      </w:r>
      <w:r>
        <w:rPr>
          <w:rFonts w:ascii="仿宋_GB2312" w:eastAsia="仿宋_GB2312" w:hAnsi="仿宋_GB2312" w:cs="仿宋_GB2312" w:hint="eastAsia"/>
          <w:snapToGrid w:val="0"/>
          <w:kern w:val="32"/>
          <w:sz w:val="32"/>
          <w:szCs w:val="32"/>
        </w:rPr>
        <w:t>。</w:t>
      </w:r>
    </w:p>
    <w:p w14:paraId="1E9FF5EE" w14:textId="77777777" w:rsidR="007E2E2A" w:rsidRDefault="00000000">
      <w:pPr>
        <w:pStyle w:val="Style5"/>
        <w:widowControl/>
        <w:spacing w:line="600" w:lineRule="exact"/>
        <w:ind w:firstLine="640"/>
        <w:rPr>
          <w:rFonts w:ascii="仿宋_GB2312" w:eastAsia="仿宋_GB2312" w:hAnsi="仿宋_GB2312" w:cs="仿宋_GB2312" w:hint="eastAsia"/>
          <w:snapToGrid w:val="0"/>
          <w:kern w:val="32"/>
          <w:sz w:val="32"/>
          <w:szCs w:val="32"/>
        </w:rPr>
      </w:pPr>
      <w:r>
        <w:rPr>
          <w:rFonts w:ascii="仿宋_GB2312" w:eastAsia="仿宋_GB2312" w:hAnsi="仿宋_GB2312" w:cs="仿宋_GB2312" w:hint="eastAsia"/>
          <w:snapToGrid w:val="0"/>
          <w:kern w:val="32"/>
          <w:sz w:val="32"/>
          <w:szCs w:val="32"/>
        </w:rPr>
        <w:t>少用电量结算电价：min[京津唐当月月度竞价出清价，批发用户、售电公司当月中长期交易合同电能量均价]*U</w:t>
      </w:r>
      <w:r>
        <w:rPr>
          <w:rFonts w:ascii="仿宋_GB2312" w:eastAsia="仿宋_GB2312" w:hAnsi="仿宋_GB2312" w:cs="仿宋_GB2312" w:hint="eastAsia"/>
          <w:snapToGrid w:val="0"/>
          <w:kern w:val="32"/>
          <w:sz w:val="32"/>
          <w:szCs w:val="32"/>
          <w:vertAlign w:val="subscript"/>
        </w:rPr>
        <w:t>2</w:t>
      </w:r>
      <w:r>
        <w:rPr>
          <w:rFonts w:ascii="仿宋_GB2312" w:eastAsia="仿宋_GB2312" w:hAnsi="仿宋_GB2312" w:cs="仿宋_GB2312" w:hint="eastAsia"/>
          <w:snapToGrid w:val="0"/>
          <w:kern w:val="32"/>
          <w:sz w:val="32"/>
          <w:szCs w:val="32"/>
        </w:rPr>
        <w:t>。</w:t>
      </w:r>
    </w:p>
    <w:p w14:paraId="79AA80F3" w14:textId="77777777" w:rsidR="007E2E2A" w:rsidRDefault="00000000">
      <w:pPr>
        <w:pStyle w:val="Style5"/>
        <w:spacing w:line="600" w:lineRule="exact"/>
        <w:ind w:firstLine="640"/>
        <w:rPr>
          <w:rFonts w:ascii="仿宋_GB2312" w:eastAsia="仿宋_GB2312" w:hAnsi="仿宋_GB2312" w:cs="仿宋_GB2312" w:hint="eastAsia"/>
          <w:snapToGrid w:val="0"/>
          <w:kern w:val="32"/>
          <w:sz w:val="32"/>
          <w:szCs w:val="32"/>
        </w:rPr>
      </w:pPr>
      <w:r>
        <w:rPr>
          <w:rFonts w:ascii="仿宋_GB2312" w:eastAsia="仿宋_GB2312" w:hAnsi="仿宋_GB2312" w:cs="仿宋_GB2312" w:hint="eastAsia"/>
          <w:snapToGrid w:val="0"/>
          <w:kern w:val="32"/>
          <w:sz w:val="32"/>
          <w:szCs w:val="32"/>
        </w:rPr>
        <w:t>2026年批发用户、售电公司偏差结算按照阶梯方式执行，具体如下：</w:t>
      </w:r>
    </w:p>
    <w:p w14:paraId="1D21F426" w14:textId="77777777" w:rsidR="007E2E2A" w:rsidRDefault="00000000">
      <w:pPr>
        <w:pStyle w:val="Style5"/>
        <w:spacing w:line="600" w:lineRule="exact"/>
        <w:ind w:firstLine="640"/>
        <w:rPr>
          <w:rFonts w:ascii="仿宋_GB2312" w:eastAsia="仿宋_GB2312" w:hAnsi="仿宋_GB2312" w:cs="仿宋_GB2312" w:hint="eastAsia"/>
          <w:snapToGrid w:val="0"/>
          <w:kern w:val="32"/>
          <w:sz w:val="32"/>
          <w:szCs w:val="32"/>
        </w:rPr>
      </w:pPr>
      <w:r>
        <w:rPr>
          <w:rFonts w:ascii="仿宋_GB2312" w:eastAsia="仿宋_GB2312" w:hAnsi="仿宋_GB2312" w:cs="仿宋_GB2312" w:hint="eastAsia"/>
          <w:snapToGrid w:val="0"/>
          <w:kern w:val="32"/>
          <w:sz w:val="32"/>
          <w:szCs w:val="32"/>
        </w:rPr>
        <w:t>当</w:t>
      </w:r>
      <w:r>
        <w:rPr>
          <w:rFonts w:ascii="仿宋_GB2312" w:eastAsia="仿宋_GB2312" w:hAnsi="仿宋_GB2312" w:cs="仿宋_GB2312" w:hint="eastAsia"/>
          <w:kern w:val="32"/>
          <w:sz w:val="32"/>
          <w:szCs w:val="32"/>
        </w:rPr>
        <w:t>K</w:t>
      </w:r>
      <w:r>
        <w:rPr>
          <w:rFonts w:ascii="仿宋_GB2312" w:eastAsia="仿宋_GB2312" w:hAnsi="仿宋_GB2312" w:cs="仿宋_GB2312" w:hint="eastAsia"/>
          <w:snapToGrid w:val="0"/>
          <w:kern w:val="32"/>
          <w:sz w:val="32"/>
          <w:szCs w:val="32"/>
        </w:rPr>
        <w:t>∈[-5%,5%]时,U</w:t>
      </w:r>
      <w:r>
        <w:rPr>
          <w:rFonts w:ascii="仿宋_GB2312" w:eastAsia="仿宋_GB2312" w:hAnsi="仿宋_GB2312" w:cs="仿宋_GB2312" w:hint="eastAsia"/>
          <w:snapToGrid w:val="0"/>
          <w:kern w:val="32"/>
          <w:sz w:val="32"/>
          <w:szCs w:val="32"/>
          <w:vertAlign w:val="subscript"/>
        </w:rPr>
        <w:t>1</w:t>
      </w:r>
      <w:r>
        <w:rPr>
          <w:rFonts w:ascii="仿宋_GB2312" w:eastAsia="仿宋_GB2312" w:hAnsi="仿宋_GB2312" w:cs="仿宋_GB2312" w:hint="eastAsia"/>
          <w:snapToGrid w:val="0"/>
          <w:kern w:val="32"/>
          <w:sz w:val="32"/>
          <w:szCs w:val="32"/>
        </w:rPr>
        <w:t>=1,U</w:t>
      </w:r>
      <w:r>
        <w:rPr>
          <w:rFonts w:ascii="仿宋_GB2312" w:eastAsia="仿宋_GB2312" w:hAnsi="仿宋_GB2312" w:cs="仿宋_GB2312" w:hint="eastAsia"/>
          <w:snapToGrid w:val="0"/>
          <w:kern w:val="32"/>
          <w:sz w:val="32"/>
          <w:szCs w:val="32"/>
          <w:vertAlign w:val="subscript"/>
        </w:rPr>
        <w:t>2</w:t>
      </w:r>
      <w:r>
        <w:rPr>
          <w:rFonts w:ascii="仿宋_GB2312" w:eastAsia="仿宋_GB2312" w:hAnsi="仿宋_GB2312" w:cs="仿宋_GB2312" w:hint="eastAsia"/>
          <w:snapToGrid w:val="0"/>
          <w:kern w:val="32"/>
          <w:sz w:val="32"/>
          <w:szCs w:val="32"/>
        </w:rPr>
        <w:t>=1;</w:t>
      </w:r>
    </w:p>
    <w:p w14:paraId="3AA011AC" w14:textId="77777777" w:rsidR="007E2E2A" w:rsidRDefault="00000000">
      <w:pPr>
        <w:pStyle w:val="Style5"/>
        <w:spacing w:line="600" w:lineRule="exact"/>
        <w:ind w:firstLine="640"/>
        <w:rPr>
          <w:rFonts w:ascii="仿宋_GB2312" w:eastAsia="仿宋_GB2312" w:hAnsi="仿宋_GB2312" w:cs="仿宋_GB2312" w:hint="eastAsia"/>
          <w:snapToGrid w:val="0"/>
          <w:kern w:val="32"/>
          <w:sz w:val="32"/>
          <w:szCs w:val="32"/>
        </w:rPr>
      </w:pPr>
      <w:r>
        <w:rPr>
          <w:rFonts w:ascii="仿宋_GB2312" w:eastAsia="仿宋_GB2312" w:hAnsi="仿宋_GB2312" w:cs="仿宋_GB2312" w:hint="eastAsia"/>
          <w:snapToGrid w:val="0"/>
          <w:kern w:val="32"/>
          <w:sz w:val="32"/>
          <w:szCs w:val="32"/>
        </w:rPr>
        <w:t>当</w:t>
      </w:r>
      <w:r>
        <w:rPr>
          <w:rFonts w:ascii="仿宋_GB2312" w:eastAsia="仿宋_GB2312" w:hAnsi="仿宋_GB2312" w:cs="仿宋_GB2312" w:hint="eastAsia"/>
          <w:kern w:val="32"/>
          <w:sz w:val="32"/>
          <w:szCs w:val="32"/>
        </w:rPr>
        <w:t>K</w:t>
      </w:r>
      <w:r>
        <w:rPr>
          <w:rFonts w:ascii="仿宋_GB2312" w:eastAsia="仿宋_GB2312" w:hAnsi="仿宋_GB2312" w:cs="仿宋_GB2312" w:hint="eastAsia"/>
          <w:snapToGrid w:val="0"/>
          <w:kern w:val="32"/>
          <w:sz w:val="32"/>
          <w:szCs w:val="32"/>
        </w:rPr>
        <w:t>∈[-15%,-5%）∪（5%,15%]时,U</w:t>
      </w:r>
      <w:r>
        <w:rPr>
          <w:rFonts w:ascii="仿宋_GB2312" w:eastAsia="仿宋_GB2312" w:hAnsi="仿宋_GB2312" w:cs="仿宋_GB2312" w:hint="eastAsia"/>
          <w:snapToGrid w:val="0"/>
          <w:kern w:val="32"/>
          <w:sz w:val="32"/>
          <w:szCs w:val="32"/>
          <w:vertAlign w:val="subscript"/>
        </w:rPr>
        <w:t>1</w:t>
      </w:r>
      <w:r>
        <w:rPr>
          <w:rFonts w:ascii="仿宋_GB2312" w:eastAsia="仿宋_GB2312" w:hAnsi="仿宋_GB2312" w:cs="仿宋_GB2312" w:hint="eastAsia"/>
          <w:snapToGrid w:val="0"/>
          <w:kern w:val="32"/>
          <w:sz w:val="32"/>
          <w:szCs w:val="32"/>
        </w:rPr>
        <w:t>=1.1,U</w:t>
      </w:r>
      <w:r>
        <w:rPr>
          <w:rFonts w:ascii="仿宋_GB2312" w:eastAsia="仿宋_GB2312" w:hAnsi="仿宋_GB2312" w:cs="仿宋_GB2312" w:hint="eastAsia"/>
          <w:snapToGrid w:val="0"/>
          <w:kern w:val="32"/>
          <w:sz w:val="32"/>
          <w:szCs w:val="32"/>
          <w:vertAlign w:val="subscript"/>
        </w:rPr>
        <w:t>2</w:t>
      </w:r>
      <w:r>
        <w:rPr>
          <w:rFonts w:ascii="仿宋_GB2312" w:eastAsia="仿宋_GB2312" w:hAnsi="仿宋_GB2312" w:cs="仿宋_GB2312" w:hint="eastAsia"/>
          <w:snapToGrid w:val="0"/>
          <w:kern w:val="32"/>
          <w:sz w:val="32"/>
          <w:szCs w:val="32"/>
        </w:rPr>
        <w:t>=0.9;</w:t>
      </w:r>
    </w:p>
    <w:p w14:paraId="29D2D258" w14:textId="77777777" w:rsidR="007E2E2A" w:rsidRDefault="00000000">
      <w:pPr>
        <w:pStyle w:val="Style5"/>
        <w:spacing w:line="600" w:lineRule="exact"/>
        <w:ind w:firstLine="640"/>
        <w:rPr>
          <w:rFonts w:ascii="仿宋_GB2312" w:eastAsia="仿宋_GB2312" w:hAnsi="仿宋_GB2312" w:cs="仿宋_GB2312" w:hint="eastAsia"/>
          <w:snapToGrid w:val="0"/>
          <w:kern w:val="32"/>
          <w:sz w:val="32"/>
          <w:szCs w:val="32"/>
        </w:rPr>
      </w:pPr>
      <w:r>
        <w:rPr>
          <w:rFonts w:ascii="仿宋_GB2312" w:eastAsia="仿宋_GB2312" w:hAnsi="仿宋_GB2312" w:cs="仿宋_GB2312" w:hint="eastAsia"/>
          <w:snapToGrid w:val="0"/>
          <w:kern w:val="32"/>
          <w:sz w:val="32"/>
          <w:szCs w:val="32"/>
        </w:rPr>
        <w:t>当</w:t>
      </w:r>
      <w:r>
        <w:rPr>
          <w:rFonts w:ascii="仿宋_GB2312" w:eastAsia="仿宋_GB2312" w:hAnsi="仿宋_GB2312" w:cs="仿宋_GB2312" w:hint="eastAsia"/>
          <w:kern w:val="32"/>
          <w:sz w:val="32"/>
          <w:szCs w:val="32"/>
        </w:rPr>
        <w:t>K</w:t>
      </w:r>
      <w:r>
        <w:rPr>
          <w:rFonts w:ascii="仿宋_GB2312" w:eastAsia="仿宋_GB2312" w:hAnsi="仿宋_GB2312" w:cs="仿宋_GB2312" w:hint="eastAsia"/>
          <w:snapToGrid w:val="0"/>
          <w:kern w:val="32"/>
          <w:sz w:val="32"/>
          <w:szCs w:val="32"/>
        </w:rPr>
        <w:t>∈[-40%,-15%）∪（15%,40%]时,U</w:t>
      </w:r>
      <w:r>
        <w:rPr>
          <w:rFonts w:ascii="仿宋_GB2312" w:eastAsia="仿宋_GB2312" w:hAnsi="仿宋_GB2312" w:cs="仿宋_GB2312" w:hint="eastAsia"/>
          <w:snapToGrid w:val="0"/>
          <w:kern w:val="32"/>
          <w:sz w:val="32"/>
          <w:szCs w:val="32"/>
          <w:vertAlign w:val="subscript"/>
        </w:rPr>
        <w:t>1</w:t>
      </w:r>
      <w:r>
        <w:rPr>
          <w:rFonts w:ascii="仿宋_GB2312" w:eastAsia="仿宋_GB2312" w:hAnsi="仿宋_GB2312" w:cs="仿宋_GB2312" w:hint="eastAsia"/>
          <w:snapToGrid w:val="0"/>
          <w:kern w:val="32"/>
          <w:sz w:val="32"/>
          <w:szCs w:val="32"/>
        </w:rPr>
        <w:t>=1.15,U</w:t>
      </w:r>
      <w:r>
        <w:rPr>
          <w:rFonts w:ascii="仿宋_GB2312" w:eastAsia="仿宋_GB2312" w:hAnsi="仿宋_GB2312" w:cs="仿宋_GB2312" w:hint="eastAsia"/>
          <w:snapToGrid w:val="0"/>
          <w:kern w:val="32"/>
          <w:sz w:val="32"/>
          <w:szCs w:val="32"/>
          <w:vertAlign w:val="subscript"/>
        </w:rPr>
        <w:t>2</w:t>
      </w:r>
      <w:r>
        <w:rPr>
          <w:rFonts w:ascii="仿宋_GB2312" w:eastAsia="仿宋_GB2312" w:hAnsi="仿宋_GB2312" w:cs="仿宋_GB2312" w:hint="eastAsia"/>
          <w:snapToGrid w:val="0"/>
          <w:kern w:val="32"/>
          <w:sz w:val="32"/>
          <w:szCs w:val="32"/>
        </w:rPr>
        <w:t>=0.85;</w:t>
      </w:r>
    </w:p>
    <w:p w14:paraId="17DC522A" w14:textId="77777777" w:rsidR="007E2E2A" w:rsidRDefault="00000000">
      <w:pPr>
        <w:pStyle w:val="Style5"/>
        <w:spacing w:line="600" w:lineRule="exact"/>
        <w:ind w:firstLine="640"/>
        <w:rPr>
          <w:rFonts w:ascii="仿宋_GB2312" w:eastAsia="仿宋_GB2312" w:hAnsi="仿宋_GB2312" w:cs="仿宋_GB2312" w:hint="eastAsia"/>
          <w:snapToGrid w:val="0"/>
          <w:kern w:val="32"/>
          <w:sz w:val="32"/>
          <w:szCs w:val="32"/>
        </w:rPr>
      </w:pPr>
      <w:r>
        <w:rPr>
          <w:rFonts w:ascii="仿宋_GB2312" w:eastAsia="仿宋_GB2312" w:hAnsi="仿宋_GB2312" w:cs="仿宋_GB2312" w:hint="eastAsia"/>
          <w:snapToGrid w:val="0"/>
          <w:kern w:val="32"/>
          <w:sz w:val="32"/>
          <w:szCs w:val="32"/>
        </w:rPr>
        <w:t>当</w:t>
      </w:r>
      <w:r>
        <w:rPr>
          <w:rFonts w:ascii="仿宋_GB2312" w:eastAsia="仿宋_GB2312" w:hAnsi="仿宋_GB2312" w:cs="仿宋_GB2312" w:hint="eastAsia"/>
          <w:kern w:val="32"/>
          <w:sz w:val="32"/>
          <w:szCs w:val="32"/>
        </w:rPr>
        <w:t>K</w:t>
      </w:r>
      <w:r>
        <w:rPr>
          <w:rFonts w:ascii="仿宋_GB2312" w:eastAsia="仿宋_GB2312" w:hAnsi="仿宋_GB2312" w:cs="仿宋_GB2312" w:hint="eastAsia"/>
          <w:snapToGrid w:val="0"/>
          <w:kern w:val="32"/>
          <w:sz w:val="32"/>
          <w:szCs w:val="32"/>
        </w:rPr>
        <w:t>∈[-100%,-40%）∪（40%,+∞）时,U</w:t>
      </w:r>
      <w:r>
        <w:rPr>
          <w:rFonts w:ascii="仿宋_GB2312" w:eastAsia="仿宋_GB2312" w:hAnsi="仿宋_GB2312" w:cs="仿宋_GB2312" w:hint="eastAsia"/>
          <w:snapToGrid w:val="0"/>
          <w:kern w:val="32"/>
          <w:sz w:val="32"/>
          <w:szCs w:val="32"/>
          <w:vertAlign w:val="subscript"/>
        </w:rPr>
        <w:t>1</w:t>
      </w:r>
      <w:r>
        <w:rPr>
          <w:rFonts w:ascii="仿宋_GB2312" w:eastAsia="仿宋_GB2312" w:hAnsi="仿宋_GB2312" w:cs="仿宋_GB2312" w:hint="eastAsia"/>
          <w:snapToGrid w:val="0"/>
          <w:kern w:val="32"/>
          <w:sz w:val="32"/>
          <w:szCs w:val="32"/>
        </w:rPr>
        <w:t>=1.2,U</w:t>
      </w:r>
      <w:r>
        <w:rPr>
          <w:rFonts w:ascii="仿宋_GB2312" w:eastAsia="仿宋_GB2312" w:hAnsi="仿宋_GB2312" w:cs="仿宋_GB2312" w:hint="eastAsia"/>
          <w:snapToGrid w:val="0"/>
          <w:kern w:val="32"/>
          <w:sz w:val="32"/>
          <w:szCs w:val="32"/>
          <w:vertAlign w:val="subscript"/>
        </w:rPr>
        <w:t>2</w:t>
      </w:r>
      <w:r>
        <w:rPr>
          <w:rFonts w:ascii="仿宋_GB2312" w:eastAsia="仿宋_GB2312" w:hAnsi="仿宋_GB2312" w:cs="仿宋_GB2312" w:hint="eastAsia"/>
          <w:snapToGrid w:val="0"/>
          <w:kern w:val="32"/>
          <w:sz w:val="32"/>
          <w:szCs w:val="32"/>
        </w:rPr>
        <w:t>=0.8。</w:t>
      </w:r>
    </w:p>
    <w:p w14:paraId="7A48C0B7" w14:textId="77777777" w:rsidR="007E2E2A" w:rsidRDefault="00000000">
      <w:pPr>
        <w:spacing w:line="600" w:lineRule="exact"/>
        <w:ind w:firstLineChars="200" w:firstLine="640"/>
        <w:rPr>
          <w:rFonts w:ascii="仿宋_GB2312" w:hAnsi="仿宋_GB2312" w:cs="仿宋_GB2312" w:hint="eastAsia"/>
        </w:rPr>
      </w:pPr>
      <w:r>
        <w:rPr>
          <w:rFonts w:ascii="仿宋_GB2312" w:hAnsi="仿宋_GB2312" w:cs="仿宋_GB2312" w:hint="eastAsia"/>
        </w:rPr>
        <w:t>后期根据北京市场运行情况，适时调整调节系数并发布。电</w:t>
      </w:r>
      <w:r>
        <w:rPr>
          <w:rFonts w:ascii="仿宋_GB2312" w:hAnsi="仿宋_GB2312" w:cs="仿宋_GB2312" w:hint="eastAsia"/>
        </w:rPr>
        <w:lastRenderedPageBreak/>
        <w:t>网企业代理购电产生的偏差电量，按照京津唐电网月度竞价出清价格结算。</w:t>
      </w:r>
    </w:p>
    <w:p w14:paraId="541613CE" w14:textId="77777777" w:rsidR="007E2E2A" w:rsidRDefault="00000000">
      <w:pPr>
        <w:spacing w:line="600" w:lineRule="exact"/>
        <w:ind w:firstLineChars="200" w:firstLine="640"/>
        <w:rPr>
          <w:rFonts w:ascii="楷体_GB2312" w:eastAsia="楷体_GB2312" w:hAnsi="楷体_GB2312" w:cs="楷体_GB2312" w:hint="eastAsia"/>
        </w:rPr>
      </w:pPr>
      <w:r>
        <w:rPr>
          <w:rFonts w:ascii="楷体_GB2312" w:eastAsia="楷体_GB2312" w:hAnsi="楷体_GB2312" w:cs="楷体_GB2312" w:hint="eastAsia"/>
        </w:rPr>
        <w:t>（二）偏差资金</w:t>
      </w:r>
    </w:p>
    <w:p w14:paraId="6E02B241" w14:textId="77777777" w:rsidR="007E2E2A" w:rsidRDefault="00000000">
      <w:pPr>
        <w:spacing w:line="600" w:lineRule="exact"/>
        <w:ind w:firstLineChars="200" w:firstLine="640"/>
        <w:rPr>
          <w:rFonts w:ascii="仿宋_GB2312" w:hAnsi="仿宋_GB2312" w:cs="仿宋_GB2312" w:hint="eastAsia"/>
        </w:rPr>
      </w:pPr>
      <w:r>
        <w:rPr>
          <w:rFonts w:ascii="仿宋_GB2312" w:hAnsi="仿宋_GB2312" w:cs="仿宋_GB2312" w:hint="eastAsia"/>
        </w:rPr>
        <w:t>2026年，</w:t>
      </w:r>
      <w:bookmarkStart w:id="1" w:name="_Hlk181905563"/>
      <w:r>
        <w:rPr>
          <w:rFonts w:ascii="仿宋_GB2312" w:hAnsi="仿宋_GB2312" w:cs="仿宋_GB2312" w:hint="eastAsia"/>
        </w:rPr>
        <w:t>批发用户、售电公司</w:t>
      </w:r>
      <w:bookmarkEnd w:id="1"/>
      <w:r>
        <w:rPr>
          <w:rFonts w:ascii="仿宋_GB2312" w:hAnsi="仿宋_GB2312" w:cs="仿宋_GB2312" w:hint="eastAsia"/>
        </w:rPr>
        <w:t>因合同偏差电量结算引起的偏差资金，原则上在北京地区批发用户、售电公司范围内分摊。具体分摊原则如下：</w:t>
      </w:r>
    </w:p>
    <w:p w14:paraId="787D6172" w14:textId="77777777" w:rsidR="007E2E2A" w:rsidRDefault="00000000">
      <w:pPr>
        <w:spacing w:line="600" w:lineRule="exact"/>
        <w:ind w:firstLineChars="200" w:firstLine="640"/>
        <w:rPr>
          <w:rFonts w:ascii="仿宋_GB2312" w:hAnsi="仿宋_GB2312" w:cs="仿宋_GB2312" w:hint="eastAsia"/>
        </w:rPr>
      </w:pPr>
      <w:r>
        <w:rPr>
          <w:rFonts w:ascii="仿宋_GB2312" w:hAnsi="仿宋_GB2312" w:cs="仿宋_GB2312" w:hint="eastAsia"/>
        </w:rPr>
        <w:t>1.资金分摊原则</w:t>
      </w:r>
    </w:p>
    <w:p w14:paraId="7D1039BD" w14:textId="77777777" w:rsidR="007E2E2A" w:rsidRDefault="00000000">
      <w:pPr>
        <w:spacing w:line="600" w:lineRule="exact"/>
        <w:ind w:firstLineChars="200" w:firstLine="640"/>
        <w:rPr>
          <w:rFonts w:ascii="仿宋_GB2312" w:hAnsi="仿宋_GB2312" w:cs="仿宋_GB2312" w:hint="eastAsia"/>
        </w:rPr>
      </w:pPr>
      <w:r>
        <w:rPr>
          <w:rFonts w:ascii="仿宋_GB2312" w:hAnsi="仿宋_GB2312" w:cs="仿宋_GB2312" w:hint="eastAsia"/>
        </w:rPr>
        <w:t>综合考虑偏差电量、偏差率两个维度，按照“谁产生谁分摊、鼓励控制偏差”的原则对偏差结算差额资金进行分摊。各月偏差结算差额资金总额及各批发用户、售电公司分摊金额按照当月结算数据计算、按月结算。</w:t>
      </w:r>
    </w:p>
    <w:p w14:paraId="7283F414" w14:textId="77777777" w:rsidR="007E2E2A" w:rsidRDefault="00000000">
      <w:pPr>
        <w:spacing w:line="600" w:lineRule="exact"/>
        <w:ind w:firstLineChars="200" w:firstLine="640"/>
        <w:rPr>
          <w:rFonts w:ascii="仿宋_GB2312" w:hAnsi="仿宋_GB2312" w:cs="仿宋_GB2312" w:hint="eastAsia"/>
        </w:rPr>
      </w:pPr>
      <w:r>
        <w:rPr>
          <w:rFonts w:ascii="仿宋_GB2312" w:hAnsi="仿宋_GB2312" w:cs="仿宋_GB2312" w:hint="eastAsia"/>
        </w:rPr>
        <w:t>2.具体计算方法</w:t>
      </w:r>
    </w:p>
    <w:p w14:paraId="4B379D2C" w14:textId="77777777" w:rsidR="007E2E2A" w:rsidRDefault="00000000">
      <w:pPr>
        <w:spacing w:line="600" w:lineRule="exact"/>
        <w:ind w:firstLineChars="200" w:firstLine="640"/>
        <w:rPr>
          <w:rFonts w:ascii="仿宋_GB2312" w:hAnsi="仿宋_GB2312" w:cs="仿宋_GB2312" w:hint="eastAsia"/>
        </w:rPr>
      </w:pPr>
      <w:r>
        <w:rPr>
          <w:rFonts w:ascii="仿宋_GB2312" w:hAnsi="仿宋_GB2312" w:cs="仿宋_GB2312" w:hint="eastAsia"/>
        </w:rPr>
        <w:t>（1）偏差结算差额资金总额</w:t>
      </w:r>
    </w:p>
    <w:p w14:paraId="2F958F35" w14:textId="77777777" w:rsidR="007E2E2A" w:rsidRDefault="00000000">
      <w:pPr>
        <w:spacing w:line="600" w:lineRule="exact"/>
        <w:ind w:firstLineChars="200" w:firstLine="640"/>
        <w:rPr>
          <w:rFonts w:ascii="仿宋_GB2312" w:hAnsi="仿宋_GB2312" w:cs="仿宋_GB2312" w:hint="eastAsia"/>
        </w:rPr>
      </w:pPr>
      <w:r>
        <w:rPr>
          <w:rFonts w:ascii="仿宋_GB2312" w:hAnsi="仿宋_GB2312" w:cs="仿宋_GB2312" w:hint="eastAsia"/>
        </w:rPr>
        <w:t>偏差结算差额资金总额指当月批发用户、售电公司支出的电能</w:t>
      </w:r>
      <w:proofErr w:type="gramStart"/>
      <w:r>
        <w:rPr>
          <w:rFonts w:ascii="仿宋_GB2312" w:hAnsi="仿宋_GB2312" w:cs="仿宋_GB2312" w:hint="eastAsia"/>
        </w:rPr>
        <w:t>量合同</w:t>
      </w:r>
      <w:proofErr w:type="gramEnd"/>
      <w:r>
        <w:rPr>
          <w:rFonts w:ascii="仿宋_GB2312" w:hAnsi="仿宋_GB2312" w:cs="仿宋_GB2312" w:hint="eastAsia"/>
        </w:rPr>
        <w:t>费用及偏差结算费用总和与北京电网向北京本地参与中长期交易的新能源发电企业、华北电网支付的直接交易电能</w:t>
      </w:r>
      <w:proofErr w:type="gramStart"/>
      <w:r>
        <w:rPr>
          <w:rFonts w:ascii="仿宋_GB2312" w:hAnsi="仿宋_GB2312" w:cs="仿宋_GB2312" w:hint="eastAsia"/>
        </w:rPr>
        <w:t>量合同</w:t>
      </w:r>
      <w:proofErr w:type="gramEnd"/>
      <w:r>
        <w:rPr>
          <w:rFonts w:ascii="仿宋_GB2312" w:hAnsi="仿宋_GB2312" w:cs="仿宋_GB2312" w:hint="eastAsia"/>
        </w:rPr>
        <w:t>费用及偏差结算费用总和之差。</w:t>
      </w:r>
    </w:p>
    <w:p w14:paraId="17A39F26" w14:textId="77777777" w:rsidR="007E2E2A" w:rsidRDefault="00000000">
      <w:pPr>
        <w:spacing w:line="600" w:lineRule="exact"/>
        <w:ind w:firstLineChars="200" w:firstLine="640"/>
        <w:rPr>
          <w:rFonts w:ascii="仿宋_GB2312" w:hAnsi="仿宋_GB2312" w:cs="仿宋_GB2312" w:hint="eastAsia"/>
        </w:rPr>
      </w:pPr>
      <w:r>
        <w:rPr>
          <w:rFonts w:ascii="仿宋_GB2312" w:hAnsi="仿宋_GB2312" w:cs="仿宋_GB2312" w:hint="eastAsia"/>
        </w:rPr>
        <w:t>各月偏差结算差额资金总额的计算方式为：</w:t>
      </w:r>
    </w:p>
    <w:p w14:paraId="7B1D45CD" w14:textId="77777777" w:rsidR="007E2E2A" w:rsidRDefault="00000000">
      <w:pPr>
        <w:spacing w:line="600" w:lineRule="exact"/>
        <w:ind w:firstLineChars="200" w:firstLine="640"/>
        <w:rPr>
          <w:rFonts w:ascii="仿宋_GB2312" w:hAnsi="仿宋_GB2312" w:cs="仿宋_GB2312" w:hint="eastAsia"/>
        </w:rPr>
      </w:pPr>
      <w:r>
        <w:rPr>
          <w:rFonts w:ascii="仿宋_GB2312" w:hAnsi="仿宋_GB2312" w:cs="仿宋_GB2312" w:hint="eastAsia"/>
        </w:rPr>
        <w:t>M=M</w:t>
      </w:r>
      <w:r>
        <w:rPr>
          <w:rFonts w:ascii="仿宋_GB2312" w:hAnsi="仿宋_GB2312" w:cs="仿宋_GB2312" w:hint="eastAsia"/>
          <w:vertAlign w:val="subscript"/>
        </w:rPr>
        <w:t>用户</w:t>
      </w:r>
      <w:r>
        <w:rPr>
          <w:rFonts w:ascii="仿宋_GB2312" w:hAnsi="仿宋_GB2312" w:cs="仿宋_GB2312" w:hint="eastAsia"/>
        </w:rPr>
        <w:t>-M</w:t>
      </w:r>
      <w:r>
        <w:rPr>
          <w:rFonts w:ascii="仿宋_GB2312" w:hAnsi="仿宋_GB2312" w:cs="仿宋_GB2312" w:hint="eastAsia"/>
          <w:vertAlign w:val="subscript"/>
        </w:rPr>
        <w:t>电网</w:t>
      </w:r>
      <w:r>
        <w:rPr>
          <w:rFonts w:ascii="仿宋_GB2312" w:hAnsi="仿宋_GB2312" w:cs="仿宋_GB2312" w:hint="eastAsia"/>
        </w:rPr>
        <w:t>；</w:t>
      </w:r>
    </w:p>
    <w:p w14:paraId="2D0BB0E0" w14:textId="77777777" w:rsidR="007E2E2A" w:rsidRDefault="00000000">
      <w:pPr>
        <w:spacing w:line="600" w:lineRule="exact"/>
        <w:ind w:firstLineChars="200" w:firstLine="640"/>
        <w:rPr>
          <w:rFonts w:ascii="仿宋_GB2312" w:hAnsi="仿宋_GB2312" w:cs="仿宋_GB2312" w:hint="eastAsia"/>
        </w:rPr>
      </w:pPr>
      <w:r>
        <w:rPr>
          <w:rFonts w:ascii="仿宋_GB2312" w:hAnsi="仿宋_GB2312" w:cs="仿宋_GB2312" w:hint="eastAsia"/>
        </w:rPr>
        <w:t>M为当月偏差结算差额资金总额；</w:t>
      </w:r>
    </w:p>
    <w:p w14:paraId="348D4E54" w14:textId="77777777" w:rsidR="007E2E2A" w:rsidRDefault="00000000">
      <w:pPr>
        <w:spacing w:line="600" w:lineRule="exact"/>
        <w:ind w:firstLineChars="200" w:firstLine="640"/>
        <w:rPr>
          <w:rFonts w:ascii="仿宋_GB2312" w:hAnsi="仿宋_GB2312" w:cs="仿宋_GB2312" w:hint="eastAsia"/>
        </w:rPr>
      </w:pPr>
      <w:r>
        <w:rPr>
          <w:rFonts w:ascii="仿宋_GB2312" w:hAnsi="仿宋_GB2312" w:cs="仿宋_GB2312" w:hint="eastAsia"/>
        </w:rPr>
        <w:t>M</w:t>
      </w:r>
      <w:r>
        <w:rPr>
          <w:rFonts w:ascii="仿宋_GB2312" w:hAnsi="仿宋_GB2312" w:cs="仿宋_GB2312" w:hint="eastAsia"/>
          <w:vertAlign w:val="subscript"/>
        </w:rPr>
        <w:t>用户</w:t>
      </w:r>
      <w:r>
        <w:rPr>
          <w:rFonts w:ascii="仿宋_GB2312" w:hAnsi="仿宋_GB2312" w:cs="仿宋_GB2312" w:hint="eastAsia"/>
        </w:rPr>
        <w:t>为当月批发用户、售电公司支出的电能</w:t>
      </w:r>
      <w:proofErr w:type="gramStart"/>
      <w:r>
        <w:rPr>
          <w:rFonts w:ascii="仿宋_GB2312" w:hAnsi="仿宋_GB2312" w:cs="仿宋_GB2312" w:hint="eastAsia"/>
        </w:rPr>
        <w:t>量合同</w:t>
      </w:r>
      <w:proofErr w:type="gramEnd"/>
      <w:r>
        <w:rPr>
          <w:rFonts w:ascii="仿宋_GB2312" w:hAnsi="仿宋_GB2312" w:cs="仿宋_GB2312" w:hint="eastAsia"/>
        </w:rPr>
        <w:t>费用及偏</w:t>
      </w:r>
      <w:r>
        <w:rPr>
          <w:rFonts w:ascii="仿宋_GB2312" w:hAnsi="仿宋_GB2312" w:cs="仿宋_GB2312" w:hint="eastAsia"/>
        </w:rPr>
        <w:lastRenderedPageBreak/>
        <w:t>差结算费用总和；</w:t>
      </w:r>
    </w:p>
    <w:p w14:paraId="2C02B4E6" w14:textId="77777777" w:rsidR="007E2E2A" w:rsidRDefault="00000000">
      <w:pPr>
        <w:spacing w:line="600" w:lineRule="exact"/>
        <w:ind w:firstLineChars="200" w:firstLine="640"/>
        <w:rPr>
          <w:rFonts w:ascii="仿宋_GB2312" w:hAnsi="仿宋_GB2312" w:cs="仿宋_GB2312" w:hint="eastAsia"/>
        </w:rPr>
      </w:pPr>
      <w:r>
        <w:rPr>
          <w:rFonts w:ascii="仿宋_GB2312" w:hAnsi="仿宋_GB2312" w:cs="仿宋_GB2312" w:hint="eastAsia"/>
        </w:rPr>
        <w:t>M</w:t>
      </w:r>
      <w:r>
        <w:rPr>
          <w:rFonts w:ascii="仿宋_GB2312" w:hAnsi="仿宋_GB2312" w:cs="仿宋_GB2312" w:hint="eastAsia"/>
          <w:vertAlign w:val="subscript"/>
        </w:rPr>
        <w:t>电网</w:t>
      </w:r>
      <w:r>
        <w:rPr>
          <w:rFonts w:ascii="仿宋_GB2312" w:hAnsi="仿宋_GB2312" w:cs="仿宋_GB2312" w:hint="eastAsia"/>
        </w:rPr>
        <w:t>为北京电网向北京本地参与中长期交易的新能源发电企业、华北电网支付的直接交易电能</w:t>
      </w:r>
      <w:proofErr w:type="gramStart"/>
      <w:r>
        <w:rPr>
          <w:rFonts w:ascii="仿宋_GB2312" w:hAnsi="仿宋_GB2312" w:cs="仿宋_GB2312" w:hint="eastAsia"/>
        </w:rPr>
        <w:t>量合同</w:t>
      </w:r>
      <w:proofErr w:type="gramEnd"/>
      <w:r>
        <w:rPr>
          <w:rFonts w:ascii="仿宋_GB2312" w:hAnsi="仿宋_GB2312" w:cs="仿宋_GB2312" w:hint="eastAsia"/>
        </w:rPr>
        <w:t>费用及偏差结算费用总和。</w:t>
      </w:r>
    </w:p>
    <w:p w14:paraId="7EE2A0DC" w14:textId="77777777" w:rsidR="007E2E2A" w:rsidRDefault="00000000">
      <w:pPr>
        <w:spacing w:line="600" w:lineRule="exact"/>
        <w:ind w:firstLineChars="200" w:firstLine="640"/>
        <w:rPr>
          <w:rFonts w:ascii="仿宋_GB2312" w:hAnsi="仿宋_GB2312" w:cs="仿宋_GB2312" w:hint="eastAsia"/>
        </w:rPr>
      </w:pPr>
      <w:r>
        <w:rPr>
          <w:rFonts w:ascii="仿宋_GB2312" w:hAnsi="仿宋_GB2312" w:cs="仿宋_GB2312" w:hint="eastAsia"/>
        </w:rPr>
        <w:t>（2）分摊基数</w:t>
      </w:r>
    </w:p>
    <w:p w14:paraId="574218CC" w14:textId="77777777" w:rsidR="007E2E2A" w:rsidRDefault="00000000">
      <w:pPr>
        <w:spacing w:line="600" w:lineRule="exact"/>
        <w:ind w:firstLineChars="200" w:firstLine="640"/>
        <w:rPr>
          <w:rFonts w:ascii="仿宋_GB2312" w:hAnsi="仿宋_GB2312" w:cs="仿宋_GB2312" w:hint="eastAsia"/>
        </w:rPr>
      </w:pPr>
      <w:r>
        <w:rPr>
          <w:rFonts w:ascii="仿宋_GB2312" w:hAnsi="仿宋_GB2312" w:cs="仿宋_GB2312" w:hint="eastAsia"/>
        </w:rPr>
        <w:t>按照资金分摊原则，根据批发用户、售电公司的偏差电量和偏差率设定偏差结算差额资金分摊基数，作为各批发用户、售电公司分摊资金数量的计算条件，计算方法为：</w:t>
      </w:r>
    </w:p>
    <w:p w14:paraId="1DBE3423" w14:textId="77777777" w:rsidR="007E2E2A" w:rsidRDefault="00000000">
      <w:pPr>
        <w:spacing w:line="600" w:lineRule="exact"/>
        <w:ind w:firstLineChars="200" w:firstLine="640"/>
        <w:rPr>
          <w:rFonts w:ascii="仿宋_GB2312" w:hAnsi="仿宋_GB2312" w:cs="仿宋_GB2312" w:hint="eastAsia"/>
        </w:rPr>
      </w:pPr>
      <w:r>
        <w:rPr>
          <w:rFonts w:ascii="仿宋_GB2312" w:hAnsi="仿宋_GB2312" w:cs="仿宋_GB2312" w:hint="eastAsia"/>
        </w:rPr>
        <w:t>当月差额资金总额为正时，F</w:t>
      </w:r>
      <w:r>
        <w:rPr>
          <w:rFonts w:ascii="仿宋_GB2312" w:hAnsi="仿宋_GB2312" w:cs="仿宋_GB2312" w:hint="eastAsia"/>
          <w:vertAlign w:val="subscript"/>
        </w:rPr>
        <w:t>i</w:t>
      </w:r>
      <w:r>
        <w:rPr>
          <w:rFonts w:ascii="仿宋_GB2312" w:hAnsi="仿宋_GB2312" w:cs="仿宋_GB2312" w:hint="eastAsia"/>
        </w:rPr>
        <w:t>=Q</w:t>
      </w:r>
      <w:r>
        <w:rPr>
          <w:rFonts w:ascii="仿宋_GB2312" w:hAnsi="仿宋_GB2312" w:cs="仿宋_GB2312" w:hint="eastAsia"/>
          <w:vertAlign w:val="subscript"/>
        </w:rPr>
        <w:t>i</w:t>
      </w:r>
      <w:r>
        <w:rPr>
          <w:rFonts w:ascii="仿宋_GB2312" w:hAnsi="仿宋_GB2312" w:cs="仿宋_GB2312" w:hint="eastAsia"/>
        </w:rPr>
        <w:t>×（1-X</w:t>
      </w:r>
      <w:r>
        <w:rPr>
          <w:rFonts w:ascii="仿宋_GB2312" w:hAnsi="仿宋_GB2312" w:cs="仿宋_GB2312" w:hint="eastAsia"/>
          <w:vertAlign w:val="subscript"/>
        </w:rPr>
        <w:t>i</w:t>
      </w:r>
      <w:r>
        <w:rPr>
          <w:rFonts w:ascii="仿宋_GB2312" w:hAnsi="仿宋_GB2312" w:cs="仿宋_GB2312" w:hint="eastAsia"/>
        </w:rPr>
        <w:t>）</w:t>
      </w:r>
      <w:r>
        <w:rPr>
          <w:rFonts w:ascii="仿宋_GB2312" w:hAnsi="仿宋_GB2312" w:cs="仿宋_GB2312" w:hint="eastAsia"/>
          <w:vertAlign w:val="superscript"/>
        </w:rPr>
        <w:t>2</w:t>
      </w:r>
      <w:r>
        <w:rPr>
          <w:rFonts w:ascii="仿宋_GB2312" w:hAnsi="仿宋_GB2312" w:cs="仿宋_GB2312" w:hint="eastAsia"/>
        </w:rPr>
        <w:t>；</w:t>
      </w:r>
    </w:p>
    <w:p w14:paraId="24E2D704" w14:textId="77777777" w:rsidR="007E2E2A" w:rsidRDefault="00000000">
      <w:pPr>
        <w:spacing w:line="600" w:lineRule="exact"/>
        <w:ind w:firstLineChars="200" w:firstLine="640"/>
        <w:rPr>
          <w:rFonts w:ascii="仿宋_GB2312" w:hAnsi="仿宋_GB2312" w:cs="仿宋_GB2312" w:hint="eastAsia"/>
          <w:position w:val="-12"/>
        </w:rPr>
      </w:pPr>
      <w:r>
        <w:rPr>
          <w:rFonts w:ascii="仿宋_GB2312" w:hAnsi="仿宋_GB2312" w:cs="仿宋_GB2312" w:hint="eastAsia"/>
        </w:rPr>
        <w:t>当月差额资金总额为负时，F</w:t>
      </w:r>
      <w:r>
        <w:rPr>
          <w:rFonts w:ascii="仿宋_GB2312" w:hAnsi="仿宋_GB2312" w:cs="仿宋_GB2312" w:hint="eastAsia"/>
          <w:vertAlign w:val="subscript"/>
        </w:rPr>
        <w:t>i</w:t>
      </w:r>
      <w:r>
        <w:rPr>
          <w:rFonts w:ascii="仿宋_GB2312" w:hAnsi="仿宋_GB2312" w:cs="仿宋_GB2312" w:hint="eastAsia"/>
        </w:rPr>
        <w:t>=Q</w:t>
      </w:r>
      <w:r>
        <w:rPr>
          <w:rFonts w:ascii="仿宋_GB2312" w:hAnsi="仿宋_GB2312" w:cs="仿宋_GB2312" w:hint="eastAsia"/>
          <w:vertAlign w:val="subscript"/>
        </w:rPr>
        <w:t>i</w:t>
      </w:r>
      <w:r>
        <w:rPr>
          <w:rFonts w:ascii="仿宋_GB2312" w:hAnsi="仿宋_GB2312" w:cs="仿宋_GB2312" w:hint="eastAsia"/>
        </w:rPr>
        <w:t>×X</w:t>
      </w:r>
      <w:r>
        <w:rPr>
          <w:rFonts w:ascii="仿宋_GB2312" w:hAnsi="仿宋_GB2312" w:cs="仿宋_GB2312" w:hint="eastAsia"/>
          <w:vertAlign w:val="subscript"/>
        </w:rPr>
        <w:t>i</w:t>
      </w:r>
      <w:r>
        <w:rPr>
          <w:rFonts w:ascii="仿宋_GB2312" w:hAnsi="仿宋_GB2312" w:cs="仿宋_GB2312" w:hint="eastAsia"/>
          <w:vertAlign w:val="superscript"/>
        </w:rPr>
        <w:t>2</w:t>
      </w:r>
      <w:r>
        <w:rPr>
          <w:rFonts w:ascii="仿宋_GB2312" w:hAnsi="仿宋_GB2312" w:cs="仿宋_GB2312" w:hint="eastAsia"/>
        </w:rPr>
        <w:t>；</w:t>
      </w:r>
    </w:p>
    <w:p w14:paraId="2D5F860D" w14:textId="77777777" w:rsidR="007E2E2A" w:rsidRDefault="00000000">
      <w:pPr>
        <w:spacing w:line="600" w:lineRule="exact"/>
        <w:ind w:firstLineChars="200" w:firstLine="664"/>
        <w:rPr>
          <w:rFonts w:ascii="仿宋_GB2312" w:hAnsi="仿宋_GB2312" w:cs="仿宋_GB2312" w:hint="eastAsia"/>
          <w:spacing w:val="6"/>
        </w:rPr>
      </w:pPr>
      <w:r>
        <w:rPr>
          <w:rFonts w:ascii="仿宋_GB2312" w:hAnsi="仿宋_GB2312" w:cs="仿宋_GB2312" w:hint="eastAsia"/>
          <w:spacing w:val="6"/>
        </w:rPr>
        <w:t>F</w:t>
      </w:r>
      <w:r>
        <w:rPr>
          <w:rFonts w:ascii="仿宋_GB2312" w:hAnsi="仿宋_GB2312" w:cs="仿宋_GB2312" w:hint="eastAsia"/>
          <w:spacing w:val="6"/>
          <w:vertAlign w:val="subscript"/>
        </w:rPr>
        <w:t>i</w:t>
      </w:r>
      <w:r>
        <w:rPr>
          <w:rFonts w:ascii="仿宋_GB2312" w:hAnsi="仿宋_GB2312" w:cs="仿宋_GB2312" w:hint="eastAsia"/>
          <w:spacing w:val="6"/>
        </w:rPr>
        <w:t>为第</w:t>
      </w:r>
      <w:proofErr w:type="spellStart"/>
      <w:r>
        <w:rPr>
          <w:rFonts w:ascii="仿宋_GB2312" w:hAnsi="仿宋_GB2312" w:cs="仿宋_GB2312" w:hint="eastAsia"/>
          <w:spacing w:val="6"/>
        </w:rPr>
        <w:t>i</w:t>
      </w:r>
      <w:proofErr w:type="spellEnd"/>
      <w:proofErr w:type="gramStart"/>
      <w:r>
        <w:rPr>
          <w:rFonts w:ascii="仿宋_GB2312" w:hAnsi="仿宋_GB2312" w:cs="仿宋_GB2312" w:hint="eastAsia"/>
          <w:spacing w:val="6"/>
        </w:rPr>
        <w:t>个</w:t>
      </w:r>
      <w:proofErr w:type="gramEnd"/>
      <w:r>
        <w:rPr>
          <w:rFonts w:ascii="仿宋_GB2312" w:hAnsi="仿宋_GB2312" w:cs="仿宋_GB2312" w:hint="eastAsia"/>
          <w:spacing w:val="6"/>
        </w:rPr>
        <w:t>批发交易用户当月的偏差结算差额资金分摊基数；</w:t>
      </w:r>
    </w:p>
    <w:p w14:paraId="44A67325" w14:textId="77777777" w:rsidR="007E2E2A" w:rsidRDefault="00000000">
      <w:pPr>
        <w:spacing w:line="600" w:lineRule="exact"/>
        <w:ind w:firstLineChars="200" w:firstLine="640"/>
        <w:rPr>
          <w:rFonts w:ascii="仿宋_GB2312" w:hAnsi="仿宋_GB2312" w:cs="仿宋_GB2312" w:hint="eastAsia"/>
        </w:rPr>
      </w:pPr>
      <w:r>
        <w:rPr>
          <w:rFonts w:ascii="仿宋_GB2312" w:hAnsi="仿宋_GB2312" w:cs="仿宋_GB2312" w:hint="eastAsia"/>
        </w:rPr>
        <w:t>Q</w:t>
      </w:r>
      <w:r>
        <w:rPr>
          <w:rFonts w:ascii="仿宋_GB2312" w:hAnsi="仿宋_GB2312" w:cs="仿宋_GB2312" w:hint="eastAsia"/>
          <w:vertAlign w:val="subscript"/>
        </w:rPr>
        <w:t>i</w:t>
      </w:r>
      <w:r>
        <w:rPr>
          <w:rFonts w:ascii="仿宋_GB2312" w:hAnsi="仿宋_GB2312" w:cs="仿宋_GB2312" w:hint="eastAsia"/>
        </w:rPr>
        <w:t>为第</w:t>
      </w:r>
      <w:proofErr w:type="spellStart"/>
      <w:r>
        <w:rPr>
          <w:rFonts w:ascii="仿宋_GB2312" w:hAnsi="仿宋_GB2312" w:cs="仿宋_GB2312" w:hint="eastAsia"/>
        </w:rPr>
        <w:t>i</w:t>
      </w:r>
      <w:proofErr w:type="spellEnd"/>
      <w:proofErr w:type="gramStart"/>
      <w:r>
        <w:rPr>
          <w:rFonts w:ascii="仿宋_GB2312" w:hAnsi="仿宋_GB2312" w:cs="仿宋_GB2312" w:hint="eastAsia"/>
        </w:rPr>
        <w:t>个</w:t>
      </w:r>
      <w:proofErr w:type="gramEnd"/>
      <w:r>
        <w:rPr>
          <w:rFonts w:ascii="仿宋_GB2312" w:hAnsi="仿宋_GB2312" w:cs="仿宋_GB2312" w:hint="eastAsia"/>
        </w:rPr>
        <w:t>批发交易用户当月的偏差电量绝对值；</w:t>
      </w:r>
    </w:p>
    <w:p w14:paraId="409C24CA" w14:textId="77777777" w:rsidR="007E2E2A" w:rsidRDefault="00000000">
      <w:pPr>
        <w:spacing w:line="600" w:lineRule="exact"/>
        <w:ind w:firstLineChars="200" w:firstLine="640"/>
        <w:rPr>
          <w:rFonts w:ascii="仿宋_GB2312" w:hAnsi="仿宋_GB2312" w:cs="仿宋_GB2312" w:hint="eastAsia"/>
        </w:rPr>
      </w:pPr>
      <w:r>
        <w:rPr>
          <w:rFonts w:ascii="仿宋_GB2312" w:hAnsi="仿宋_GB2312" w:cs="仿宋_GB2312" w:hint="eastAsia"/>
        </w:rPr>
        <w:t>X</w:t>
      </w:r>
      <w:r>
        <w:rPr>
          <w:rFonts w:ascii="仿宋_GB2312" w:hAnsi="仿宋_GB2312" w:cs="仿宋_GB2312" w:hint="eastAsia"/>
          <w:vertAlign w:val="subscript"/>
        </w:rPr>
        <w:t>i</w:t>
      </w:r>
      <w:r>
        <w:rPr>
          <w:rFonts w:ascii="仿宋_GB2312" w:hAnsi="仿宋_GB2312" w:cs="仿宋_GB2312" w:hint="eastAsia"/>
        </w:rPr>
        <w:t>为</w:t>
      </w:r>
      <w:bookmarkStart w:id="2" w:name="_Hlk134199808"/>
      <w:r>
        <w:rPr>
          <w:rFonts w:ascii="仿宋_GB2312" w:hAnsi="仿宋_GB2312" w:cs="仿宋_GB2312" w:hint="eastAsia"/>
        </w:rPr>
        <w:t>第</w:t>
      </w:r>
      <w:proofErr w:type="spellStart"/>
      <w:r>
        <w:rPr>
          <w:rFonts w:ascii="仿宋_GB2312" w:hAnsi="仿宋_GB2312" w:cs="仿宋_GB2312" w:hint="eastAsia"/>
        </w:rPr>
        <w:t>i</w:t>
      </w:r>
      <w:proofErr w:type="spellEnd"/>
      <w:proofErr w:type="gramStart"/>
      <w:r>
        <w:rPr>
          <w:rFonts w:ascii="仿宋_GB2312" w:hAnsi="仿宋_GB2312" w:cs="仿宋_GB2312" w:hint="eastAsia"/>
        </w:rPr>
        <w:t>个</w:t>
      </w:r>
      <w:bookmarkStart w:id="3" w:name="_Hlk134199823"/>
      <w:proofErr w:type="gramEnd"/>
      <w:r>
        <w:rPr>
          <w:rFonts w:ascii="仿宋_GB2312" w:hAnsi="仿宋_GB2312" w:cs="仿宋_GB2312" w:hint="eastAsia"/>
        </w:rPr>
        <w:t>批发交易用户</w:t>
      </w:r>
      <w:bookmarkEnd w:id="3"/>
      <w:r>
        <w:rPr>
          <w:rFonts w:ascii="仿宋_GB2312" w:hAnsi="仿宋_GB2312" w:cs="仿宋_GB2312" w:hint="eastAsia"/>
        </w:rPr>
        <w:t>当月的</w:t>
      </w:r>
      <w:bookmarkEnd w:id="2"/>
      <w:r>
        <w:rPr>
          <w:rFonts w:ascii="仿宋_GB2312" w:hAnsi="仿宋_GB2312" w:cs="仿宋_GB2312" w:hint="eastAsia"/>
        </w:rPr>
        <w:t>偏差率绝对值，即第</w:t>
      </w:r>
      <w:proofErr w:type="spellStart"/>
      <w:r>
        <w:rPr>
          <w:rFonts w:ascii="仿宋_GB2312" w:hAnsi="仿宋_GB2312" w:cs="仿宋_GB2312" w:hint="eastAsia"/>
        </w:rPr>
        <w:t>i</w:t>
      </w:r>
      <w:proofErr w:type="spellEnd"/>
      <w:proofErr w:type="gramStart"/>
      <w:r>
        <w:rPr>
          <w:rFonts w:ascii="仿宋_GB2312" w:hAnsi="仿宋_GB2312" w:cs="仿宋_GB2312" w:hint="eastAsia"/>
        </w:rPr>
        <w:t>个</w:t>
      </w:r>
      <w:proofErr w:type="gramEnd"/>
      <w:r>
        <w:rPr>
          <w:rFonts w:ascii="仿宋_GB2312" w:hAnsi="仿宋_GB2312" w:cs="仿宋_GB2312" w:hint="eastAsia"/>
        </w:rPr>
        <w:t>批发交易用户当月的偏差电量与合同电量之比的绝对值，合同电量包括年度分月、月度、合同电量转让及绿色电力等各类批发市场合同的电量之和，X</w:t>
      </w:r>
      <w:r>
        <w:rPr>
          <w:rFonts w:ascii="仿宋_GB2312" w:hAnsi="仿宋_GB2312" w:cs="仿宋_GB2312" w:hint="eastAsia"/>
          <w:vertAlign w:val="subscript"/>
        </w:rPr>
        <w:t>i</w:t>
      </w:r>
      <w:r>
        <w:rPr>
          <w:rFonts w:ascii="仿宋_GB2312" w:hAnsi="仿宋_GB2312" w:cs="仿宋_GB2312" w:hint="eastAsia"/>
        </w:rPr>
        <w:t>大于等于1及合同电量为0时，X</w:t>
      </w:r>
      <w:r>
        <w:rPr>
          <w:rFonts w:ascii="仿宋_GB2312" w:hAnsi="仿宋_GB2312" w:cs="仿宋_GB2312" w:hint="eastAsia"/>
          <w:vertAlign w:val="subscript"/>
        </w:rPr>
        <w:t>i</w:t>
      </w:r>
      <w:r>
        <w:rPr>
          <w:rFonts w:ascii="仿宋_GB2312" w:hAnsi="仿宋_GB2312" w:cs="仿宋_GB2312" w:hint="eastAsia"/>
        </w:rPr>
        <w:t>取当月其他偏差率小于1的批发交易用户偏差率的最大值。</w:t>
      </w:r>
    </w:p>
    <w:p w14:paraId="413C24C3" w14:textId="77777777" w:rsidR="007E2E2A" w:rsidRDefault="00000000">
      <w:pPr>
        <w:spacing w:line="600" w:lineRule="exact"/>
        <w:ind w:firstLineChars="200" w:firstLine="640"/>
        <w:rPr>
          <w:rFonts w:ascii="仿宋_GB2312" w:hAnsi="仿宋_GB2312" w:cs="仿宋_GB2312" w:hint="eastAsia"/>
        </w:rPr>
      </w:pPr>
      <w:r>
        <w:rPr>
          <w:rFonts w:ascii="仿宋_GB2312" w:hAnsi="仿宋_GB2312" w:cs="仿宋_GB2312" w:hint="eastAsia"/>
        </w:rPr>
        <w:t>（3）分摊资金</w:t>
      </w:r>
    </w:p>
    <w:p w14:paraId="3B5B1C57" w14:textId="77777777" w:rsidR="007E2E2A" w:rsidRDefault="00000000">
      <w:pPr>
        <w:spacing w:line="600" w:lineRule="exact"/>
        <w:ind w:firstLineChars="200" w:firstLine="640"/>
        <w:rPr>
          <w:rFonts w:ascii="仿宋_GB2312" w:hAnsi="仿宋_GB2312" w:cs="仿宋_GB2312" w:hint="eastAsia"/>
        </w:rPr>
      </w:pPr>
      <w:r>
        <w:rPr>
          <w:rFonts w:ascii="仿宋_GB2312" w:hAnsi="仿宋_GB2312" w:cs="仿宋_GB2312" w:hint="eastAsia"/>
        </w:rPr>
        <w:t>各批发用户、售电公司分摊的偏差结算差额资金等于当月分摊的偏差结算差额资金总额乘以其分摊基数占全部批发用户、售</w:t>
      </w:r>
      <w:r>
        <w:rPr>
          <w:rFonts w:ascii="仿宋_GB2312" w:hAnsi="仿宋_GB2312" w:cs="仿宋_GB2312" w:hint="eastAsia"/>
        </w:rPr>
        <w:lastRenderedPageBreak/>
        <w:t>电公司分摊基数之和的比例，计算方法为：</w:t>
      </w:r>
    </w:p>
    <w:p w14:paraId="315B04BB" w14:textId="77777777" w:rsidR="007E2E2A" w:rsidRDefault="00000000">
      <w:pPr>
        <w:spacing w:line="600" w:lineRule="exact"/>
        <w:ind w:firstLineChars="200" w:firstLine="640"/>
        <w:rPr>
          <w:rFonts w:ascii="仿宋_GB2312" w:hAnsi="仿宋_GB2312" w:cs="仿宋_GB2312" w:hint="eastAsia"/>
        </w:rPr>
      </w:pPr>
      <w:r>
        <w:rPr>
          <w:rFonts w:ascii="仿宋_GB2312" w:hAnsi="仿宋_GB2312" w:cs="仿宋_GB2312" w:hint="eastAsia"/>
        </w:rPr>
        <w:t>M</w:t>
      </w:r>
      <w:r>
        <w:rPr>
          <w:rFonts w:ascii="仿宋_GB2312" w:hAnsi="仿宋_GB2312" w:cs="仿宋_GB2312" w:hint="eastAsia"/>
          <w:vertAlign w:val="subscript"/>
        </w:rPr>
        <w:t>i</w:t>
      </w:r>
      <w:r>
        <w:rPr>
          <w:rFonts w:ascii="仿宋_GB2312" w:hAnsi="仿宋_GB2312" w:cs="仿宋_GB2312" w:hint="eastAsia"/>
        </w:rPr>
        <w:t>=M×F</w:t>
      </w:r>
      <w:r>
        <w:rPr>
          <w:rFonts w:ascii="仿宋_GB2312" w:hAnsi="仿宋_GB2312" w:cs="仿宋_GB2312" w:hint="eastAsia"/>
          <w:vertAlign w:val="subscript"/>
        </w:rPr>
        <w:t>i</w:t>
      </w:r>
      <w:r>
        <w:rPr>
          <w:rFonts w:ascii="仿宋_GB2312" w:hAnsi="仿宋_GB2312" w:cs="仿宋_GB2312" w:hint="eastAsia"/>
        </w:rPr>
        <w:t>/F；</w:t>
      </w:r>
    </w:p>
    <w:p w14:paraId="0BD14C95" w14:textId="77777777" w:rsidR="007E2E2A" w:rsidRDefault="00000000">
      <w:pPr>
        <w:spacing w:line="600" w:lineRule="exact"/>
        <w:ind w:firstLineChars="200" w:firstLine="640"/>
        <w:rPr>
          <w:rFonts w:ascii="仿宋_GB2312" w:hAnsi="仿宋_GB2312" w:cs="仿宋_GB2312" w:hint="eastAsia"/>
          <w:position w:val="-10"/>
        </w:rPr>
      </w:pPr>
      <w:r>
        <w:rPr>
          <w:rFonts w:ascii="仿宋_GB2312" w:hAnsi="仿宋_GB2312" w:cs="仿宋_GB2312" w:hint="eastAsia"/>
        </w:rPr>
        <w:t>M</w:t>
      </w:r>
      <w:r>
        <w:rPr>
          <w:rFonts w:ascii="仿宋_GB2312" w:hAnsi="仿宋_GB2312" w:cs="仿宋_GB2312" w:hint="eastAsia"/>
          <w:vertAlign w:val="subscript"/>
        </w:rPr>
        <w:t>i</w:t>
      </w:r>
      <w:r>
        <w:rPr>
          <w:rFonts w:ascii="仿宋_GB2312" w:hAnsi="仿宋_GB2312" w:cs="仿宋_GB2312" w:hint="eastAsia"/>
        </w:rPr>
        <w:t>为第</w:t>
      </w:r>
      <w:proofErr w:type="spellStart"/>
      <w:r>
        <w:rPr>
          <w:rFonts w:ascii="仿宋_GB2312" w:hAnsi="仿宋_GB2312" w:cs="仿宋_GB2312" w:hint="eastAsia"/>
        </w:rPr>
        <w:t>i</w:t>
      </w:r>
      <w:proofErr w:type="spellEnd"/>
      <w:proofErr w:type="gramStart"/>
      <w:r>
        <w:rPr>
          <w:rFonts w:ascii="仿宋_GB2312" w:hAnsi="仿宋_GB2312" w:cs="仿宋_GB2312" w:hint="eastAsia"/>
        </w:rPr>
        <w:t>个</w:t>
      </w:r>
      <w:proofErr w:type="gramEnd"/>
      <w:r>
        <w:rPr>
          <w:rFonts w:ascii="仿宋_GB2312" w:hAnsi="仿宋_GB2312" w:cs="仿宋_GB2312" w:hint="eastAsia"/>
        </w:rPr>
        <w:t>批发交易用户当月分摊的偏差结算差额资金；</w:t>
      </w:r>
    </w:p>
    <w:p w14:paraId="7773B104" w14:textId="77777777" w:rsidR="007E2E2A" w:rsidRDefault="00000000">
      <w:pPr>
        <w:spacing w:line="600" w:lineRule="exact"/>
        <w:ind w:firstLineChars="200" w:firstLine="640"/>
        <w:rPr>
          <w:rFonts w:ascii="仿宋_GB2312" w:hAnsi="仿宋_GB2312" w:cs="仿宋_GB2312" w:hint="eastAsia"/>
        </w:rPr>
      </w:pPr>
      <w:r>
        <w:rPr>
          <w:rFonts w:ascii="仿宋_GB2312" w:hAnsi="仿宋_GB2312" w:cs="仿宋_GB2312" w:hint="eastAsia"/>
        </w:rPr>
        <w:t>M为当月分摊的偏差结算差额资金总额；</w:t>
      </w:r>
    </w:p>
    <w:p w14:paraId="2C5ACBD5" w14:textId="77777777" w:rsidR="007E2E2A" w:rsidRDefault="00000000">
      <w:pPr>
        <w:spacing w:line="600" w:lineRule="exact"/>
        <w:ind w:firstLineChars="220" w:firstLine="704"/>
        <w:rPr>
          <w:rFonts w:ascii="仿宋_GB2312" w:hAnsi="仿宋_GB2312" w:cs="仿宋_GB2312" w:hint="eastAsia"/>
        </w:rPr>
      </w:pPr>
      <w:r>
        <w:rPr>
          <w:rFonts w:ascii="仿宋_GB2312" w:hAnsi="仿宋_GB2312" w:cs="仿宋_GB2312" w:hint="eastAsia"/>
        </w:rPr>
        <w:t>F为全部批发交易用户当月的偏差结算差额资金分摊基数之</w:t>
      </w:r>
      <w:proofErr w:type="gramStart"/>
      <w:r>
        <w:rPr>
          <w:rFonts w:ascii="仿宋_GB2312" w:hAnsi="仿宋_GB2312" w:cs="仿宋_GB2312" w:hint="eastAsia"/>
        </w:rPr>
        <w:t>和</w:t>
      </w:r>
      <w:proofErr w:type="gramEnd"/>
      <w:r>
        <w:rPr>
          <w:rFonts w:ascii="仿宋_GB2312" w:hAnsi="仿宋_GB2312" w:cs="仿宋_GB2312" w:hint="eastAsia"/>
        </w:rPr>
        <w:t>。</w:t>
      </w:r>
    </w:p>
    <w:p w14:paraId="324A7B14" w14:textId="77777777" w:rsidR="007E2E2A" w:rsidRDefault="00000000">
      <w:pPr>
        <w:snapToGrid w:val="0"/>
        <w:spacing w:line="600" w:lineRule="exact"/>
        <w:ind w:firstLineChars="200" w:firstLine="640"/>
        <w:rPr>
          <w:rFonts w:ascii="仿宋_GB2312" w:hAnsi="仿宋_GB2312" w:cs="仿宋_GB2312" w:hint="eastAsia"/>
        </w:rPr>
      </w:pPr>
      <w:r>
        <w:rPr>
          <w:rFonts w:ascii="仿宋_GB2312" w:hAnsi="仿宋_GB2312" w:cs="仿宋_GB2312" w:hint="eastAsia"/>
        </w:rPr>
        <w:t>后续根据市场运行情况，适时调整计算方法。</w:t>
      </w:r>
    </w:p>
    <w:p w14:paraId="6E6079CA" w14:textId="77777777" w:rsidR="007E2E2A" w:rsidRDefault="00000000">
      <w:pPr>
        <w:snapToGrid w:val="0"/>
        <w:spacing w:line="600" w:lineRule="exact"/>
        <w:ind w:firstLineChars="200" w:firstLine="640"/>
        <w:rPr>
          <w:rFonts w:ascii="楷体_GB2312" w:eastAsia="楷体_GB2312" w:hAnsi="楷体_GB2312" w:cs="楷体_GB2312" w:hint="eastAsia"/>
        </w:rPr>
      </w:pPr>
      <w:r>
        <w:rPr>
          <w:rFonts w:ascii="仿宋" w:eastAsia="仿宋" w:hAnsi="仿宋" w:cs="仿宋" w:hint="eastAsia"/>
        </w:rPr>
        <w:t>当</w:t>
      </w:r>
      <w:r>
        <w:rPr>
          <w:rFonts w:ascii="仿宋_GB2312" w:hAnsi="仿宋_GB2312" w:cs="仿宋_GB2312" w:hint="eastAsia"/>
        </w:rPr>
        <w:t>批发用户、售电公司</w:t>
      </w:r>
      <w:r>
        <w:rPr>
          <w:rFonts w:ascii="仿宋" w:eastAsia="仿宋" w:hAnsi="仿宋" w:cs="仿宋" w:hint="eastAsia"/>
        </w:rPr>
        <w:t>发生电费追退补时，不再对历史差额资金进行还原和分配，纳入追补月份差额资金总额进行统一分配。</w:t>
      </w:r>
    </w:p>
    <w:p w14:paraId="062D3E2F" w14:textId="77777777" w:rsidR="007E2E2A" w:rsidRDefault="00000000">
      <w:pPr>
        <w:spacing w:line="600" w:lineRule="exact"/>
        <w:ind w:firstLineChars="200" w:firstLine="640"/>
        <w:rPr>
          <w:rFonts w:ascii="楷体_GB2312" w:eastAsia="楷体_GB2312" w:hAnsi="楷体_GB2312" w:cs="楷体_GB2312" w:hint="eastAsia"/>
        </w:rPr>
      </w:pPr>
      <w:r>
        <w:rPr>
          <w:rFonts w:ascii="楷体_GB2312" w:eastAsia="楷体_GB2312" w:hAnsi="楷体_GB2312" w:cs="楷体_GB2312" w:hint="eastAsia"/>
        </w:rPr>
        <w:t>（三）偏差免责</w:t>
      </w:r>
    </w:p>
    <w:p w14:paraId="10B75809" w14:textId="77777777" w:rsidR="007E2E2A" w:rsidRDefault="00000000">
      <w:pPr>
        <w:spacing w:line="600" w:lineRule="exact"/>
        <w:ind w:firstLineChars="200" w:firstLine="640"/>
        <w:rPr>
          <w:rFonts w:ascii="仿宋_GB2312" w:hAnsi="仿宋_GB2312" w:cs="仿宋_GB2312" w:hint="eastAsia"/>
        </w:rPr>
      </w:pPr>
      <w:r>
        <w:rPr>
          <w:rFonts w:ascii="仿宋_GB2312" w:hAnsi="仿宋_GB2312" w:cs="仿宋_GB2312" w:hint="eastAsia"/>
        </w:rPr>
        <w:t>偏差免责申请及办理流程依据市城市管理委《关于北京市电力中长期交易偏差电量免责有关工作的通知》（</w:t>
      </w:r>
      <w:proofErr w:type="gramStart"/>
      <w:r>
        <w:rPr>
          <w:rFonts w:ascii="仿宋_GB2312" w:hAnsi="仿宋_GB2312" w:cs="仿宋_GB2312" w:hint="eastAsia"/>
        </w:rPr>
        <w:t>京管发</w:t>
      </w:r>
      <w:proofErr w:type="gramEnd"/>
      <w:r>
        <w:rPr>
          <w:rFonts w:ascii="仿宋_GB2312" w:hAnsi="仿宋_GB2312" w:cs="仿宋_GB2312" w:hint="eastAsia"/>
        </w:rPr>
        <w:t>〔2023〕2号）执行。如</w:t>
      </w:r>
      <w:proofErr w:type="gramStart"/>
      <w:r>
        <w:rPr>
          <w:rFonts w:ascii="仿宋_GB2312" w:hAnsi="仿宋_GB2312" w:cs="仿宋_GB2312" w:hint="eastAsia"/>
        </w:rPr>
        <w:t>遇政策</w:t>
      </w:r>
      <w:proofErr w:type="gramEnd"/>
      <w:r>
        <w:rPr>
          <w:rFonts w:ascii="仿宋_GB2312" w:hAnsi="仿宋_GB2312" w:cs="仿宋_GB2312" w:hint="eastAsia"/>
        </w:rPr>
        <w:t>调整，按照新政策执行。</w:t>
      </w:r>
    </w:p>
    <w:p w14:paraId="64B90545" w14:textId="77777777" w:rsidR="007E2E2A" w:rsidRDefault="00000000">
      <w:pPr>
        <w:spacing w:line="600" w:lineRule="exact"/>
        <w:ind w:firstLineChars="200" w:firstLine="640"/>
        <w:rPr>
          <w:rFonts w:ascii="黑体" w:eastAsia="黑体" w:hAnsi="黑体" w:cs="黑体" w:hint="eastAsia"/>
        </w:rPr>
      </w:pPr>
      <w:r>
        <w:rPr>
          <w:rFonts w:ascii="黑体" w:eastAsia="黑体" w:hAnsi="黑体" w:cs="黑体" w:hint="eastAsia"/>
        </w:rPr>
        <w:t>六、零售交易</w:t>
      </w:r>
    </w:p>
    <w:p w14:paraId="290C0428" w14:textId="77777777" w:rsidR="007E2E2A" w:rsidRDefault="00000000">
      <w:pPr>
        <w:pStyle w:val="Style5"/>
        <w:spacing w:line="600" w:lineRule="exact"/>
        <w:ind w:firstLine="640"/>
        <w:rPr>
          <w:rFonts w:ascii="楷体_GB2312" w:eastAsia="楷体_GB2312" w:hAnsi="楷体_GB2312" w:cs="楷体_GB2312" w:hint="eastAsia"/>
          <w:snapToGrid w:val="0"/>
          <w:kern w:val="32"/>
          <w:sz w:val="32"/>
          <w:szCs w:val="32"/>
        </w:rPr>
      </w:pPr>
      <w:r>
        <w:rPr>
          <w:rFonts w:ascii="楷体_GB2312" w:eastAsia="楷体_GB2312" w:hAnsi="楷体_GB2312" w:cs="楷体_GB2312" w:hint="eastAsia"/>
          <w:snapToGrid w:val="0"/>
          <w:kern w:val="32"/>
          <w:sz w:val="32"/>
          <w:szCs w:val="32"/>
        </w:rPr>
        <w:t>（一）零售代理</w:t>
      </w:r>
    </w:p>
    <w:p w14:paraId="4D082F13" w14:textId="77777777" w:rsidR="007E2E2A" w:rsidRDefault="00000000">
      <w:pPr>
        <w:pStyle w:val="Style5"/>
        <w:spacing w:line="600" w:lineRule="exact"/>
        <w:ind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1.零售用户与售电公司绑定代理关系、签订零售套餐，且电量均需通过该售电公司代理（与绿色电力交易代理关系保持一致），双方代理关系以在电力交易平台上生效的零售套餐为依据。零售用户变更代理关系最小周期为月。</w:t>
      </w:r>
    </w:p>
    <w:p w14:paraId="4E02BCC0" w14:textId="77777777" w:rsidR="007E2E2A" w:rsidRDefault="00000000">
      <w:pPr>
        <w:pStyle w:val="Style5"/>
        <w:spacing w:line="600" w:lineRule="exact"/>
        <w:ind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2.合同期内如遇国家出台电价优惠政策，将特定行业纳入执</w:t>
      </w:r>
      <w:r>
        <w:rPr>
          <w:rFonts w:ascii="仿宋_GB2312" w:eastAsia="仿宋_GB2312" w:hAnsi="仿宋_GB2312" w:cs="仿宋_GB2312" w:hint="eastAsia"/>
          <w:sz w:val="32"/>
          <w:szCs w:val="32"/>
        </w:rPr>
        <w:lastRenderedPageBreak/>
        <w:t>行居民价格的非居民用户管理时，符合条件的零售用户可选择退市，不执行无理由退市惩罚电价，相应产生的偏差电量纳入偏差免责范围。</w:t>
      </w:r>
    </w:p>
    <w:p w14:paraId="5A0FEB37" w14:textId="77777777" w:rsidR="007E2E2A" w:rsidRDefault="00000000">
      <w:pPr>
        <w:pStyle w:val="Style5"/>
        <w:spacing w:line="600" w:lineRule="exact"/>
        <w:ind w:firstLine="640"/>
        <w:rPr>
          <w:rFonts w:ascii="楷体_GB2312" w:eastAsia="楷体_GB2312" w:hAnsi="楷体_GB2312" w:cs="楷体_GB2312" w:hint="eastAsia"/>
          <w:snapToGrid w:val="0"/>
          <w:kern w:val="32"/>
          <w:sz w:val="32"/>
          <w:szCs w:val="32"/>
        </w:rPr>
      </w:pPr>
      <w:r>
        <w:rPr>
          <w:rFonts w:ascii="楷体_GB2312" w:eastAsia="楷体_GB2312" w:hAnsi="楷体_GB2312" w:cs="楷体_GB2312" w:hint="eastAsia"/>
          <w:snapToGrid w:val="0"/>
          <w:kern w:val="32"/>
          <w:sz w:val="32"/>
          <w:szCs w:val="32"/>
        </w:rPr>
        <w:t>（二）零售价格</w:t>
      </w:r>
    </w:p>
    <w:p w14:paraId="2FBF722D" w14:textId="77777777" w:rsidR="007E2E2A" w:rsidRDefault="00000000">
      <w:pPr>
        <w:spacing w:line="600" w:lineRule="exact"/>
        <w:ind w:firstLineChars="200" w:firstLine="640"/>
        <w:rPr>
          <w:rFonts w:ascii="仿宋_GB2312" w:hAnsi="仿宋_GB2312" w:cs="仿宋_GB2312" w:hint="eastAsia"/>
        </w:rPr>
      </w:pPr>
      <w:r>
        <w:rPr>
          <w:rFonts w:ascii="仿宋_GB2312" w:hAnsi="仿宋_GB2312" w:cs="仿宋_GB2312" w:hint="eastAsia"/>
        </w:rPr>
        <w:t>1.零售合同的电能</w:t>
      </w:r>
      <w:proofErr w:type="gramStart"/>
      <w:r>
        <w:rPr>
          <w:rFonts w:ascii="仿宋_GB2312" w:hAnsi="仿宋_GB2312" w:cs="仿宋_GB2312" w:hint="eastAsia"/>
        </w:rPr>
        <w:t>量价格</w:t>
      </w:r>
      <w:proofErr w:type="gramEnd"/>
      <w:r>
        <w:rPr>
          <w:rFonts w:ascii="仿宋_GB2312" w:hAnsi="仿宋_GB2312" w:cs="仿宋_GB2312" w:hint="eastAsia"/>
        </w:rPr>
        <w:t>在“北京燃煤基准价±20%”范围内形成，零售用户与售电公司结算的电能</w:t>
      </w:r>
      <w:proofErr w:type="gramStart"/>
      <w:r>
        <w:rPr>
          <w:rFonts w:ascii="仿宋_GB2312" w:hAnsi="仿宋_GB2312" w:cs="仿宋_GB2312" w:hint="eastAsia"/>
        </w:rPr>
        <w:t>量价格</w:t>
      </w:r>
      <w:proofErr w:type="gramEnd"/>
      <w:r>
        <w:rPr>
          <w:rFonts w:ascii="仿宋_GB2312" w:hAnsi="仿宋_GB2312" w:cs="仿宋_GB2312" w:hint="eastAsia"/>
        </w:rPr>
        <w:t>不包含煤电容量电价。</w:t>
      </w:r>
    </w:p>
    <w:p w14:paraId="5E8BEFFA" w14:textId="77777777" w:rsidR="007E2E2A" w:rsidRDefault="00000000">
      <w:pPr>
        <w:spacing w:line="600" w:lineRule="exact"/>
        <w:ind w:firstLineChars="200" w:firstLine="640"/>
        <w:rPr>
          <w:rFonts w:ascii="仿宋_GB2312" w:hAnsi="仿宋_GB2312" w:cs="仿宋_GB2312" w:hint="eastAsia"/>
        </w:rPr>
      </w:pPr>
      <w:r>
        <w:rPr>
          <w:rFonts w:ascii="仿宋_GB2312" w:hAnsi="仿宋_GB2312" w:cs="仿宋_GB2312" w:hint="eastAsia"/>
        </w:rPr>
        <w:t>2.合同期内如遇国家电价政策调整影响零售交易时，售电公司和零售用户应通过签订补充协议或在合同中增加约束条款等形式落实国家要求。</w:t>
      </w:r>
    </w:p>
    <w:p w14:paraId="39823C89" w14:textId="77777777" w:rsidR="007E2E2A" w:rsidRDefault="00000000">
      <w:pPr>
        <w:spacing w:line="600" w:lineRule="exact"/>
        <w:ind w:firstLineChars="200" w:firstLine="640"/>
        <w:rPr>
          <w:rFonts w:ascii="楷体_GB2312" w:eastAsia="楷体_GB2312" w:hAnsi="楷体_GB2312" w:cs="楷体_GB2312" w:hint="eastAsia"/>
        </w:rPr>
      </w:pPr>
      <w:r>
        <w:rPr>
          <w:rFonts w:ascii="楷体_GB2312" w:eastAsia="楷体_GB2312" w:hAnsi="楷体_GB2312" w:cs="楷体_GB2312" w:hint="eastAsia"/>
        </w:rPr>
        <w:t>（三）零售套餐</w:t>
      </w:r>
    </w:p>
    <w:p w14:paraId="54593121" w14:textId="77777777" w:rsidR="007E2E2A" w:rsidRDefault="00000000">
      <w:pPr>
        <w:spacing w:line="600" w:lineRule="exact"/>
        <w:ind w:firstLineChars="200" w:firstLine="640"/>
        <w:jc w:val="left"/>
        <w:rPr>
          <w:rFonts w:ascii="仿宋_GB2312" w:hAnsi="仿宋_GB2312" w:cs="仿宋_GB2312" w:hint="eastAsia"/>
        </w:rPr>
      </w:pPr>
      <w:r>
        <w:rPr>
          <w:rFonts w:ascii="仿宋_GB2312" w:hAnsi="仿宋_GB2312" w:cs="仿宋_GB2312" w:hint="eastAsia"/>
        </w:rPr>
        <w:t>1.零售用户、售电公司签订零售市场购售电合同，分别约定绿色电力交易、非绿色电力交易零售套餐，可采用固定价格模式、联动价格模式、比例分成模式来约定零售合同价格，适时增加其他模式零售结算套餐。</w:t>
      </w:r>
    </w:p>
    <w:p w14:paraId="7CBEA543" w14:textId="77777777" w:rsidR="007E2E2A" w:rsidRDefault="00000000">
      <w:pPr>
        <w:spacing w:line="600" w:lineRule="exact"/>
        <w:ind w:firstLineChars="200" w:firstLine="640"/>
        <w:jc w:val="left"/>
        <w:rPr>
          <w:rFonts w:ascii="仿宋_GB2312" w:hAnsi="仿宋_GB2312" w:cs="仿宋_GB2312" w:hint="eastAsia"/>
          <w:strike/>
        </w:rPr>
      </w:pPr>
      <w:r>
        <w:rPr>
          <w:rFonts w:ascii="仿宋_GB2312" w:hAnsi="仿宋_GB2312" w:cs="仿宋_GB2312" w:hint="eastAsia"/>
        </w:rPr>
        <w:t>2.</w:t>
      </w:r>
      <w:proofErr w:type="gramStart"/>
      <w:r>
        <w:rPr>
          <w:rFonts w:ascii="仿宋_GB2312" w:hAnsi="仿宋_GB2312" w:cs="仿宋_GB2312" w:hint="eastAsia"/>
        </w:rPr>
        <w:t>绿电零售</w:t>
      </w:r>
      <w:proofErr w:type="gramEnd"/>
      <w:r>
        <w:rPr>
          <w:rFonts w:ascii="仿宋_GB2312" w:hAnsi="仿宋_GB2312" w:cs="仿宋_GB2312" w:hint="eastAsia"/>
        </w:rPr>
        <w:t>套餐应分别明确电能</w:t>
      </w:r>
      <w:proofErr w:type="gramStart"/>
      <w:r>
        <w:rPr>
          <w:rFonts w:ascii="仿宋_GB2312" w:hAnsi="仿宋_GB2312" w:cs="仿宋_GB2312" w:hint="eastAsia"/>
        </w:rPr>
        <w:t>量价格</w:t>
      </w:r>
      <w:proofErr w:type="gramEnd"/>
      <w:r>
        <w:rPr>
          <w:rFonts w:ascii="仿宋_GB2312" w:hAnsi="仿宋_GB2312" w:cs="仿宋_GB2312" w:hint="eastAsia"/>
        </w:rPr>
        <w:t>和绿色电力环境价值。零售用户的绿色电力环境价值按</w:t>
      </w:r>
      <w:proofErr w:type="gramStart"/>
      <w:r>
        <w:rPr>
          <w:rFonts w:ascii="仿宋_GB2312" w:hAnsi="仿宋_GB2312" w:cs="仿宋_GB2312" w:hint="eastAsia"/>
        </w:rPr>
        <w:t>对应绿电批发</w:t>
      </w:r>
      <w:proofErr w:type="gramEnd"/>
      <w:r>
        <w:rPr>
          <w:rFonts w:ascii="仿宋_GB2312" w:hAnsi="仿宋_GB2312" w:cs="仿宋_GB2312" w:hint="eastAsia"/>
        </w:rPr>
        <w:t>合同中绿色电力环境价值结算。</w:t>
      </w:r>
    </w:p>
    <w:p w14:paraId="38D6F938" w14:textId="77777777" w:rsidR="007E2E2A" w:rsidRDefault="00000000">
      <w:pPr>
        <w:pStyle w:val="HTML"/>
        <w:shd w:val="clear" w:color="auto" w:fill="FFFFFF"/>
        <w:spacing w:line="600" w:lineRule="exact"/>
        <w:ind w:firstLineChars="200" w:firstLine="640"/>
        <w:rPr>
          <w:rFonts w:ascii="仿宋_GB2312" w:eastAsia="仿宋_GB2312" w:hAnsi="仿宋_GB2312" w:cs="仿宋_GB2312" w:hint="eastAsia"/>
          <w:snapToGrid w:val="0"/>
          <w:kern w:val="32"/>
          <w:sz w:val="32"/>
          <w:szCs w:val="32"/>
        </w:rPr>
      </w:pPr>
      <w:r>
        <w:rPr>
          <w:rFonts w:ascii="仿宋_GB2312" w:eastAsia="仿宋_GB2312" w:hAnsi="仿宋_GB2312" w:cs="仿宋_GB2312" w:hint="eastAsia"/>
          <w:snapToGrid w:val="0"/>
          <w:kern w:val="32"/>
          <w:sz w:val="32"/>
          <w:szCs w:val="32"/>
        </w:rPr>
        <w:t>3.</w:t>
      </w:r>
      <w:r>
        <w:rPr>
          <w:rFonts w:ascii="仿宋_GB2312" w:eastAsia="仿宋_GB2312" w:hAnsi="仿宋_GB2312" w:cs="仿宋_GB2312"/>
          <w:snapToGrid w:val="0"/>
          <w:color w:val="000000"/>
          <w:kern w:val="32"/>
          <w:sz w:val="32"/>
          <w:szCs w:val="32"/>
          <w:shd w:val="clear" w:color="auto" w:fill="FFFFFF"/>
        </w:rPr>
        <w:t>为抵御市场风险，促进批零价格传导，当售电公司当月零售价格高于</w:t>
      </w:r>
      <w:r>
        <w:rPr>
          <w:rFonts w:ascii="仿宋_GB2312" w:eastAsia="仿宋_GB2312" w:hAnsi="仿宋_GB2312" w:cs="仿宋_GB2312" w:hint="eastAsia"/>
          <w:snapToGrid w:val="0"/>
          <w:kern w:val="32"/>
          <w:sz w:val="32"/>
          <w:szCs w:val="32"/>
        </w:rPr>
        <w:t>当月零售</w:t>
      </w:r>
      <w:r>
        <w:rPr>
          <w:rFonts w:ascii="仿宋_GB2312" w:eastAsia="仿宋_GB2312" w:hAnsi="仿宋_GB2312" w:cs="仿宋_GB2312"/>
          <w:snapToGrid w:val="0"/>
          <w:color w:val="000000"/>
          <w:kern w:val="32"/>
          <w:sz w:val="32"/>
          <w:szCs w:val="32"/>
          <w:shd w:val="clear" w:color="auto" w:fill="FFFFFF"/>
        </w:rPr>
        <w:t>市场</w:t>
      </w:r>
      <w:r>
        <w:rPr>
          <w:rFonts w:ascii="仿宋_GB2312" w:eastAsia="仿宋_GB2312" w:hAnsi="仿宋_GB2312" w:cs="仿宋_GB2312" w:hint="eastAsia"/>
          <w:snapToGrid w:val="0"/>
          <w:kern w:val="32"/>
          <w:sz w:val="32"/>
          <w:szCs w:val="32"/>
        </w:rPr>
        <w:t>均价</w:t>
      </w:r>
      <w:r>
        <w:rPr>
          <w:rFonts w:ascii="仿宋_GB2312" w:eastAsia="仿宋_GB2312" w:hAnsi="仿宋_GB2312" w:cs="仿宋_GB2312"/>
          <w:snapToGrid w:val="0"/>
          <w:color w:val="000000"/>
          <w:kern w:val="32"/>
          <w:sz w:val="32"/>
          <w:szCs w:val="32"/>
          <w:shd w:val="clear" w:color="auto" w:fill="FFFFFF"/>
        </w:rPr>
        <w:t>，且其月度批零价差（Δ）满足Δ&gt;1.5 ×（2025年度市场平均批零价差）时，超额部分金额</w:t>
      </w:r>
      <w:r>
        <w:rPr>
          <w:rFonts w:ascii="仿宋_GB2312" w:eastAsia="仿宋_GB2312" w:hAnsi="仿宋_GB2312" w:cs="仿宋_GB2312"/>
          <w:snapToGrid w:val="0"/>
          <w:color w:val="000000"/>
          <w:kern w:val="32"/>
          <w:sz w:val="32"/>
          <w:szCs w:val="32"/>
          <w:shd w:val="clear" w:color="auto" w:fill="FFFFFF"/>
        </w:rPr>
        <w:lastRenderedPageBreak/>
        <w:t>（Δ-1.5×年度平均价差）按照售电公司与零售用户协商确定的比例进行分享</w:t>
      </w:r>
      <w:r>
        <w:rPr>
          <w:rFonts w:ascii="仿宋_GB2312" w:eastAsia="仿宋_GB2312" w:hAnsi="仿宋_GB2312" w:cs="仿宋_GB2312" w:hint="eastAsia"/>
          <w:snapToGrid w:val="0"/>
          <w:color w:val="000000"/>
          <w:kern w:val="32"/>
          <w:sz w:val="32"/>
          <w:szCs w:val="32"/>
          <w:shd w:val="clear" w:color="auto" w:fill="FFFFFF"/>
        </w:rPr>
        <w:t>，分享比例应大幅向零售用户倾斜</w:t>
      </w:r>
      <w:r>
        <w:rPr>
          <w:rFonts w:ascii="仿宋_GB2312" w:eastAsia="仿宋_GB2312" w:hAnsi="仿宋_GB2312" w:cs="仿宋_GB2312"/>
          <w:snapToGrid w:val="0"/>
          <w:color w:val="000000"/>
          <w:kern w:val="32"/>
          <w:sz w:val="32"/>
          <w:szCs w:val="32"/>
          <w:shd w:val="clear" w:color="auto" w:fill="FFFFFF"/>
        </w:rPr>
        <w:t>。售电公司月度批发购电均价计算时包括合同电费和偏差电费，不包括差额资金。</w:t>
      </w:r>
    </w:p>
    <w:p w14:paraId="2A23B92E" w14:textId="77777777" w:rsidR="007E2E2A" w:rsidRDefault="00000000">
      <w:pPr>
        <w:pStyle w:val="HTML"/>
        <w:shd w:val="clear" w:color="auto" w:fill="FFFFFF"/>
        <w:spacing w:line="600" w:lineRule="exact"/>
        <w:ind w:firstLineChars="200" w:firstLine="640"/>
        <w:rPr>
          <w:rFonts w:ascii="仿宋_GB2312" w:eastAsia="仿宋_GB2312" w:hAnsi="仿宋_GB2312" w:cs="仿宋_GB2312" w:hint="eastAsia"/>
          <w:snapToGrid w:val="0"/>
          <w:kern w:val="32"/>
          <w:sz w:val="32"/>
          <w:szCs w:val="32"/>
        </w:rPr>
      </w:pPr>
      <w:r>
        <w:rPr>
          <w:rFonts w:ascii="仿宋_GB2312" w:eastAsia="仿宋_GB2312" w:hAnsi="仿宋_GB2312" w:cs="仿宋_GB2312" w:hint="eastAsia"/>
          <w:snapToGrid w:val="0"/>
          <w:kern w:val="32"/>
          <w:sz w:val="32"/>
          <w:szCs w:val="32"/>
        </w:rPr>
        <w:t>4.售电公司依据零售用户实际用电量结算零售收入，以平段电价方式计算零售收入，售电公司售电收益为售电公司零售市场收入减去批发市场支出，售电收益包含售电服务收益，售电服务费不再单列。</w:t>
      </w:r>
    </w:p>
    <w:p w14:paraId="3783D967" w14:textId="77777777" w:rsidR="007E2E2A" w:rsidRDefault="00000000">
      <w:pPr>
        <w:spacing w:line="600" w:lineRule="exact"/>
        <w:ind w:firstLineChars="200" w:firstLine="640"/>
        <w:rPr>
          <w:rFonts w:ascii="仿宋_GB2312" w:hAnsi="仿宋_GB2312" w:cs="仿宋_GB2312" w:hint="eastAsia"/>
        </w:rPr>
      </w:pPr>
      <w:r>
        <w:rPr>
          <w:rFonts w:ascii="仿宋_GB2312" w:hAnsi="仿宋_GB2312" w:cs="仿宋_GB2312" w:hint="eastAsia"/>
        </w:rPr>
        <w:t>5.售电公司与零售用户可协商确定偏差电量允许范围及偏差电量共担价格。零售用户、售电公司每月可协商调整零售合同电量、结算关键参数。</w:t>
      </w:r>
    </w:p>
    <w:p w14:paraId="58380707" w14:textId="77777777" w:rsidR="007E2E2A" w:rsidRDefault="00000000">
      <w:pPr>
        <w:spacing w:line="600" w:lineRule="exact"/>
        <w:ind w:firstLineChars="200" w:firstLine="640"/>
        <w:rPr>
          <w:rFonts w:ascii="黑体" w:eastAsia="黑体" w:hAnsi="黑体" w:cs="黑体" w:hint="eastAsia"/>
        </w:rPr>
      </w:pPr>
      <w:r>
        <w:rPr>
          <w:rFonts w:ascii="黑体" w:eastAsia="黑体" w:hAnsi="黑体" w:cs="黑体" w:hint="eastAsia"/>
        </w:rPr>
        <w:t>七、信息披露</w:t>
      </w:r>
    </w:p>
    <w:p w14:paraId="787283BC" w14:textId="77777777" w:rsidR="007E2E2A" w:rsidRDefault="00000000">
      <w:pPr>
        <w:spacing w:line="600" w:lineRule="exact"/>
        <w:ind w:firstLineChars="200" w:firstLine="640"/>
        <w:rPr>
          <w:rFonts w:ascii="仿宋_GB2312" w:hAnsi="仿宋_GB2312" w:cs="仿宋_GB2312" w:hint="eastAsia"/>
        </w:rPr>
      </w:pPr>
      <w:r>
        <w:rPr>
          <w:rFonts w:ascii="仿宋_GB2312" w:hAnsi="仿宋_GB2312" w:cs="仿宋_GB2312" w:hint="eastAsia"/>
        </w:rPr>
        <w:t>（一）鼓励售电公司在电力交易平台发布可签约标准套餐及可签约电量，每家售电公司发布的套餐不少于1种。</w:t>
      </w:r>
    </w:p>
    <w:p w14:paraId="5C34CE96" w14:textId="77777777" w:rsidR="007E2E2A" w:rsidRDefault="00000000">
      <w:pPr>
        <w:spacing w:line="600" w:lineRule="exact"/>
        <w:ind w:firstLineChars="200" w:firstLine="640"/>
        <w:rPr>
          <w:rFonts w:ascii="仿宋_GB2312" w:hAnsi="仿宋_GB2312" w:cs="仿宋_GB2312" w:hint="eastAsia"/>
        </w:rPr>
      </w:pPr>
      <w:r>
        <w:rPr>
          <w:rFonts w:ascii="仿宋_GB2312" w:hAnsi="仿宋_GB2312" w:cs="仿宋_GB2312" w:hint="eastAsia"/>
        </w:rPr>
        <w:t>（二）售电公司、电力用户在参与市场交易前，应按照信息披露基本规则要求完成信息披露。首都电力交易中心向</w:t>
      </w:r>
      <w:r>
        <w:rPr>
          <w:rFonts w:hint="eastAsia"/>
        </w:rPr>
        <w:t>市城市管理委</w:t>
      </w:r>
      <w:r>
        <w:rPr>
          <w:rFonts w:ascii="仿宋_GB2312" w:hAnsi="仿宋_GB2312" w:cs="仿宋_GB2312" w:hint="eastAsia"/>
        </w:rPr>
        <w:t>报送披露情况。</w:t>
      </w:r>
    </w:p>
    <w:p w14:paraId="70E6441B" w14:textId="77777777" w:rsidR="007E2E2A" w:rsidRDefault="00000000">
      <w:pPr>
        <w:spacing w:line="600" w:lineRule="exact"/>
        <w:ind w:firstLineChars="200" w:firstLine="640"/>
        <w:rPr>
          <w:rFonts w:ascii="仿宋_GB2312" w:hAnsi="仿宋_GB2312" w:cs="仿宋_GB2312" w:hint="eastAsia"/>
        </w:rPr>
      </w:pPr>
      <w:r>
        <w:rPr>
          <w:rFonts w:ascii="仿宋_GB2312" w:hAnsi="仿宋_GB2312" w:cs="仿宋_GB2312" w:hint="eastAsia"/>
        </w:rPr>
        <w:t>（三）按照信息披露基本规则，首都电力交易中心按月披露市场结算总体情况及分类构成情况、零售市场结算均价分布情况等，便于零售用户查询使用。</w:t>
      </w:r>
    </w:p>
    <w:p w14:paraId="4CCFA410" w14:textId="77777777" w:rsidR="007E2E2A" w:rsidRDefault="00000000">
      <w:pPr>
        <w:spacing w:line="600" w:lineRule="exact"/>
        <w:ind w:firstLineChars="200" w:firstLine="640"/>
        <w:rPr>
          <w:rFonts w:ascii="仿宋_GB2312" w:hAnsi="仿宋_GB2312" w:cs="仿宋_GB2312" w:hint="eastAsia"/>
        </w:rPr>
      </w:pPr>
      <w:r>
        <w:rPr>
          <w:rFonts w:ascii="仿宋_GB2312" w:hAnsi="仿宋_GB2312" w:cs="仿宋_GB2312" w:hint="eastAsia"/>
        </w:rPr>
        <w:t>（四）市场交易清分结果向经营主体公示时，如因公示期为</w:t>
      </w:r>
      <w:r>
        <w:rPr>
          <w:rFonts w:ascii="仿宋_GB2312" w:hAnsi="仿宋_GB2312" w:cs="仿宋_GB2312" w:hint="eastAsia"/>
        </w:rPr>
        <w:lastRenderedPageBreak/>
        <w:t>节假日致使经营主体未及时确认，差错电量电费</w:t>
      </w:r>
      <w:proofErr w:type="gramStart"/>
      <w:r>
        <w:rPr>
          <w:rFonts w:ascii="仿宋_GB2312" w:hAnsi="仿宋_GB2312" w:cs="仿宋_GB2312" w:hint="eastAsia"/>
        </w:rPr>
        <w:t>通过追退追补</w:t>
      </w:r>
      <w:proofErr w:type="gramEnd"/>
      <w:r>
        <w:rPr>
          <w:rFonts w:ascii="仿宋_GB2312" w:hAnsi="仿宋_GB2312" w:cs="仿宋_GB2312" w:hint="eastAsia"/>
        </w:rPr>
        <w:t>方式订正。</w:t>
      </w:r>
    </w:p>
    <w:p w14:paraId="54D5D526" w14:textId="77777777" w:rsidR="007E2E2A" w:rsidRDefault="00000000">
      <w:pPr>
        <w:spacing w:line="600" w:lineRule="exact"/>
        <w:ind w:firstLineChars="200" w:firstLine="640"/>
        <w:rPr>
          <w:rFonts w:ascii="黑体" w:eastAsia="黑体" w:hAnsi="黑体" w:cs="黑体" w:hint="eastAsia"/>
        </w:rPr>
      </w:pPr>
      <w:r>
        <w:rPr>
          <w:rFonts w:ascii="黑体" w:eastAsia="黑体" w:hAnsi="黑体" w:cs="黑体" w:hint="eastAsia"/>
        </w:rPr>
        <w:t>八、相关工作要求</w:t>
      </w:r>
    </w:p>
    <w:p w14:paraId="2A5EFCC1" w14:textId="77777777" w:rsidR="007E2E2A" w:rsidRDefault="00000000">
      <w:pPr>
        <w:widowControl/>
        <w:numPr>
          <w:ilvl w:val="0"/>
          <w:numId w:val="2"/>
        </w:numPr>
        <w:spacing w:line="600" w:lineRule="exact"/>
        <w:ind w:firstLineChars="200" w:firstLine="640"/>
        <w:rPr>
          <w:rFonts w:ascii="仿宋_GB2312" w:hAnsi="仿宋_GB2312" w:cs="仿宋_GB2312" w:hint="eastAsia"/>
          <w:color w:val="000000"/>
        </w:rPr>
      </w:pPr>
      <w:r>
        <w:rPr>
          <w:rFonts w:ascii="仿宋_GB2312" w:hAnsi="仿宋_GB2312" w:cs="仿宋_GB2312" w:hint="eastAsia"/>
          <w:color w:val="000000"/>
        </w:rPr>
        <w:t>电力用户在同一合同周期内仅可与一家售电公司确立零售服务关系。售电公司不能代理发电企业参加交易。原则上，</w:t>
      </w:r>
      <w:r>
        <w:rPr>
          <w:rFonts w:ascii="仿宋_GB2312" w:hAnsi="仿宋_GB2312" w:cs="仿宋_GB2312" w:hint="eastAsia"/>
        </w:rPr>
        <w:t>售电公司</w:t>
      </w:r>
      <w:proofErr w:type="gramStart"/>
      <w:r>
        <w:rPr>
          <w:rFonts w:ascii="仿宋_GB2312" w:hAnsi="仿宋_GB2312" w:cs="仿宋_GB2312" w:hint="eastAsia"/>
        </w:rPr>
        <w:t>绿电交易</w:t>
      </w:r>
      <w:proofErr w:type="gramEnd"/>
      <w:r>
        <w:rPr>
          <w:rFonts w:ascii="仿宋_GB2312" w:hAnsi="仿宋_GB2312" w:cs="仿宋_GB2312" w:hint="eastAsia"/>
        </w:rPr>
        <w:t>电量需全部分配至零售用户。</w:t>
      </w:r>
      <w:r>
        <w:rPr>
          <w:rFonts w:ascii="仿宋_GB2312" w:hAnsi="仿宋_GB2312" w:cs="仿宋_GB2312" w:hint="eastAsia"/>
          <w:color w:val="000000"/>
        </w:rPr>
        <w:t>零售用户更换售电公司时，若涉及到多年期交易合同，须由几</w:t>
      </w:r>
      <w:proofErr w:type="gramStart"/>
      <w:r>
        <w:rPr>
          <w:rFonts w:ascii="仿宋_GB2312" w:hAnsi="仿宋_GB2312" w:cs="仿宋_GB2312" w:hint="eastAsia"/>
          <w:color w:val="000000"/>
        </w:rPr>
        <w:t>方主体</w:t>
      </w:r>
      <w:proofErr w:type="gramEnd"/>
      <w:r>
        <w:rPr>
          <w:rFonts w:ascii="仿宋_GB2312" w:hAnsi="仿宋_GB2312" w:cs="仿宋_GB2312" w:hint="eastAsia"/>
          <w:color w:val="000000"/>
        </w:rPr>
        <w:t>共同协商一致后，进行售电公司更换。签订多年期交易合同的售电公司、零售用户应注意多年期交易合同期限与交易平台中代理关系绑定期限对应。</w:t>
      </w:r>
    </w:p>
    <w:p w14:paraId="19134BD0" w14:textId="77777777" w:rsidR="007E2E2A" w:rsidRDefault="00000000">
      <w:pPr>
        <w:numPr>
          <w:ilvl w:val="0"/>
          <w:numId w:val="2"/>
        </w:numPr>
        <w:spacing w:line="600" w:lineRule="exact"/>
        <w:ind w:firstLineChars="200" w:firstLine="640"/>
        <w:rPr>
          <w:rFonts w:ascii="仿宋_GB2312" w:hAnsi="仿宋_GB2312" w:cs="仿宋_GB2312" w:hint="eastAsia"/>
          <w:color w:val="000000"/>
        </w:rPr>
      </w:pPr>
      <w:r>
        <w:rPr>
          <w:rFonts w:ascii="仿宋_GB2312" w:hAnsi="仿宋_GB2312" w:cs="仿宋_GB2312" w:hint="eastAsia"/>
          <w:color w:val="000000"/>
        </w:rPr>
        <w:t>市场化电力用户（含售电公司、电网代理购电）2026年度中长期合同签约电量应不低于上一年度用电量的80%，并通过后续合同签订，保障电力中长期合同签约电量比例</w:t>
      </w:r>
      <w:r>
        <w:rPr>
          <w:rFonts w:ascii="仿宋_GB2312" w:hAnsi="仿宋_GB2312" w:cs="仿宋_GB2312" w:hint="eastAsia"/>
          <w:color w:val="000000"/>
          <w:spacing w:val="-6"/>
        </w:rPr>
        <w:t>不低于90%。</w:t>
      </w:r>
      <w:r>
        <w:rPr>
          <w:rFonts w:ascii="仿宋_GB2312" w:hAnsi="仿宋_GB2312" w:cs="仿宋_GB2312" w:hint="eastAsia"/>
          <w:color w:val="000000"/>
        </w:rPr>
        <w:t>鼓励经营主体签订一年期以上的电力中长期合同。各类经营主体应综合考虑合同执行情况及市场变化因素，合理签订中长期合同。原则上，售电公司应充分调研其代理的零售用户用电需求后参与批发交易，做到批发交易电量与零售用户用电需求匹配。</w:t>
      </w:r>
    </w:p>
    <w:p w14:paraId="145019EC" w14:textId="77777777" w:rsidR="007E2E2A" w:rsidRDefault="00000000">
      <w:pPr>
        <w:numPr>
          <w:ilvl w:val="0"/>
          <w:numId w:val="2"/>
        </w:numPr>
        <w:spacing w:line="600" w:lineRule="exact"/>
        <w:ind w:firstLineChars="200" w:firstLine="640"/>
        <w:rPr>
          <w:rFonts w:ascii="仿宋_GB2312" w:hAnsi="仿宋_GB2312" w:cs="仿宋_GB2312" w:hint="eastAsia"/>
          <w:color w:val="000000"/>
        </w:rPr>
      </w:pPr>
      <w:r>
        <w:rPr>
          <w:rFonts w:ascii="仿宋_GB2312" w:hAnsi="仿宋_GB2312" w:cs="仿宋_GB2312" w:hint="eastAsia"/>
          <w:color w:val="000000"/>
        </w:rPr>
        <w:t>参与北京市电力市场化交易的高耗能企业，按照国家有关政策文件执行。</w:t>
      </w:r>
    </w:p>
    <w:p w14:paraId="5FFF1E6A" w14:textId="77777777" w:rsidR="007E2E2A" w:rsidRDefault="00000000">
      <w:pPr>
        <w:numPr>
          <w:ilvl w:val="0"/>
          <w:numId w:val="2"/>
        </w:numPr>
        <w:spacing w:line="600" w:lineRule="exact"/>
        <w:ind w:firstLineChars="200" w:firstLine="640"/>
        <w:rPr>
          <w:rFonts w:ascii="仿宋_GB2312" w:hAnsi="仿宋_GB2312" w:cs="仿宋_GB2312" w:hint="eastAsia"/>
          <w:color w:val="000000"/>
        </w:rPr>
      </w:pPr>
      <w:r>
        <w:rPr>
          <w:rFonts w:ascii="仿宋_GB2312" w:hAnsi="仿宋_GB2312" w:cs="仿宋_GB2312" w:hint="eastAsia"/>
          <w:color w:val="000000"/>
        </w:rPr>
        <w:t>可再生能源电力消</w:t>
      </w:r>
      <w:proofErr w:type="gramStart"/>
      <w:r>
        <w:rPr>
          <w:rFonts w:ascii="仿宋_GB2312" w:hAnsi="仿宋_GB2312" w:cs="仿宋_GB2312" w:hint="eastAsia"/>
          <w:color w:val="000000"/>
        </w:rPr>
        <w:t>纳按照</w:t>
      </w:r>
      <w:proofErr w:type="gramEnd"/>
      <w:r>
        <w:rPr>
          <w:rFonts w:ascii="仿宋_GB2312" w:hAnsi="仿宋_GB2312" w:cs="仿宋_GB2312" w:hint="eastAsia"/>
          <w:color w:val="000000"/>
        </w:rPr>
        <w:t>市发展改革委、市城市管理委《关于印发北京可再生能源电力消纳保障工作方案（试行）的</w:t>
      </w:r>
      <w:r>
        <w:rPr>
          <w:rFonts w:ascii="仿宋_GB2312" w:hAnsi="仿宋_GB2312" w:cs="仿宋_GB2312" w:hint="eastAsia"/>
          <w:color w:val="000000"/>
        </w:rPr>
        <w:lastRenderedPageBreak/>
        <w:t>通知》（</w:t>
      </w:r>
      <w:proofErr w:type="gramStart"/>
      <w:r>
        <w:rPr>
          <w:rFonts w:ascii="仿宋_GB2312" w:hAnsi="仿宋_GB2312" w:cs="仿宋_GB2312" w:hint="eastAsia"/>
          <w:color w:val="000000"/>
        </w:rPr>
        <w:t>京发改〔2021〕</w:t>
      </w:r>
      <w:proofErr w:type="gramEnd"/>
      <w:r>
        <w:rPr>
          <w:rFonts w:ascii="仿宋_GB2312" w:hAnsi="仿宋_GB2312" w:cs="仿宋_GB2312" w:hint="eastAsia"/>
          <w:color w:val="000000"/>
        </w:rPr>
        <w:t>1524号）相关要求执行。2026年，北京市承担消纳责任的经营主体年度最低消纳责任权重预期性指标暂定为31.6%（非水30.0%），具体消纳责任权重以国家能源局正式发布的约束性指标为准。鼓励承担消纳责任的经营主体通过绿色电力交易、绿证交易等方式完成责任权重。</w:t>
      </w:r>
    </w:p>
    <w:p w14:paraId="593EC4BD" w14:textId="77777777" w:rsidR="007E2E2A" w:rsidRDefault="00000000">
      <w:pPr>
        <w:numPr>
          <w:ilvl w:val="0"/>
          <w:numId w:val="2"/>
        </w:numPr>
        <w:spacing w:line="600" w:lineRule="exact"/>
        <w:ind w:firstLineChars="200" w:firstLine="640"/>
        <w:rPr>
          <w:rFonts w:ascii="仿宋_GB2312" w:hAnsi="仿宋_GB2312" w:cs="仿宋_GB2312" w:hint="eastAsia"/>
          <w:color w:val="000000"/>
        </w:rPr>
      </w:pPr>
      <w:r>
        <w:rPr>
          <w:rFonts w:ascii="仿宋_GB2312" w:hAnsi="仿宋_GB2312" w:cs="仿宋_GB2312" w:hint="eastAsia"/>
          <w:color w:val="000000"/>
        </w:rPr>
        <w:t>完成市场注册的售电公司，在规定时间内提交符合要求的履约保函或履约保险后，方可参与市场交易。履约保函或履约保险的开具、管理及执行等按照《北京市电力市场履约保障凭证管理工作指引（试行）》执行。</w:t>
      </w:r>
    </w:p>
    <w:p w14:paraId="580E66A4" w14:textId="77777777" w:rsidR="007E2E2A" w:rsidRDefault="00000000">
      <w:pPr>
        <w:numPr>
          <w:ilvl w:val="0"/>
          <w:numId w:val="2"/>
        </w:numPr>
        <w:spacing w:line="600" w:lineRule="exact"/>
        <w:ind w:firstLineChars="200" w:firstLine="640"/>
        <w:rPr>
          <w:rFonts w:ascii="仿宋_GB2312" w:hAnsi="仿宋_GB2312" w:cs="仿宋_GB2312" w:hint="eastAsia"/>
          <w:color w:val="000000"/>
        </w:rPr>
      </w:pPr>
      <w:r>
        <w:rPr>
          <w:rFonts w:ascii="仿宋_GB2312" w:hAnsi="仿宋_GB2312" w:cs="仿宋_GB2312" w:hint="eastAsia"/>
          <w:color w:val="000000"/>
        </w:rPr>
        <w:t>北京市电力零售市场购售电合同（2026年示范文本）、北京市市场化直接交易结算指引（2026年）由首都电力交易中心另行发布。</w:t>
      </w:r>
    </w:p>
    <w:p w14:paraId="3B849591" w14:textId="77777777" w:rsidR="007E2E2A" w:rsidRDefault="00000000">
      <w:pPr>
        <w:numPr>
          <w:ilvl w:val="0"/>
          <w:numId w:val="2"/>
        </w:numPr>
        <w:spacing w:line="600" w:lineRule="exact"/>
        <w:ind w:firstLineChars="200" w:firstLine="640"/>
        <w:rPr>
          <w:rFonts w:ascii="仿宋_GB2312" w:hAnsi="仿宋_GB2312" w:cs="仿宋_GB2312" w:hint="eastAsia"/>
          <w:color w:val="000000"/>
        </w:rPr>
      </w:pPr>
      <w:r>
        <w:rPr>
          <w:rFonts w:ascii="仿宋_GB2312" w:hAnsi="仿宋_GB2312" w:cs="仿宋_GB2312" w:hint="eastAsia"/>
          <w:color w:val="000000"/>
        </w:rPr>
        <w:t>按照国家有关要求，严禁在收取电费中加收其他费用。物业公共部位、共用设施和配套设施的运行维护费用等，应通过物业费、租金或公共收益解决，严禁以电费为基数加收服务类费用。</w:t>
      </w:r>
    </w:p>
    <w:p w14:paraId="686ABC68" w14:textId="77777777" w:rsidR="007E2E2A" w:rsidRDefault="00000000">
      <w:pPr>
        <w:numPr>
          <w:ilvl w:val="0"/>
          <w:numId w:val="2"/>
        </w:numPr>
        <w:spacing w:line="600" w:lineRule="exact"/>
        <w:ind w:firstLineChars="200" w:firstLine="640"/>
        <w:rPr>
          <w:rFonts w:ascii="仿宋_GB2312" w:hAnsi="仿宋_GB2312" w:cs="仿宋_GB2312" w:hint="eastAsia"/>
          <w:color w:val="000000"/>
        </w:rPr>
      </w:pPr>
      <w:r>
        <w:rPr>
          <w:rFonts w:ascii="仿宋_GB2312" w:hAnsi="仿宋_GB2312" w:cs="仿宋_GB2312" w:hint="eastAsia"/>
          <w:color w:val="000000"/>
        </w:rPr>
        <w:t>电力用户因计量装置故障等原因产生电量差错，发生于</w:t>
      </w:r>
      <w:proofErr w:type="gramStart"/>
      <w:r>
        <w:rPr>
          <w:rFonts w:ascii="仿宋_GB2312" w:hAnsi="仿宋_GB2312" w:cs="仿宋_GB2312" w:hint="eastAsia"/>
          <w:color w:val="000000"/>
        </w:rPr>
        <w:t>当年账期的</w:t>
      </w:r>
      <w:proofErr w:type="gramEnd"/>
      <w:r>
        <w:rPr>
          <w:rFonts w:ascii="仿宋_GB2312" w:hAnsi="仿宋_GB2312" w:cs="仿宋_GB2312" w:hint="eastAsia"/>
          <w:color w:val="000000"/>
        </w:rPr>
        <w:t>电量，按照交易合同、零售套餐等参数计算相关经营主体退补电费，</w:t>
      </w:r>
      <w:r>
        <w:rPr>
          <w:rFonts w:ascii="仿宋_GB2312" w:hAnsi="仿宋_GB2312" w:cs="仿宋_GB2312" w:hint="eastAsia"/>
        </w:rPr>
        <w:t>原则上，对发电侧和用电侧电量追退补后，不对</w:t>
      </w:r>
      <w:proofErr w:type="gramStart"/>
      <w:r>
        <w:rPr>
          <w:rFonts w:ascii="仿宋_GB2312" w:hAnsi="仿宋_GB2312" w:cs="仿宋_GB2312" w:hint="eastAsia"/>
        </w:rPr>
        <w:t>差错月市场</w:t>
      </w:r>
      <w:proofErr w:type="gramEnd"/>
      <w:r>
        <w:rPr>
          <w:rFonts w:ascii="仿宋_GB2312" w:hAnsi="仿宋_GB2312" w:cs="仿宋_GB2312" w:hint="eastAsia"/>
        </w:rPr>
        <w:t>发用两侧综合结算均价等进行调整。</w:t>
      </w:r>
      <w:r>
        <w:rPr>
          <w:rFonts w:ascii="仿宋_GB2312" w:hAnsi="仿宋_GB2312" w:cs="仿宋_GB2312" w:hint="eastAsia"/>
          <w:color w:val="000000"/>
        </w:rPr>
        <w:t>发生于</w:t>
      </w:r>
      <w:proofErr w:type="gramStart"/>
      <w:r>
        <w:rPr>
          <w:rFonts w:ascii="仿宋_GB2312" w:hAnsi="仿宋_GB2312" w:cs="仿宋_GB2312" w:hint="eastAsia"/>
          <w:color w:val="000000"/>
        </w:rPr>
        <w:t>历年账期的</w:t>
      </w:r>
      <w:proofErr w:type="gramEnd"/>
      <w:r>
        <w:rPr>
          <w:rFonts w:ascii="仿宋_GB2312" w:hAnsi="仿宋_GB2312" w:cs="仿宋_GB2312" w:hint="eastAsia"/>
          <w:color w:val="000000"/>
        </w:rPr>
        <w:t>电量，按照电力用户对应月份交易电能量结算价格计算，售</w:t>
      </w:r>
      <w:r>
        <w:rPr>
          <w:rFonts w:ascii="仿宋_GB2312" w:hAnsi="仿宋_GB2312" w:cs="仿宋_GB2312" w:hint="eastAsia"/>
          <w:color w:val="000000"/>
        </w:rPr>
        <w:lastRenderedPageBreak/>
        <w:t>电公司相关费用不再追溯。</w:t>
      </w:r>
    </w:p>
    <w:p w14:paraId="61CACEBA" w14:textId="77777777" w:rsidR="007E2E2A" w:rsidRDefault="00000000">
      <w:pPr>
        <w:numPr>
          <w:ilvl w:val="0"/>
          <w:numId w:val="2"/>
        </w:numPr>
        <w:spacing w:line="600" w:lineRule="exact"/>
        <w:ind w:firstLineChars="200" w:firstLine="640"/>
        <w:rPr>
          <w:rFonts w:hint="eastAsia"/>
        </w:rPr>
      </w:pPr>
      <w:r>
        <w:rPr>
          <w:rFonts w:ascii="仿宋_GB2312" w:hAnsi="仿宋_GB2312" w:cs="仿宋_GB2312" w:hint="eastAsia"/>
          <w:color w:val="000000"/>
        </w:rPr>
        <w:t>首都电力交易中心负责组织发电企业、售电公司与批发用户，适时开展分时段电力交易相关培训及模拟测试工作。模拟</w:t>
      </w:r>
      <w:proofErr w:type="gramStart"/>
      <w:r>
        <w:rPr>
          <w:rFonts w:ascii="仿宋_GB2312" w:hAnsi="仿宋_GB2312" w:cs="仿宋_GB2312" w:hint="eastAsia"/>
          <w:color w:val="000000"/>
        </w:rPr>
        <w:t>测试按</w:t>
      </w:r>
      <w:proofErr w:type="gramEnd"/>
      <w:r>
        <w:rPr>
          <w:rFonts w:ascii="仿宋_GB2312" w:hAnsi="仿宋_GB2312" w:cs="仿宋_GB2312" w:hint="eastAsia"/>
          <w:color w:val="000000"/>
        </w:rPr>
        <w:t>24时段报量报价模式组织申报，分时出清形成交易结果，结果不作为实际执行和结算依据。本市将根据模拟测试情况，适时对交易方式</w:t>
      </w:r>
      <w:proofErr w:type="gramStart"/>
      <w:r>
        <w:rPr>
          <w:rFonts w:ascii="仿宋_GB2312" w:hAnsi="仿宋_GB2312" w:cs="仿宋_GB2312" w:hint="eastAsia"/>
          <w:color w:val="000000"/>
        </w:rPr>
        <w:t>作出</w:t>
      </w:r>
      <w:proofErr w:type="gramEnd"/>
      <w:r>
        <w:rPr>
          <w:rFonts w:ascii="仿宋_GB2312" w:hAnsi="仿宋_GB2312" w:cs="仿宋_GB2312" w:hint="eastAsia"/>
          <w:color w:val="000000"/>
        </w:rPr>
        <w:t>调整。</w:t>
      </w:r>
    </w:p>
    <w:p w14:paraId="3C699375" w14:textId="77777777" w:rsidR="007E2E2A" w:rsidRDefault="00000000">
      <w:pPr>
        <w:numPr>
          <w:ilvl w:val="0"/>
          <w:numId w:val="2"/>
        </w:numPr>
        <w:spacing w:line="600" w:lineRule="exact"/>
        <w:ind w:firstLineChars="200" w:firstLine="640"/>
        <w:rPr>
          <w:rFonts w:ascii="仿宋_GB2312" w:hAnsi="仿宋_GB2312" w:cs="仿宋_GB2312" w:hint="eastAsia"/>
          <w:color w:val="000000"/>
        </w:rPr>
      </w:pPr>
      <w:r>
        <w:rPr>
          <w:rFonts w:ascii="仿宋_GB2312" w:hAnsi="仿宋_GB2312" w:cs="仿宋_GB2312" w:hint="eastAsia"/>
          <w:color w:val="000000"/>
        </w:rPr>
        <w:t>建立零售套餐风险预警机制，首都电力交易中心应做好市场监测，当电力零售套餐价格超过市场平均预期水平</w:t>
      </w:r>
      <w:r>
        <w:rPr>
          <w:rFonts w:ascii="仿宋_GB2312" w:hAnsi="仿宋_GB2312" w:cs="仿宋_GB2312" w:hint="eastAsia"/>
          <w:color w:val="000000"/>
          <w:spacing w:val="-6"/>
        </w:rPr>
        <w:t>时，对相关经营主体进行风险提示，并及时上报市城市管理委。</w:t>
      </w:r>
    </w:p>
    <w:p w14:paraId="394AB9D5" w14:textId="77777777" w:rsidR="007E2E2A" w:rsidRDefault="00000000">
      <w:pPr>
        <w:numPr>
          <w:ilvl w:val="0"/>
          <w:numId w:val="2"/>
        </w:numPr>
        <w:spacing w:line="600" w:lineRule="exact"/>
        <w:ind w:firstLineChars="200" w:firstLine="640"/>
        <w:rPr>
          <w:rFonts w:ascii="仿宋_GB2312" w:hAnsi="仿宋_GB2312" w:cs="仿宋_GB2312" w:hint="eastAsia"/>
          <w:color w:val="000000"/>
        </w:rPr>
      </w:pPr>
      <w:r>
        <w:rPr>
          <w:rFonts w:ascii="仿宋_GB2312" w:hAnsi="仿宋_GB2312" w:cs="仿宋_GB2312" w:hint="eastAsia"/>
          <w:color w:val="000000"/>
        </w:rPr>
        <w:t>北京电力交易中心、首都电力交易中心共同做好北京市电力市场交易组织工作，进一步提升服务质量，优化结算、清算等工作流程，积极开展市场成员培训活动，强化交易信息月报制度，并按照相关规则及时向社会以及经营主体做好信息披露。如经营主体存在违约行为，及时做好记录，定期上报市城市管理委。</w:t>
      </w:r>
    </w:p>
    <w:p w14:paraId="02C8016A" w14:textId="77777777" w:rsidR="007E2E2A" w:rsidRDefault="00000000">
      <w:pPr>
        <w:numPr>
          <w:ilvl w:val="0"/>
          <w:numId w:val="2"/>
        </w:numPr>
        <w:spacing w:line="600" w:lineRule="exact"/>
        <w:ind w:firstLineChars="200" w:firstLine="640"/>
        <w:rPr>
          <w:rFonts w:ascii="仿宋_GB2312" w:hAnsi="仿宋_GB2312" w:cs="仿宋_GB2312" w:hint="eastAsia"/>
          <w:color w:val="000000"/>
        </w:rPr>
      </w:pPr>
      <w:r>
        <w:rPr>
          <w:rFonts w:ascii="仿宋_GB2312" w:hAnsi="仿宋_GB2312" w:cs="仿宋_GB2312" w:hint="eastAsia"/>
          <w:color w:val="000000"/>
        </w:rPr>
        <w:t>各有关交易主体，在交易过程中严格遵守法律法规和有关规则。不得串通报价、哄抬价格、扰乱市场秩序，不能滥用市场支配地位操纵市场价格，拥有售电公司的发电企业，不得利用“发售一体”优势直接或变相以降低所属售电公司购电成本的方式抢占市场份额，不得对民营售电公司等各类售电主体和电力大用户进行区别对待。有多个发电厂组成的发电企业进行电能</w:t>
      </w:r>
      <w:r>
        <w:rPr>
          <w:rFonts w:ascii="仿宋_GB2312" w:hAnsi="仿宋_GB2312" w:cs="仿宋_GB2312" w:hint="eastAsia"/>
          <w:color w:val="000000"/>
        </w:rPr>
        <w:lastRenderedPageBreak/>
        <w:t>量交易，不得集中报价。发电侧、售电</w:t>
      </w:r>
      <w:proofErr w:type="gramStart"/>
      <w:r>
        <w:rPr>
          <w:rFonts w:ascii="仿宋_GB2312" w:hAnsi="仿宋_GB2312" w:cs="仿宋_GB2312" w:hint="eastAsia"/>
          <w:color w:val="000000"/>
        </w:rPr>
        <w:t>侧相关</w:t>
      </w:r>
      <w:proofErr w:type="gramEnd"/>
      <w:r>
        <w:rPr>
          <w:rFonts w:ascii="仿宋_GB2312" w:hAnsi="仿宋_GB2312" w:cs="仿宋_GB2312" w:hint="eastAsia"/>
          <w:color w:val="000000"/>
        </w:rPr>
        <w:t xml:space="preserve">经营主体之间不得通过线上、线下等方式在中长期双边协商交易外统一约定交易价格、电量等申报要素实现特定交易。因违反有关规则、扰乱市场秩序等影响交易正常开展的，依法追究相关单位和经营主体的责任。 </w:t>
      </w:r>
    </w:p>
    <w:p w14:paraId="4AC31059" w14:textId="25552DC4" w:rsidR="007E2E2A" w:rsidRPr="00EE661D" w:rsidRDefault="00000000" w:rsidP="00EE661D">
      <w:pPr>
        <w:numPr>
          <w:ilvl w:val="0"/>
          <w:numId w:val="2"/>
        </w:numPr>
        <w:spacing w:line="600" w:lineRule="exact"/>
        <w:ind w:firstLineChars="200" w:firstLine="640"/>
        <w:rPr>
          <w:rFonts w:ascii="仿宋_GB2312" w:hAnsi="仿宋_GB2312" w:cs="仿宋_GB2312" w:hint="eastAsia"/>
          <w:color w:val="000000"/>
        </w:rPr>
      </w:pPr>
      <w:r>
        <w:rPr>
          <w:rFonts w:ascii="仿宋_GB2312" w:hAnsi="仿宋_GB2312" w:cs="仿宋_GB2312" w:hint="eastAsia"/>
          <w:color w:val="000000"/>
        </w:rPr>
        <w:t>北京市2026年电力市场化交易按照本方案执行，如</w:t>
      </w:r>
      <w:proofErr w:type="gramStart"/>
      <w:r>
        <w:rPr>
          <w:rFonts w:ascii="仿宋_GB2312" w:hAnsi="仿宋_GB2312" w:cs="仿宋_GB2312" w:hint="eastAsia"/>
          <w:color w:val="000000"/>
        </w:rPr>
        <w:t>遇政策</w:t>
      </w:r>
      <w:proofErr w:type="gramEnd"/>
      <w:r>
        <w:rPr>
          <w:rFonts w:ascii="仿宋_GB2312" w:hAnsi="仿宋_GB2312" w:cs="仿宋_GB2312" w:hint="eastAsia"/>
          <w:color w:val="000000"/>
        </w:rPr>
        <w:t>调整，由市城市管理委另行发布。</w:t>
      </w:r>
    </w:p>
    <w:sectPr w:rsidR="007E2E2A" w:rsidRPr="00EE661D" w:rsidSect="00EE661D">
      <w:pgSz w:w="11906" w:h="16838"/>
      <w:pgMar w:top="1984" w:right="1587" w:bottom="2098" w:left="1474" w:header="851" w:footer="1304" w:gutter="0"/>
      <w:cols w:space="0"/>
      <w:titlePg/>
      <w:docGrid w:linePitch="4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9CDDDB" w14:textId="77777777" w:rsidR="009902EF" w:rsidRDefault="009902EF">
      <w:pPr>
        <w:rPr>
          <w:rFonts w:hint="eastAsia"/>
        </w:rPr>
      </w:pPr>
      <w:r>
        <w:separator/>
      </w:r>
    </w:p>
  </w:endnote>
  <w:endnote w:type="continuationSeparator" w:id="0">
    <w:p w14:paraId="19B52FBA" w14:textId="77777777" w:rsidR="009902EF" w:rsidRDefault="009902EF">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altName w:val="方正仿宋_GBK"/>
    <w:panose1 w:val="02010609030101010101"/>
    <w:charset w:val="86"/>
    <w:family w:val="modern"/>
    <w:pitch w:val="fixed"/>
    <w:sig w:usb0="00000001" w:usb1="080E0000" w:usb2="00000010" w:usb3="00000000" w:csb0="00040000" w:csb1="00000000"/>
  </w:font>
  <w:font w:name="宋体">
    <w:altName w:val="SimSun"/>
    <w:panose1 w:val="02010600030101010101"/>
    <w:charset w:val="86"/>
    <w:family w:val="auto"/>
    <w:pitch w:val="variable"/>
    <w:sig w:usb0="00000203" w:usb1="288F0000" w:usb2="00000016" w:usb3="00000000" w:csb0="00040001" w:csb1="00000000"/>
  </w:font>
  <w:font w:name="楷体_GB2312">
    <w:altName w:val="方正楷体_GBK"/>
    <w:panose1 w:val="02010609030101010101"/>
    <w:charset w:val="86"/>
    <w:family w:val="modern"/>
    <w:pitch w:val="fixed"/>
    <w:sig w:usb0="00000001" w:usb1="080E0000" w:usb2="00000010" w:usb3="00000000" w:csb0="00040000" w:csb1="00000000"/>
  </w:font>
  <w:font w:name="Cambria">
    <w:altName w:val="Noto Sans Syriac Eastern"/>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Garamond">
    <w:altName w:val="Noto Serif Bengali"/>
    <w:panose1 w:val="02020404030301010803"/>
    <w:charset w:val="00"/>
    <w:family w:val="roman"/>
    <w:pitch w:val="variable"/>
    <w:sig w:usb0="00000287" w:usb1="00000000" w:usb2="00000000" w:usb3="00000000" w:csb0="0000009F" w:csb1="00000000"/>
  </w:font>
  <w:font w:name="华文楷体">
    <w:panose1 w:val="02010600040101010101"/>
    <w:charset w:val="86"/>
    <w:family w:val="auto"/>
    <w:pitch w:val="variable"/>
    <w:sig w:usb0="00000287" w:usb1="080F0000" w:usb2="00000010" w:usb3="00000000" w:csb0="0004009F" w:csb1="00000000"/>
  </w:font>
  <w:font w:name="方正小标宋简体">
    <w:panose1 w:val="02000000000000000000"/>
    <w:charset w:val="86"/>
    <w:family w:val="auto"/>
    <w:pitch w:val="variable"/>
    <w:sig w:usb0="A00002BF" w:usb1="184F6CFA" w:usb2="00000012" w:usb3="00000000" w:csb0="00040001" w:csb1="00000000"/>
  </w:font>
  <w:font w:name="Arial">
    <w:panose1 w:val="020B0604020202020204"/>
    <w:charset w:val="00"/>
    <w:family w:val="swiss"/>
    <w:pitch w:val="variable"/>
    <w:sig w:usb0="E0002EFF" w:usb1="C000785B" w:usb2="00000009" w:usb3="00000000" w:csb0="000001FF" w:csb1="00000000"/>
  </w:font>
  <w:font w:name="Tahoma">
    <w:altName w:val="DejaVu Sans"/>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仿宋">
    <w:altName w:val="方正仿宋_GBK"/>
    <w:panose1 w:val="02010609060101010101"/>
    <w:charset w:val="86"/>
    <w:family w:val="modern"/>
    <w:pitch w:val="fixed"/>
    <w:sig w:usb0="800002BF" w:usb1="38CF7CFA"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73934D" w14:textId="77777777" w:rsidR="009902EF" w:rsidRDefault="009902EF">
      <w:pPr>
        <w:rPr>
          <w:rFonts w:hint="eastAsia"/>
        </w:rPr>
      </w:pPr>
      <w:r>
        <w:separator/>
      </w:r>
    </w:p>
  </w:footnote>
  <w:footnote w:type="continuationSeparator" w:id="0">
    <w:p w14:paraId="64366ACC" w14:textId="77777777" w:rsidR="009902EF" w:rsidRDefault="009902EF">
      <w:pPr>
        <w:rPr>
          <w:rFonts w:hint="eastAsia"/>
        </w:rPr>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8264307"/>
    <w:multiLevelType w:val="singleLevel"/>
    <w:tmpl w:val="F8264307"/>
    <w:lvl w:ilvl="0">
      <w:start w:val="2"/>
      <w:numFmt w:val="chineseCounting"/>
      <w:suff w:val="nothing"/>
      <w:lvlText w:val="%1、"/>
      <w:lvlJc w:val="left"/>
      <w:rPr>
        <w:rFonts w:hint="eastAsia"/>
      </w:rPr>
    </w:lvl>
  </w:abstractNum>
  <w:abstractNum w:abstractNumId="1" w15:restartNumberingAfterBreak="0">
    <w:nsid w:val="00000005"/>
    <w:multiLevelType w:val="singleLevel"/>
    <w:tmpl w:val="00000005"/>
    <w:lvl w:ilvl="0">
      <w:start w:val="1"/>
      <w:numFmt w:val="chineseCounting"/>
      <w:suff w:val="nothing"/>
      <w:lvlText w:val="（%1）"/>
      <w:lvlJc w:val="left"/>
      <w:pPr>
        <w:ind w:left="0" w:firstLine="420"/>
      </w:pPr>
      <w:rPr>
        <w:rFonts w:hint="eastAsia"/>
      </w:rPr>
    </w:lvl>
  </w:abstractNum>
  <w:abstractNum w:abstractNumId="2" w15:restartNumberingAfterBreak="0">
    <w:nsid w:val="3917CBA7"/>
    <w:multiLevelType w:val="singleLevel"/>
    <w:tmpl w:val="3917CBA7"/>
    <w:lvl w:ilvl="0">
      <w:start w:val="1"/>
      <w:numFmt w:val="chineseCounting"/>
      <w:suff w:val="nothing"/>
      <w:lvlText w:val="%1、"/>
      <w:lvlJc w:val="left"/>
      <w:rPr>
        <w:rFonts w:ascii="黑体" w:eastAsia="黑体" w:hAnsi="黑体" w:cs="黑体" w:hint="eastAsia"/>
      </w:rPr>
    </w:lvl>
  </w:abstractNum>
  <w:abstractNum w:abstractNumId="3" w15:restartNumberingAfterBreak="0">
    <w:nsid w:val="637C5B49"/>
    <w:multiLevelType w:val="singleLevel"/>
    <w:tmpl w:val="637C5B49"/>
    <w:lvl w:ilvl="0">
      <w:start w:val="1"/>
      <w:numFmt w:val="chineseCounting"/>
      <w:suff w:val="nothing"/>
      <w:lvlText w:val="（%1）"/>
      <w:lvlJc w:val="left"/>
      <w:pPr>
        <w:ind w:left="0" w:firstLine="420"/>
      </w:pPr>
      <w:rPr>
        <w:rFonts w:ascii="仿宋_GB2312" w:eastAsia="仿宋_GB2312" w:hint="eastAsia"/>
        <w:sz w:val="32"/>
        <w:szCs w:val="32"/>
      </w:rPr>
    </w:lvl>
  </w:abstractNum>
  <w:abstractNum w:abstractNumId="4" w15:restartNumberingAfterBreak="0">
    <w:nsid w:val="654A144B"/>
    <w:multiLevelType w:val="singleLevel"/>
    <w:tmpl w:val="654A144B"/>
    <w:lvl w:ilvl="0">
      <w:start w:val="1"/>
      <w:numFmt w:val="chineseCounting"/>
      <w:suff w:val="nothing"/>
      <w:lvlText w:val="%1、"/>
      <w:lvlJc w:val="left"/>
      <w:pPr>
        <w:ind w:left="0" w:firstLine="420"/>
      </w:pPr>
      <w:rPr>
        <w:rFonts w:hint="eastAsia"/>
      </w:rPr>
    </w:lvl>
  </w:abstractNum>
  <w:abstractNum w:abstractNumId="5" w15:restartNumberingAfterBreak="0">
    <w:nsid w:val="76C75909"/>
    <w:multiLevelType w:val="singleLevel"/>
    <w:tmpl w:val="76C75909"/>
    <w:lvl w:ilvl="0">
      <w:start w:val="1"/>
      <w:numFmt w:val="chineseCounting"/>
      <w:suff w:val="nothing"/>
      <w:lvlText w:val="%1、"/>
      <w:lvlJc w:val="left"/>
      <w:pPr>
        <w:ind w:left="0" w:firstLine="420"/>
      </w:pPr>
      <w:rPr>
        <w:rFonts w:hint="eastAsia"/>
      </w:rPr>
    </w:lvl>
  </w:abstractNum>
  <w:num w:numId="1" w16cid:durableId="302123041">
    <w:abstractNumId w:val="4"/>
  </w:num>
  <w:num w:numId="2" w16cid:durableId="560360380">
    <w:abstractNumId w:val="3"/>
  </w:num>
  <w:num w:numId="3" w16cid:durableId="208303466">
    <w:abstractNumId w:val="0"/>
  </w:num>
  <w:num w:numId="4" w16cid:durableId="1187257273">
    <w:abstractNumId w:val="1"/>
  </w:num>
  <w:num w:numId="5" w16cid:durableId="187108807">
    <w:abstractNumId w:val="5"/>
  </w:num>
  <w:num w:numId="6" w16cid:durableId="112623788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420"/>
  <w:drawingGridHorizontalSpacing w:val="160"/>
  <w:drawingGridVerticalSpacing w:val="156"/>
  <w:noPunctuationKerning/>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commondata" w:val="eyJoZGlkIjoiMTI1NDNmMjBmZjExNTQyMzAzZjQ3ZjU2YTJjZDliMDUifQ=="/>
  </w:docVars>
  <w:rsids>
    <w:rsidRoot w:val="00172A27"/>
    <w:rsid w:val="84EFBA69"/>
    <w:rsid w:val="87F11C36"/>
    <w:rsid w:val="8AEF76BF"/>
    <w:rsid w:val="8B57D699"/>
    <w:rsid w:val="8BFFC82F"/>
    <w:rsid w:val="8CEFDA45"/>
    <w:rsid w:val="8DD4566B"/>
    <w:rsid w:val="92FA315A"/>
    <w:rsid w:val="937B6F8D"/>
    <w:rsid w:val="95FAE282"/>
    <w:rsid w:val="96F60ECB"/>
    <w:rsid w:val="9AFB791E"/>
    <w:rsid w:val="9D7E851D"/>
    <w:rsid w:val="9EB31FE7"/>
    <w:rsid w:val="9EF39A63"/>
    <w:rsid w:val="9F2F0417"/>
    <w:rsid w:val="9F7D7693"/>
    <w:rsid w:val="9FF3D805"/>
    <w:rsid w:val="A7794EE5"/>
    <w:rsid w:val="A7BE59F9"/>
    <w:rsid w:val="AB91D909"/>
    <w:rsid w:val="ABFE4FD6"/>
    <w:rsid w:val="ADDBF4A8"/>
    <w:rsid w:val="B2E50FF9"/>
    <w:rsid w:val="B2F4132A"/>
    <w:rsid w:val="B6FE6A5A"/>
    <w:rsid w:val="B77F763B"/>
    <w:rsid w:val="B77F8FEA"/>
    <w:rsid w:val="B77FFBBF"/>
    <w:rsid w:val="B7FFED75"/>
    <w:rsid w:val="B95B8AC3"/>
    <w:rsid w:val="B9AFDCF4"/>
    <w:rsid w:val="BBB713F8"/>
    <w:rsid w:val="BBDE0A00"/>
    <w:rsid w:val="BBE89E9D"/>
    <w:rsid w:val="BBF6860C"/>
    <w:rsid w:val="BBFFA7EF"/>
    <w:rsid w:val="BD67CC89"/>
    <w:rsid w:val="BDBF4B1D"/>
    <w:rsid w:val="BDF6C8D8"/>
    <w:rsid w:val="BDFDF24F"/>
    <w:rsid w:val="BE9AA65E"/>
    <w:rsid w:val="BEBF7AAF"/>
    <w:rsid w:val="BF724B80"/>
    <w:rsid w:val="BF769558"/>
    <w:rsid w:val="BF7F0AF0"/>
    <w:rsid w:val="BF962978"/>
    <w:rsid w:val="BFB68485"/>
    <w:rsid w:val="BFBE1C76"/>
    <w:rsid w:val="BFC8FBC7"/>
    <w:rsid w:val="BFF16AF4"/>
    <w:rsid w:val="BFF3429E"/>
    <w:rsid w:val="BFFB5F82"/>
    <w:rsid w:val="BFFD6490"/>
    <w:rsid w:val="BFFF8812"/>
    <w:rsid w:val="C57F19DA"/>
    <w:rsid w:val="C6C7844C"/>
    <w:rsid w:val="C8FF2700"/>
    <w:rsid w:val="CB3F1175"/>
    <w:rsid w:val="CCEAF677"/>
    <w:rsid w:val="CDB3AD1F"/>
    <w:rsid w:val="CFBD5B7F"/>
    <w:rsid w:val="CFEF5BAB"/>
    <w:rsid w:val="D07F2DF6"/>
    <w:rsid w:val="D29FAE75"/>
    <w:rsid w:val="D5D382EE"/>
    <w:rsid w:val="D6F90AFD"/>
    <w:rsid w:val="D7BF231F"/>
    <w:rsid w:val="D7DEC0DD"/>
    <w:rsid w:val="D7DF7C12"/>
    <w:rsid w:val="D7FD0F89"/>
    <w:rsid w:val="DAFDF0E0"/>
    <w:rsid w:val="DB7ED6CB"/>
    <w:rsid w:val="DBED9BDA"/>
    <w:rsid w:val="DD314086"/>
    <w:rsid w:val="DD7F0086"/>
    <w:rsid w:val="DDCD6140"/>
    <w:rsid w:val="DDED440F"/>
    <w:rsid w:val="DDF74E82"/>
    <w:rsid w:val="DEBD2D84"/>
    <w:rsid w:val="DEE7B509"/>
    <w:rsid w:val="DEFF1367"/>
    <w:rsid w:val="DF5750D5"/>
    <w:rsid w:val="DF5B7A9D"/>
    <w:rsid w:val="DF9F1424"/>
    <w:rsid w:val="DFDF685B"/>
    <w:rsid w:val="DFEF6434"/>
    <w:rsid w:val="DFF88CD7"/>
    <w:rsid w:val="DFFAAECC"/>
    <w:rsid w:val="DFFB3215"/>
    <w:rsid w:val="DFFB8B7A"/>
    <w:rsid w:val="DFFF15F0"/>
    <w:rsid w:val="DFFF3E58"/>
    <w:rsid w:val="E7B4310E"/>
    <w:rsid w:val="E7D2B630"/>
    <w:rsid w:val="E7DBF087"/>
    <w:rsid w:val="E7F77AFC"/>
    <w:rsid w:val="E7FC56C5"/>
    <w:rsid w:val="E7FF6F89"/>
    <w:rsid w:val="E97B7166"/>
    <w:rsid w:val="EAB1C343"/>
    <w:rsid w:val="EBD7E3F0"/>
    <w:rsid w:val="EBDFC361"/>
    <w:rsid w:val="EC9F5989"/>
    <w:rsid w:val="ECCF85EC"/>
    <w:rsid w:val="EEDF0300"/>
    <w:rsid w:val="EF7FD19E"/>
    <w:rsid w:val="EFAD1FF4"/>
    <w:rsid w:val="EFB437D5"/>
    <w:rsid w:val="EFC73F7C"/>
    <w:rsid w:val="EFCE6DD2"/>
    <w:rsid w:val="EFE75DF5"/>
    <w:rsid w:val="EFEFAA88"/>
    <w:rsid w:val="EFEFFD5E"/>
    <w:rsid w:val="EFF143F9"/>
    <w:rsid w:val="EFF72413"/>
    <w:rsid w:val="EFF7FA2D"/>
    <w:rsid w:val="EFF938A8"/>
    <w:rsid w:val="EFFBA383"/>
    <w:rsid w:val="F1AD6C41"/>
    <w:rsid w:val="F27C5B8C"/>
    <w:rsid w:val="F2F61215"/>
    <w:rsid w:val="F3BE4C61"/>
    <w:rsid w:val="F3DF75B3"/>
    <w:rsid w:val="F53E91DF"/>
    <w:rsid w:val="F53F3753"/>
    <w:rsid w:val="F56F15A7"/>
    <w:rsid w:val="F57FFADB"/>
    <w:rsid w:val="F5FDA7D9"/>
    <w:rsid w:val="F6FC0824"/>
    <w:rsid w:val="F767FBB1"/>
    <w:rsid w:val="F7BAED10"/>
    <w:rsid w:val="F7D79C11"/>
    <w:rsid w:val="F7DF87A2"/>
    <w:rsid w:val="F7DFBB3C"/>
    <w:rsid w:val="F7EB09F8"/>
    <w:rsid w:val="F7F5FE29"/>
    <w:rsid w:val="F7FE2C09"/>
    <w:rsid w:val="F7FF9315"/>
    <w:rsid w:val="F90F8F7C"/>
    <w:rsid w:val="F97FDD2B"/>
    <w:rsid w:val="F9AB903F"/>
    <w:rsid w:val="F9BFAF22"/>
    <w:rsid w:val="F9F32820"/>
    <w:rsid w:val="F9FB6609"/>
    <w:rsid w:val="F9FF4599"/>
    <w:rsid w:val="FA6F5E89"/>
    <w:rsid w:val="FABC319B"/>
    <w:rsid w:val="FAFFA69D"/>
    <w:rsid w:val="FB56B0C2"/>
    <w:rsid w:val="FB81453C"/>
    <w:rsid w:val="FB96F91F"/>
    <w:rsid w:val="FBB36CAF"/>
    <w:rsid w:val="FD3785CC"/>
    <w:rsid w:val="FD7B0087"/>
    <w:rsid w:val="FDBD2CFA"/>
    <w:rsid w:val="FDBF4BC4"/>
    <w:rsid w:val="FDDF2402"/>
    <w:rsid w:val="FDF6A749"/>
    <w:rsid w:val="FDFD23B3"/>
    <w:rsid w:val="FE4D6CDE"/>
    <w:rsid w:val="FE62708A"/>
    <w:rsid w:val="FE8FD1F9"/>
    <w:rsid w:val="FEB10F91"/>
    <w:rsid w:val="FECDD73C"/>
    <w:rsid w:val="FEDD5D85"/>
    <w:rsid w:val="FEEE2160"/>
    <w:rsid w:val="FEEF0B76"/>
    <w:rsid w:val="FEF573FA"/>
    <w:rsid w:val="FEF7226B"/>
    <w:rsid w:val="FEF97E2C"/>
    <w:rsid w:val="FF4363BD"/>
    <w:rsid w:val="FF6A1EAC"/>
    <w:rsid w:val="FF795FD4"/>
    <w:rsid w:val="FF7BCA5A"/>
    <w:rsid w:val="FF7FA287"/>
    <w:rsid w:val="FF7FFAB1"/>
    <w:rsid w:val="FF9E5115"/>
    <w:rsid w:val="FFAF1D2E"/>
    <w:rsid w:val="FFB4DABA"/>
    <w:rsid w:val="FFBF9976"/>
    <w:rsid w:val="FFD5D403"/>
    <w:rsid w:val="FFD65B47"/>
    <w:rsid w:val="FFD7658D"/>
    <w:rsid w:val="FFDB4044"/>
    <w:rsid w:val="FFDF00DE"/>
    <w:rsid w:val="FFDF3120"/>
    <w:rsid w:val="FFDF4D62"/>
    <w:rsid w:val="FFDF8C57"/>
    <w:rsid w:val="FFE7DECB"/>
    <w:rsid w:val="FFE8271B"/>
    <w:rsid w:val="FFEB05CE"/>
    <w:rsid w:val="FFEE8F39"/>
    <w:rsid w:val="FFEFE519"/>
    <w:rsid w:val="FFF3430A"/>
    <w:rsid w:val="FFF5AF3A"/>
    <w:rsid w:val="FFF6915B"/>
    <w:rsid w:val="FFFD9234"/>
    <w:rsid w:val="FFFF01CB"/>
    <w:rsid w:val="FFFF7066"/>
    <w:rsid w:val="FFFFCF5E"/>
    <w:rsid w:val="00000446"/>
    <w:rsid w:val="000008EF"/>
    <w:rsid w:val="00000AC4"/>
    <w:rsid w:val="000010DA"/>
    <w:rsid w:val="00001367"/>
    <w:rsid w:val="00001BF6"/>
    <w:rsid w:val="00002985"/>
    <w:rsid w:val="00003142"/>
    <w:rsid w:val="00003733"/>
    <w:rsid w:val="00003B08"/>
    <w:rsid w:val="00003CE3"/>
    <w:rsid w:val="00003F62"/>
    <w:rsid w:val="000049A2"/>
    <w:rsid w:val="00004C7B"/>
    <w:rsid w:val="00004D78"/>
    <w:rsid w:val="00005289"/>
    <w:rsid w:val="00005661"/>
    <w:rsid w:val="000062A4"/>
    <w:rsid w:val="00006843"/>
    <w:rsid w:val="00006F7E"/>
    <w:rsid w:val="000078D4"/>
    <w:rsid w:val="0001079D"/>
    <w:rsid w:val="00011817"/>
    <w:rsid w:val="00012B3A"/>
    <w:rsid w:val="000135EC"/>
    <w:rsid w:val="00013AF7"/>
    <w:rsid w:val="00014062"/>
    <w:rsid w:val="00014F95"/>
    <w:rsid w:val="0001561E"/>
    <w:rsid w:val="00015CEB"/>
    <w:rsid w:val="00015FEB"/>
    <w:rsid w:val="00016031"/>
    <w:rsid w:val="00016275"/>
    <w:rsid w:val="00016F9E"/>
    <w:rsid w:val="00020EAD"/>
    <w:rsid w:val="00022033"/>
    <w:rsid w:val="000222E1"/>
    <w:rsid w:val="0002277C"/>
    <w:rsid w:val="0002283A"/>
    <w:rsid w:val="00023EB5"/>
    <w:rsid w:val="00025603"/>
    <w:rsid w:val="00026155"/>
    <w:rsid w:val="0002772F"/>
    <w:rsid w:val="000332C6"/>
    <w:rsid w:val="00033B11"/>
    <w:rsid w:val="00033EE4"/>
    <w:rsid w:val="000346D2"/>
    <w:rsid w:val="00035963"/>
    <w:rsid w:val="00035A26"/>
    <w:rsid w:val="00035CF1"/>
    <w:rsid w:val="00036240"/>
    <w:rsid w:val="0003665D"/>
    <w:rsid w:val="000368D3"/>
    <w:rsid w:val="00036CB2"/>
    <w:rsid w:val="0003708B"/>
    <w:rsid w:val="00037723"/>
    <w:rsid w:val="00040D0C"/>
    <w:rsid w:val="00041BAB"/>
    <w:rsid w:val="00041EEA"/>
    <w:rsid w:val="00043431"/>
    <w:rsid w:val="000438F2"/>
    <w:rsid w:val="00043A1A"/>
    <w:rsid w:val="00046E77"/>
    <w:rsid w:val="0005035A"/>
    <w:rsid w:val="00053428"/>
    <w:rsid w:val="00054A92"/>
    <w:rsid w:val="00055A08"/>
    <w:rsid w:val="0005625A"/>
    <w:rsid w:val="0005692D"/>
    <w:rsid w:val="00057A0B"/>
    <w:rsid w:val="00057D35"/>
    <w:rsid w:val="00057F85"/>
    <w:rsid w:val="000625C3"/>
    <w:rsid w:val="00062B9E"/>
    <w:rsid w:val="00063693"/>
    <w:rsid w:val="000646E6"/>
    <w:rsid w:val="00064852"/>
    <w:rsid w:val="00064896"/>
    <w:rsid w:val="000652A4"/>
    <w:rsid w:val="00065D01"/>
    <w:rsid w:val="00066D4A"/>
    <w:rsid w:val="00066E6D"/>
    <w:rsid w:val="00066F46"/>
    <w:rsid w:val="00067343"/>
    <w:rsid w:val="000675A6"/>
    <w:rsid w:val="00072AA9"/>
    <w:rsid w:val="000735E8"/>
    <w:rsid w:val="000738C7"/>
    <w:rsid w:val="00074357"/>
    <w:rsid w:val="00074C8D"/>
    <w:rsid w:val="00074D52"/>
    <w:rsid w:val="00075E6E"/>
    <w:rsid w:val="00075F75"/>
    <w:rsid w:val="00076250"/>
    <w:rsid w:val="00077576"/>
    <w:rsid w:val="000809FB"/>
    <w:rsid w:val="0008547B"/>
    <w:rsid w:val="000863C8"/>
    <w:rsid w:val="0008643B"/>
    <w:rsid w:val="00091A93"/>
    <w:rsid w:val="0009257A"/>
    <w:rsid w:val="00092C8E"/>
    <w:rsid w:val="00093824"/>
    <w:rsid w:val="00094D57"/>
    <w:rsid w:val="00096287"/>
    <w:rsid w:val="00096843"/>
    <w:rsid w:val="000968F3"/>
    <w:rsid w:val="00096B7D"/>
    <w:rsid w:val="000A0F75"/>
    <w:rsid w:val="000A0F7A"/>
    <w:rsid w:val="000A17B0"/>
    <w:rsid w:val="000A2585"/>
    <w:rsid w:val="000A2823"/>
    <w:rsid w:val="000A2F39"/>
    <w:rsid w:val="000A3669"/>
    <w:rsid w:val="000A6EC0"/>
    <w:rsid w:val="000A7049"/>
    <w:rsid w:val="000A72AB"/>
    <w:rsid w:val="000B063F"/>
    <w:rsid w:val="000B0AFE"/>
    <w:rsid w:val="000B221E"/>
    <w:rsid w:val="000B2439"/>
    <w:rsid w:val="000B2C99"/>
    <w:rsid w:val="000B2CE7"/>
    <w:rsid w:val="000B3390"/>
    <w:rsid w:val="000B3D62"/>
    <w:rsid w:val="000B4793"/>
    <w:rsid w:val="000B4C39"/>
    <w:rsid w:val="000B667B"/>
    <w:rsid w:val="000B6D9E"/>
    <w:rsid w:val="000B7046"/>
    <w:rsid w:val="000B73A2"/>
    <w:rsid w:val="000C03BB"/>
    <w:rsid w:val="000C1087"/>
    <w:rsid w:val="000C2AA5"/>
    <w:rsid w:val="000C3490"/>
    <w:rsid w:val="000C35DA"/>
    <w:rsid w:val="000C3FEF"/>
    <w:rsid w:val="000C4EC7"/>
    <w:rsid w:val="000C6243"/>
    <w:rsid w:val="000C65BD"/>
    <w:rsid w:val="000C69C7"/>
    <w:rsid w:val="000C69FF"/>
    <w:rsid w:val="000C774E"/>
    <w:rsid w:val="000D0A06"/>
    <w:rsid w:val="000D195B"/>
    <w:rsid w:val="000D3D4A"/>
    <w:rsid w:val="000D3F03"/>
    <w:rsid w:val="000D40D6"/>
    <w:rsid w:val="000D7B38"/>
    <w:rsid w:val="000E02D4"/>
    <w:rsid w:val="000E18E5"/>
    <w:rsid w:val="000E1F66"/>
    <w:rsid w:val="000E4519"/>
    <w:rsid w:val="000E4CDA"/>
    <w:rsid w:val="000E4D33"/>
    <w:rsid w:val="000E5276"/>
    <w:rsid w:val="000E5FC5"/>
    <w:rsid w:val="000E64F6"/>
    <w:rsid w:val="000F1F88"/>
    <w:rsid w:val="000F1FC8"/>
    <w:rsid w:val="000F4AB0"/>
    <w:rsid w:val="000F4B52"/>
    <w:rsid w:val="000F4E12"/>
    <w:rsid w:val="000F4F3A"/>
    <w:rsid w:val="000F571B"/>
    <w:rsid w:val="000F5DF5"/>
    <w:rsid w:val="000F78E7"/>
    <w:rsid w:val="000F794B"/>
    <w:rsid w:val="000F7E52"/>
    <w:rsid w:val="001007A2"/>
    <w:rsid w:val="00100D09"/>
    <w:rsid w:val="00100FF8"/>
    <w:rsid w:val="0010359F"/>
    <w:rsid w:val="00104260"/>
    <w:rsid w:val="00104C35"/>
    <w:rsid w:val="0010588F"/>
    <w:rsid w:val="00106281"/>
    <w:rsid w:val="00107348"/>
    <w:rsid w:val="00110E2F"/>
    <w:rsid w:val="00112071"/>
    <w:rsid w:val="001126F2"/>
    <w:rsid w:val="001128AF"/>
    <w:rsid w:val="00114E08"/>
    <w:rsid w:val="001152DB"/>
    <w:rsid w:val="001159D8"/>
    <w:rsid w:val="001164F5"/>
    <w:rsid w:val="001171C6"/>
    <w:rsid w:val="00117AA2"/>
    <w:rsid w:val="00120771"/>
    <w:rsid w:val="00121238"/>
    <w:rsid w:val="00121588"/>
    <w:rsid w:val="00121BB0"/>
    <w:rsid w:val="001221F2"/>
    <w:rsid w:val="00125CE3"/>
    <w:rsid w:val="00131727"/>
    <w:rsid w:val="00131B9D"/>
    <w:rsid w:val="00132B0F"/>
    <w:rsid w:val="00133357"/>
    <w:rsid w:val="00135DD1"/>
    <w:rsid w:val="00136586"/>
    <w:rsid w:val="001368A0"/>
    <w:rsid w:val="0014029E"/>
    <w:rsid w:val="00141CC6"/>
    <w:rsid w:val="001421F5"/>
    <w:rsid w:val="0014299A"/>
    <w:rsid w:val="001432E8"/>
    <w:rsid w:val="00144478"/>
    <w:rsid w:val="00144A04"/>
    <w:rsid w:val="001455FB"/>
    <w:rsid w:val="0014652F"/>
    <w:rsid w:val="00146DE8"/>
    <w:rsid w:val="00147566"/>
    <w:rsid w:val="0014775D"/>
    <w:rsid w:val="00147F74"/>
    <w:rsid w:val="00150666"/>
    <w:rsid w:val="00150ACD"/>
    <w:rsid w:val="00150BB4"/>
    <w:rsid w:val="00151144"/>
    <w:rsid w:val="001515E1"/>
    <w:rsid w:val="0015205B"/>
    <w:rsid w:val="00153493"/>
    <w:rsid w:val="001536D0"/>
    <w:rsid w:val="00153E37"/>
    <w:rsid w:val="00154085"/>
    <w:rsid w:val="00154E03"/>
    <w:rsid w:val="00154ED9"/>
    <w:rsid w:val="00155CCD"/>
    <w:rsid w:val="00155E6E"/>
    <w:rsid w:val="0015636F"/>
    <w:rsid w:val="001565EF"/>
    <w:rsid w:val="001573A1"/>
    <w:rsid w:val="00161241"/>
    <w:rsid w:val="00161284"/>
    <w:rsid w:val="00161851"/>
    <w:rsid w:val="0016251E"/>
    <w:rsid w:val="00162EB8"/>
    <w:rsid w:val="00164357"/>
    <w:rsid w:val="001646A1"/>
    <w:rsid w:val="00164988"/>
    <w:rsid w:val="00165688"/>
    <w:rsid w:val="00166654"/>
    <w:rsid w:val="001667B1"/>
    <w:rsid w:val="00166A95"/>
    <w:rsid w:val="00167376"/>
    <w:rsid w:val="001675D6"/>
    <w:rsid w:val="0017147F"/>
    <w:rsid w:val="00171840"/>
    <w:rsid w:val="001718AD"/>
    <w:rsid w:val="00172A27"/>
    <w:rsid w:val="00172D66"/>
    <w:rsid w:val="00173690"/>
    <w:rsid w:val="00174703"/>
    <w:rsid w:val="00174A0B"/>
    <w:rsid w:val="00174A5A"/>
    <w:rsid w:val="001753F3"/>
    <w:rsid w:val="00175558"/>
    <w:rsid w:val="001755C0"/>
    <w:rsid w:val="0017584C"/>
    <w:rsid w:val="00176EF8"/>
    <w:rsid w:val="001771DB"/>
    <w:rsid w:val="001774B2"/>
    <w:rsid w:val="001801E7"/>
    <w:rsid w:val="001817B5"/>
    <w:rsid w:val="00182158"/>
    <w:rsid w:val="00182DBE"/>
    <w:rsid w:val="001837D3"/>
    <w:rsid w:val="001839FC"/>
    <w:rsid w:val="00184214"/>
    <w:rsid w:val="00184F49"/>
    <w:rsid w:val="00185164"/>
    <w:rsid w:val="001866D6"/>
    <w:rsid w:val="00187BEF"/>
    <w:rsid w:val="001927B1"/>
    <w:rsid w:val="00192C3E"/>
    <w:rsid w:val="00192CBE"/>
    <w:rsid w:val="00192DC0"/>
    <w:rsid w:val="00193B65"/>
    <w:rsid w:val="00193D60"/>
    <w:rsid w:val="00194B69"/>
    <w:rsid w:val="00194BFC"/>
    <w:rsid w:val="00195A78"/>
    <w:rsid w:val="00196A63"/>
    <w:rsid w:val="00196E0B"/>
    <w:rsid w:val="001A0714"/>
    <w:rsid w:val="001A0FD2"/>
    <w:rsid w:val="001A1418"/>
    <w:rsid w:val="001A17AE"/>
    <w:rsid w:val="001A54DA"/>
    <w:rsid w:val="001A5583"/>
    <w:rsid w:val="001A7B25"/>
    <w:rsid w:val="001A7E3E"/>
    <w:rsid w:val="001B01E3"/>
    <w:rsid w:val="001B1EEA"/>
    <w:rsid w:val="001B4097"/>
    <w:rsid w:val="001B4DF7"/>
    <w:rsid w:val="001B5A28"/>
    <w:rsid w:val="001B6BB6"/>
    <w:rsid w:val="001B7597"/>
    <w:rsid w:val="001C0F85"/>
    <w:rsid w:val="001C1A25"/>
    <w:rsid w:val="001C3429"/>
    <w:rsid w:val="001C3623"/>
    <w:rsid w:val="001C3C94"/>
    <w:rsid w:val="001C4570"/>
    <w:rsid w:val="001C4742"/>
    <w:rsid w:val="001C4B70"/>
    <w:rsid w:val="001C598E"/>
    <w:rsid w:val="001C5B8B"/>
    <w:rsid w:val="001D05B1"/>
    <w:rsid w:val="001D0B3B"/>
    <w:rsid w:val="001D1826"/>
    <w:rsid w:val="001D214A"/>
    <w:rsid w:val="001D2B65"/>
    <w:rsid w:val="001D3FCE"/>
    <w:rsid w:val="001D4C52"/>
    <w:rsid w:val="001D623C"/>
    <w:rsid w:val="001D6831"/>
    <w:rsid w:val="001D77BE"/>
    <w:rsid w:val="001E130B"/>
    <w:rsid w:val="001E14C8"/>
    <w:rsid w:val="001E1CDA"/>
    <w:rsid w:val="001E2EB8"/>
    <w:rsid w:val="001E3257"/>
    <w:rsid w:val="001E4154"/>
    <w:rsid w:val="001E4983"/>
    <w:rsid w:val="001E5473"/>
    <w:rsid w:val="001E5ABB"/>
    <w:rsid w:val="001E5BFF"/>
    <w:rsid w:val="001E6420"/>
    <w:rsid w:val="001E7DD7"/>
    <w:rsid w:val="001F04F3"/>
    <w:rsid w:val="001F1580"/>
    <w:rsid w:val="001F21CA"/>
    <w:rsid w:val="001F326A"/>
    <w:rsid w:val="001F40A2"/>
    <w:rsid w:val="001F4282"/>
    <w:rsid w:val="001F44D3"/>
    <w:rsid w:val="001F6CD6"/>
    <w:rsid w:val="00200015"/>
    <w:rsid w:val="002000A0"/>
    <w:rsid w:val="0020012E"/>
    <w:rsid w:val="0020140E"/>
    <w:rsid w:val="00201479"/>
    <w:rsid w:val="00201C84"/>
    <w:rsid w:val="00201EF1"/>
    <w:rsid w:val="002029AE"/>
    <w:rsid w:val="00203408"/>
    <w:rsid w:val="002036AC"/>
    <w:rsid w:val="00203A94"/>
    <w:rsid w:val="00203EF7"/>
    <w:rsid w:val="0020506B"/>
    <w:rsid w:val="002051E6"/>
    <w:rsid w:val="00205A87"/>
    <w:rsid w:val="00211D66"/>
    <w:rsid w:val="00213025"/>
    <w:rsid w:val="002132FE"/>
    <w:rsid w:val="002134F8"/>
    <w:rsid w:val="0021365C"/>
    <w:rsid w:val="0021585F"/>
    <w:rsid w:val="002179B1"/>
    <w:rsid w:val="0022298E"/>
    <w:rsid w:val="00223659"/>
    <w:rsid w:val="00223E36"/>
    <w:rsid w:val="00227CC6"/>
    <w:rsid w:val="00227D89"/>
    <w:rsid w:val="002317E6"/>
    <w:rsid w:val="00233039"/>
    <w:rsid w:val="00233CA5"/>
    <w:rsid w:val="00233F81"/>
    <w:rsid w:val="00234054"/>
    <w:rsid w:val="00235942"/>
    <w:rsid w:val="00237429"/>
    <w:rsid w:val="0024054C"/>
    <w:rsid w:val="00241516"/>
    <w:rsid w:val="00242966"/>
    <w:rsid w:val="002439F4"/>
    <w:rsid w:val="00243C32"/>
    <w:rsid w:val="00244643"/>
    <w:rsid w:val="0024514E"/>
    <w:rsid w:val="0024571B"/>
    <w:rsid w:val="00247045"/>
    <w:rsid w:val="002474E8"/>
    <w:rsid w:val="002476CC"/>
    <w:rsid w:val="002479F9"/>
    <w:rsid w:val="00247FDF"/>
    <w:rsid w:val="0025138E"/>
    <w:rsid w:val="00252DE0"/>
    <w:rsid w:val="00253161"/>
    <w:rsid w:val="002531CC"/>
    <w:rsid w:val="002536F0"/>
    <w:rsid w:val="002540B7"/>
    <w:rsid w:val="00254812"/>
    <w:rsid w:val="00254846"/>
    <w:rsid w:val="0025616B"/>
    <w:rsid w:val="002571C8"/>
    <w:rsid w:val="002577D3"/>
    <w:rsid w:val="00260B9B"/>
    <w:rsid w:val="00261256"/>
    <w:rsid w:val="00264207"/>
    <w:rsid w:val="002647F5"/>
    <w:rsid w:val="00265424"/>
    <w:rsid w:val="00265513"/>
    <w:rsid w:val="00266410"/>
    <w:rsid w:val="002669A6"/>
    <w:rsid w:val="00267BF5"/>
    <w:rsid w:val="002729D4"/>
    <w:rsid w:val="002730DB"/>
    <w:rsid w:val="00273554"/>
    <w:rsid w:val="00274556"/>
    <w:rsid w:val="002753E3"/>
    <w:rsid w:val="00275539"/>
    <w:rsid w:val="00275FDE"/>
    <w:rsid w:val="00276149"/>
    <w:rsid w:val="00276C8E"/>
    <w:rsid w:val="002779A6"/>
    <w:rsid w:val="00280028"/>
    <w:rsid w:val="002808B2"/>
    <w:rsid w:val="002824A9"/>
    <w:rsid w:val="00282646"/>
    <w:rsid w:val="00285ED0"/>
    <w:rsid w:val="00286570"/>
    <w:rsid w:val="0028671D"/>
    <w:rsid w:val="00286FFE"/>
    <w:rsid w:val="00287945"/>
    <w:rsid w:val="00287F20"/>
    <w:rsid w:val="00287F8D"/>
    <w:rsid w:val="00290BB6"/>
    <w:rsid w:val="0029115C"/>
    <w:rsid w:val="00291CE7"/>
    <w:rsid w:val="00292CDA"/>
    <w:rsid w:val="00292FB2"/>
    <w:rsid w:val="00293612"/>
    <w:rsid w:val="002952D8"/>
    <w:rsid w:val="00295982"/>
    <w:rsid w:val="002974C9"/>
    <w:rsid w:val="002A0207"/>
    <w:rsid w:val="002A17FB"/>
    <w:rsid w:val="002A436C"/>
    <w:rsid w:val="002A69DF"/>
    <w:rsid w:val="002A732D"/>
    <w:rsid w:val="002A78E7"/>
    <w:rsid w:val="002A799B"/>
    <w:rsid w:val="002B26E7"/>
    <w:rsid w:val="002B2A27"/>
    <w:rsid w:val="002B349C"/>
    <w:rsid w:val="002B35FE"/>
    <w:rsid w:val="002B3B1E"/>
    <w:rsid w:val="002B456A"/>
    <w:rsid w:val="002B564D"/>
    <w:rsid w:val="002B57B0"/>
    <w:rsid w:val="002B68C1"/>
    <w:rsid w:val="002B692D"/>
    <w:rsid w:val="002B6E86"/>
    <w:rsid w:val="002B7FD0"/>
    <w:rsid w:val="002C052B"/>
    <w:rsid w:val="002C05A7"/>
    <w:rsid w:val="002C075C"/>
    <w:rsid w:val="002C07CC"/>
    <w:rsid w:val="002C1159"/>
    <w:rsid w:val="002C1571"/>
    <w:rsid w:val="002C1DEE"/>
    <w:rsid w:val="002C2731"/>
    <w:rsid w:val="002C2A0D"/>
    <w:rsid w:val="002C2A34"/>
    <w:rsid w:val="002C3ED3"/>
    <w:rsid w:val="002C77D2"/>
    <w:rsid w:val="002D00D8"/>
    <w:rsid w:val="002D27B8"/>
    <w:rsid w:val="002D291D"/>
    <w:rsid w:val="002D2E70"/>
    <w:rsid w:val="002D3E2A"/>
    <w:rsid w:val="002D4F73"/>
    <w:rsid w:val="002D5C8D"/>
    <w:rsid w:val="002D6180"/>
    <w:rsid w:val="002D672E"/>
    <w:rsid w:val="002E2ECC"/>
    <w:rsid w:val="002E420C"/>
    <w:rsid w:val="002E437F"/>
    <w:rsid w:val="002E467B"/>
    <w:rsid w:val="002E47AE"/>
    <w:rsid w:val="002E47CD"/>
    <w:rsid w:val="002E648F"/>
    <w:rsid w:val="002E66F0"/>
    <w:rsid w:val="002F0B43"/>
    <w:rsid w:val="002F108F"/>
    <w:rsid w:val="002F12E7"/>
    <w:rsid w:val="002F1F26"/>
    <w:rsid w:val="002F45AC"/>
    <w:rsid w:val="002F45C1"/>
    <w:rsid w:val="002F4733"/>
    <w:rsid w:val="002F5814"/>
    <w:rsid w:val="002F5DC8"/>
    <w:rsid w:val="002F631D"/>
    <w:rsid w:val="002F6403"/>
    <w:rsid w:val="003005AF"/>
    <w:rsid w:val="00300C29"/>
    <w:rsid w:val="00302BE6"/>
    <w:rsid w:val="00303680"/>
    <w:rsid w:val="00304B6F"/>
    <w:rsid w:val="00304CF3"/>
    <w:rsid w:val="00304E68"/>
    <w:rsid w:val="003056D2"/>
    <w:rsid w:val="00306D60"/>
    <w:rsid w:val="0030767C"/>
    <w:rsid w:val="00310C8F"/>
    <w:rsid w:val="00311A17"/>
    <w:rsid w:val="00311AA9"/>
    <w:rsid w:val="00311BAF"/>
    <w:rsid w:val="003151A8"/>
    <w:rsid w:val="00315980"/>
    <w:rsid w:val="00315C3A"/>
    <w:rsid w:val="00316343"/>
    <w:rsid w:val="00316A75"/>
    <w:rsid w:val="003170C0"/>
    <w:rsid w:val="00317620"/>
    <w:rsid w:val="00317734"/>
    <w:rsid w:val="00320087"/>
    <w:rsid w:val="00320EB1"/>
    <w:rsid w:val="003240F5"/>
    <w:rsid w:val="00326471"/>
    <w:rsid w:val="00330B32"/>
    <w:rsid w:val="0033108E"/>
    <w:rsid w:val="0033241A"/>
    <w:rsid w:val="0033283C"/>
    <w:rsid w:val="00333FA9"/>
    <w:rsid w:val="00335544"/>
    <w:rsid w:val="00335AD3"/>
    <w:rsid w:val="00336FFC"/>
    <w:rsid w:val="0033793C"/>
    <w:rsid w:val="003411FF"/>
    <w:rsid w:val="003441C4"/>
    <w:rsid w:val="00344755"/>
    <w:rsid w:val="003447B8"/>
    <w:rsid w:val="0034584A"/>
    <w:rsid w:val="00350183"/>
    <w:rsid w:val="00350E08"/>
    <w:rsid w:val="00351F6E"/>
    <w:rsid w:val="00351FE3"/>
    <w:rsid w:val="0035227A"/>
    <w:rsid w:val="00352B28"/>
    <w:rsid w:val="003536C6"/>
    <w:rsid w:val="00354A9E"/>
    <w:rsid w:val="00355810"/>
    <w:rsid w:val="00357054"/>
    <w:rsid w:val="00357B4C"/>
    <w:rsid w:val="00360A6F"/>
    <w:rsid w:val="003611F4"/>
    <w:rsid w:val="00362052"/>
    <w:rsid w:val="00362F67"/>
    <w:rsid w:val="003639BF"/>
    <w:rsid w:val="003647E3"/>
    <w:rsid w:val="0036525D"/>
    <w:rsid w:val="00365FD1"/>
    <w:rsid w:val="00367279"/>
    <w:rsid w:val="0037058D"/>
    <w:rsid w:val="003706D5"/>
    <w:rsid w:val="00370CAE"/>
    <w:rsid w:val="003712F2"/>
    <w:rsid w:val="0037584B"/>
    <w:rsid w:val="003758F9"/>
    <w:rsid w:val="00375C12"/>
    <w:rsid w:val="00376135"/>
    <w:rsid w:val="003763B4"/>
    <w:rsid w:val="003774E6"/>
    <w:rsid w:val="003802EE"/>
    <w:rsid w:val="0038134F"/>
    <w:rsid w:val="0038266C"/>
    <w:rsid w:val="00382717"/>
    <w:rsid w:val="00384259"/>
    <w:rsid w:val="00384F66"/>
    <w:rsid w:val="003853B3"/>
    <w:rsid w:val="00386E95"/>
    <w:rsid w:val="003879C4"/>
    <w:rsid w:val="00391C55"/>
    <w:rsid w:val="00392030"/>
    <w:rsid w:val="00392D17"/>
    <w:rsid w:val="003937A0"/>
    <w:rsid w:val="003957AA"/>
    <w:rsid w:val="00395834"/>
    <w:rsid w:val="00395EF2"/>
    <w:rsid w:val="0039799E"/>
    <w:rsid w:val="003A01EB"/>
    <w:rsid w:val="003A1C82"/>
    <w:rsid w:val="003A227E"/>
    <w:rsid w:val="003A24D4"/>
    <w:rsid w:val="003A2503"/>
    <w:rsid w:val="003A4764"/>
    <w:rsid w:val="003A4916"/>
    <w:rsid w:val="003A4BCD"/>
    <w:rsid w:val="003A5258"/>
    <w:rsid w:val="003A7F47"/>
    <w:rsid w:val="003B0478"/>
    <w:rsid w:val="003B0CC1"/>
    <w:rsid w:val="003B163E"/>
    <w:rsid w:val="003B412E"/>
    <w:rsid w:val="003B45F4"/>
    <w:rsid w:val="003B4ACD"/>
    <w:rsid w:val="003C1534"/>
    <w:rsid w:val="003C1A2B"/>
    <w:rsid w:val="003C1EFF"/>
    <w:rsid w:val="003C3B8B"/>
    <w:rsid w:val="003C5759"/>
    <w:rsid w:val="003C645C"/>
    <w:rsid w:val="003C7123"/>
    <w:rsid w:val="003C7F90"/>
    <w:rsid w:val="003D222C"/>
    <w:rsid w:val="003D23CF"/>
    <w:rsid w:val="003D5547"/>
    <w:rsid w:val="003D5914"/>
    <w:rsid w:val="003D67CB"/>
    <w:rsid w:val="003D6B57"/>
    <w:rsid w:val="003D6DA4"/>
    <w:rsid w:val="003D788B"/>
    <w:rsid w:val="003D79D4"/>
    <w:rsid w:val="003D7A3A"/>
    <w:rsid w:val="003E0735"/>
    <w:rsid w:val="003E0B30"/>
    <w:rsid w:val="003E21C8"/>
    <w:rsid w:val="003E2DAF"/>
    <w:rsid w:val="003E32D5"/>
    <w:rsid w:val="003E39BC"/>
    <w:rsid w:val="003E4692"/>
    <w:rsid w:val="003E62A0"/>
    <w:rsid w:val="003E68DA"/>
    <w:rsid w:val="003E7974"/>
    <w:rsid w:val="003E7D9C"/>
    <w:rsid w:val="003E7DAB"/>
    <w:rsid w:val="003F0222"/>
    <w:rsid w:val="003F14A6"/>
    <w:rsid w:val="003F3F1F"/>
    <w:rsid w:val="003F44D5"/>
    <w:rsid w:val="003F4FE6"/>
    <w:rsid w:val="003F50CF"/>
    <w:rsid w:val="003F5489"/>
    <w:rsid w:val="003F60F2"/>
    <w:rsid w:val="003F6B26"/>
    <w:rsid w:val="003F723C"/>
    <w:rsid w:val="00402AF0"/>
    <w:rsid w:val="0040303E"/>
    <w:rsid w:val="00405B45"/>
    <w:rsid w:val="00405EA2"/>
    <w:rsid w:val="00406F15"/>
    <w:rsid w:val="004072B9"/>
    <w:rsid w:val="0041021E"/>
    <w:rsid w:val="00410636"/>
    <w:rsid w:val="00412321"/>
    <w:rsid w:val="004124DA"/>
    <w:rsid w:val="00412993"/>
    <w:rsid w:val="00412A2F"/>
    <w:rsid w:val="004141F9"/>
    <w:rsid w:val="00415383"/>
    <w:rsid w:val="004168F0"/>
    <w:rsid w:val="00420274"/>
    <w:rsid w:val="00420B76"/>
    <w:rsid w:val="00420B97"/>
    <w:rsid w:val="004229D0"/>
    <w:rsid w:val="00423990"/>
    <w:rsid w:val="004239E7"/>
    <w:rsid w:val="00423A42"/>
    <w:rsid w:val="00423F95"/>
    <w:rsid w:val="00424FB9"/>
    <w:rsid w:val="004310C9"/>
    <w:rsid w:val="0043110A"/>
    <w:rsid w:val="0043184D"/>
    <w:rsid w:val="00437C04"/>
    <w:rsid w:val="004405DB"/>
    <w:rsid w:val="004406BB"/>
    <w:rsid w:val="004416DD"/>
    <w:rsid w:val="00441966"/>
    <w:rsid w:val="00442040"/>
    <w:rsid w:val="0044207D"/>
    <w:rsid w:val="00442281"/>
    <w:rsid w:val="00444CA8"/>
    <w:rsid w:val="00445614"/>
    <w:rsid w:val="00447A2E"/>
    <w:rsid w:val="0045072B"/>
    <w:rsid w:val="004511C7"/>
    <w:rsid w:val="00451618"/>
    <w:rsid w:val="00451F4C"/>
    <w:rsid w:val="00452027"/>
    <w:rsid w:val="004520AC"/>
    <w:rsid w:val="00452D6E"/>
    <w:rsid w:val="00453DB4"/>
    <w:rsid w:val="004547CE"/>
    <w:rsid w:val="0045485A"/>
    <w:rsid w:val="00454874"/>
    <w:rsid w:val="00454BE9"/>
    <w:rsid w:val="0045585D"/>
    <w:rsid w:val="00456E13"/>
    <w:rsid w:val="00460CEB"/>
    <w:rsid w:val="0046107E"/>
    <w:rsid w:val="00461DCB"/>
    <w:rsid w:val="0046213B"/>
    <w:rsid w:val="004621D3"/>
    <w:rsid w:val="00462D5A"/>
    <w:rsid w:val="00463BDC"/>
    <w:rsid w:val="00464316"/>
    <w:rsid w:val="00464585"/>
    <w:rsid w:val="0046536F"/>
    <w:rsid w:val="00465F63"/>
    <w:rsid w:val="004660A5"/>
    <w:rsid w:val="0046622A"/>
    <w:rsid w:val="00466468"/>
    <w:rsid w:val="00470300"/>
    <w:rsid w:val="00472172"/>
    <w:rsid w:val="00472DB4"/>
    <w:rsid w:val="00474BA1"/>
    <w:rsid w:val="00474FD1"/>
    <w:rsid w:val="00475184"/>
    <w:rsid w:val="004756EA"/>
    <w:rsid w:val="00475AFB"/>
    <w:rsid w:val="0047683E"/>
    <w:rsid w:val="00476A47"/>
    <w:rsid w:val="00476AA5"/>
    <w:rsid w:val="00477AA2"/>
    <w:rsid w:val="00480599"/>
    <w:rsid w:val="00480741"/>
    <w:rsid w:val="004812D3"/>
    <w:rsid w:val="0048262F"/>
    <w:rsid w:val="0048357E"/>
    <w:rsid w:val="0048425E"/>
    <w:rsid w:val="00484406"/>
    <w:rsid w:val="004845D7"/>
    <w:rsid w:val="004846A6"/>
    <w:rsid w:val="0048564D"/>
    <w:rsid w:val="00486235"/>
    <w:rsid w:val="00487259"/>
    <w:rsid w:val="00487DB7"/>
    <w:rsid w:val="00487E8C"/>
    <w:rsid w:val="00491A7F"/>
    <w:rsid w:val="004920EF"/>
    <w:rsid w:val="004929BC"/>
    <w:rsid w:val="00492AED"/>
    <w:rsid w:val="00492F4F"/>
    <w:rsid w:val="0049340F"/>
    <w:rsid w:val="0049456B"/>
    <w:rsid w:val="00494F69"/>
    <w:rsid w:val="004953D8"/>
    <w:rsid w:val="004955CE"/>
    <w:rsid w:val="00495C1D"/>
    <w:rsid w:val="00497699"/>
    <w:rsid w:val="004A02E8"/>
    <w:rsid w:val="004A1E6B"/>
    <w:rsid w:val="004A1ED7"/>
    <w:rsid w:val="004A31DA"/>
    <w:rsid w:val="004A3B60"/>
    <w:rsid w:val="004A3C6D"/>
    <w:rsid w:val="004A4CEB"/>
    <w:rsid w:val="004A6D49"/>
    <w:rsid w:val="004A703F"/>
    <w:rsid w:val="004A73EF"/>
    <w:rsid w:val="004B240D"/>
    <w:rsid w:val="004B3830"/>
    <w:rsid w:val="004B3B6C"/>
    <w:rsid w:val="004B439F"/>
    <w:rsid w:val="004B5364"/>
    <w:rsid w:val="004B592E"/>
    <w:rsid w:val="004B6E23"/>
    <w:rsid w:val="004C0395"/>
    <w:rsid w:val="004C0563"/>
    <w:rsid w:val="004C17B2"/>
    <w:rsid w:val="004C30AC"/>
    <w:rsid w:val="004C3B29"/>
    <w:rsid w:val="004C498C"/>
    <w:rsid w:val="004D0D5F"/>
    <w:rsid w:val="004D0DC9"/>
    <w:rsid w:val="004D127F"/>
    <w:rsid w:val="004D2DF1"/>
    <w:rsid w:val="004D32FB"/>
    <w:rsid w:val="004D34DC"/>
    <w:rsid w:val="004D4548"/>
    <w:rsid w:val="004D5142"/>
    <w:rsid w:val="004D58DC"/>
    <w:rsid w:val="004D65A1"/>
    <w:rsid w:val="004E0211"/>
    <w:rsid w:val="004E038B"/>
    <w:rsid w:val="004E0644"/>
    <w:rsid w:val="004E1B61"/>
    <w:rsid w:val="004E2CD0"/>
    <w:rsid w:val="004E329A"/>
    <w:rsid w:val="004E3672"/>
    <w:rsid w:val="004E38D8"/>
    <w:rsid w:val="004E3E51"/>
    <w:rsid w:val="004E44E9"/>
    <w:rsid w:val="004E59BA"/>
    <w:rsid w:val="004E5B66"/>
    <w:rsid w:val="004E74A5"/>
    <w:rsid w:val="004E7ED5"/>
    <w:rsid w:val="004F13CC"/>
    <w:rsid w:val="004F219A"/>
    <w:rsid w:val="004F22F1"/>
    <w:rsid w:val="004F273A"/>
    <w:rsid w:val="004F4370"/>
    <w:rsid w:val="004F4E19"/>
    <w:rsid w:val="004F5BD2"/>
    <w:rsid w:val="004F5ED1"/>
    <w:rsid w:val="004F6C00"/>
    <w:rsid w:val="004F710D"/>
    <w:rsid w:val="004F7BB1"/>
    <w:rsid w:val="004F7F3F"/>
    <w:rsid w:val="0050250A"/>
    <w:rsid w:val="005030B1"/>
    <w:rsid w:val="00504BF3"/>
    <w:rsid w:val="0050751B"/>
    <w:rsid w:val="005106AC"/>
    <w:rsid w:val="0051184C"/>
    <w:rsid w:val="00511C73"/>
    <w:rsid w:val="00512C5B"/>
    <w:rsid w:val="00513B7D"/>
    <w:rsid w:val="00514052"/>
    <w:rsid w:val="00520EB9"/>
    <w:rsid w:val="005224F4"/>
    <w:rsid w:val="005244BE"/>
    <w:rsid w:val="0052463F"/>
    <w:rsid w:val="00526A03"/>
    <w:rsid w:val="0052777E"/>
    <w:rsid w:val="005304E1"/>
    <w:rsid w:val="005308E5"/>
    <w:rsid w:val="005311B5"/>
    <w:rsid w:val="00531C15"/>
    <w:rsid w:val="00535413"/>
    <w:rsid w:val="00535F5E"/>
    <w:rsid w:val="00536D0A"/>
    <w:rsid w:val="00540A73"/>
    <w:rsid w:val="00540C76"/>
    <w:rsid w:val="00540E51"/>
    <w:rsid w:val="00541553"/>
    <w:rsid w:val="0054160B"/>
    <w:rsid w:val="00541759"/>
    <w:rsid w:val="005430C1"/>
    <w:rsid w:val="00543155"/>
    <w:rsid w:val="00543C1B"/>
    <w:rsid w:val="00545204"/>
    <w:rsid w:val="0054731A"/>
    <w:rsid w:val="00551426"/>
    <w:rsid w:val="00553E9E"/>
    <w:rsid w:val="0055464F"/>
    <w:rsid w:val="005549E3"/>
    <w:rsid w:val="00556952"/>
    <w:rsid w:val="00556FDB"/>
    <w:rsid w:val="00557296"/>
    <w:rsid w:val="00557738"/>
    <w:rsid w:val="00557A53"/>
    <w:rsid w:val="00560AB1"/>
    <w:rsid w:val="00561A2A"/>
    <w:rsid w:val="00561FBF"/>
    <w:rsid w:val="005659FE"/>
    <w:rsid w:val="00565AAE"/>
    <w:rsid w:val="00566CFC"/>
    <w:rsid w:val="00566DF1"/>
    <w:rsid w:val="00566F20"/>
    <w:rsid w:val="0057047A"/>
    <w:rsid w:val="00570B1A"/>
    <w:rsid w:val="00572633"/>
    <w:rsid w:val="0057376F"/>
    <w:rsid w:val="00574714"/>
    <w:rsid w:val="005753E6"/>
    <w:rsid w:val="00575430"/>
    <w:rsid w:val="005774CD"/>
    <w:rsid w:val="00577F2C"/>
    <w:rsid w:val="00580EA7"/>
    <w:rsid w:val="00581F9E"/>
    <w:rsid w:val="005824AC"/>
    <w:rsid w:val="00582657"/>
    <w:rsid w:val="00584B94"/>
    <w:rsid w:val="00585668"/>
    <w:rsid w:val="00585B2B"/>
    <w:rsid w:val="00586E28"/>
    <w:rsid w:val="00586F42"/>
    <w:rsid w:val="005873F3"/>
    <w:rsid w:val="00587557"/>
    <w:rsid w:val="005902FE"/>
    <w:rsid w:val="00592372"/>
    <w:rsid w:val="0059365B"/>
    <w:rsid w:val="005958AC"/>
    <w:rsid w:val="00595B79"/>
    <w:rsid w:val="00596577"/>
    <w:rsid w:val="00596E64"/>
    <w:rsid w:val="00596F91"/>
    <w:rsid w:val="0059790A"/>
    <w:rsid w:val="005A0406"/>
    <w:rsid w:val="005A0B0D"/>
    <w:rsid w:val="005A0BEC"/>
    <w:rsid w:val="005A0D9F"/>
    <w:rsid w:val="005A3538"/>
    <w:rsid w:val="005A3750"/>
    <w:rsid w:val="005A39C8"/>
    <w:rsid w:val="005A39F9"/>
    <w:rsid w:val="005A3B92"/>
    <w:rsid w:val="005A3E09"/>
    <w:rsid w:val="005A4C51"/>
    <w:rsid w:val="005A53FD"/>
    <w:rsid w:val="005A5696"/>
    <w:rsid w:val="005A5F1A"/>
    <w:rsid w:val="005A6424"/>
    <w:rsid w:val="005A72CD"/>
    <w:rsid w:val="005B0690"/>
    <w:rsid w:val="005B1255"/>
    <w:rsid w:val="005B12DD"/>
    <w:rsid w:val="005B1A67"/>
    <w:rsid w:val="005B1DBF"/>
    <w:rsid w:val="005B1F17"/>
    <w:rsid w:val="005B2DF5"/>
    <w:rsid w:val="005B4782"/>
    <w:rsid w:val="005B5380"/>
    <w:rsid w:val="005B539B"/>
    <w:rsid w:val="005C0D2E"/>
    <w:rsid w:val="005C17EB"/>
    <w:rsid w:val="005C22E0"/>
    <w:rsid w:val="005C26DE"/>
    <w:rsid w:val="005C32DF"/>
    <w:rsid w:val="005C36A4"/>
    <w:rsid w:val="005C39CC"/>
    <w:rsid w:val="005C4CFF"/>
    <w:rsid w:val="005C5410"/>
    <w:rsid w:val="005C6009"/>
    <w:rsid w:val="005C641F"/>
    <w:rsid w:val="005C719C"/>
    <w:rsid w:val="005C7D37"/>
    <w:rsid w:val="005D0C8F"/>
    <w:rsid w:val="005D1A17"/>
    <w:rsid w:val="005D1B62"/>
    <w:rsid w:val="005D27A0"/>
    <w:rsid w:val="005D488A"/>
    <w:rsid w:val="005D4D24"/>
    <w:rsid w:val="005D5580"/>
    <w:rsid w:val="005D5F9B"/>
    <w:rsid w:val="005D65B8"/>
    <w:rsid w:val="005D7136"/>
    <w:rsid w:val="005D731F"/>
    <w:rsid w:val="005D73C3"/>
    <w:rsid w:val="005D7AA6"/>
    <w:rsid w:val="005E0AAE"/>
    <w:rsid w:val="005E110F"/>
    <w:rsid w:val="005E11E0"/>
    <w:rsid w:val="005E13E2"/>
    <w:rsid w:val="005E1FA9"/>
    <w:rsid w:val="005E1FED"/>
    <w:rsid w:val="005E28F7"/>
    <w:rsid w:val="005E2BC6"/>
    <w:rsid w:val="005E4428"/>
    <w:rsid w:val="005E45EB"/>
    <w:rsid w:val="005E5252"/>
    <w:rsid w:val="005E543E"/>
    <w:rsid w:val="005E5ED4"/>
    <w:rsid w:val="005E5ED8"/>
    <w:rsid w:val="005E634C"/>
    <w:rsid w:val="005E6DD7"/>
    <w:rsid w:val="005E71AA"/>
    <w:rsid w:val="005E7A7A"/>
    <w:rsid w:val="005F0510"/>
    <w:rsid w:val="005F32F1"/>
    <w:rsid w:val="005F47A7"/>
    <w:rsid w:val="005F4E7E"/>
    <w:rsid w:val="005F4F86"/>
    <w:rsid w:val="005F57C6"/>
    <w:rsid w:val="005F595A"/>
    <w:rsid w:val="005F6069"/>
    <w:rsid w:val="005F6B0D"/>
    <w:rsid w:val="005F6EB6"/>
    <w:rsid w:val="005F738E"/>
    <w:rsid w:val="005F7549"/>
    <w:rsid w:val="0060035C"/>
    <w:rsid w:val="00600E3D"/>
    <w:rsid w:val="00601049"/>
    <w:rsid w:val="006014B9"/>
    <w:rsid w:val="00601659"/>
    <w:rsid w:val="006026D7"/>
    <w:rsid w:val="0060595A"/>
    <w:rsid w:val="006073C8"/>
    <w:rsid w:val="00607A81"/>
    <w:rsid w:val="00607C05"/>
    <w:rsid w:val="00611CFD"/>
    <w:rsid w:val="00612198"/>
    <w:rsid w:val="00612D6B"/>
    <w:rsid w:val="00612E55"/>
    <w:rsid w:val="006134AD"/>
    <w:rsid w:val="00613B92"/>
    <w:rsid w:val="00614854"/>
    <w:rsid w:val="00614B54"/>
    <w:rsid w:val="00615113"/>
    <w:rsid w:val="0061646C"/>
    <w:rsid w:val="0062194F"/>
    <w:rsid w:val="00622F68"/>
    <w:rsid w:val="00623B28"/>
    <w:rsid w:val="00624710"/>
    <w:rsid w:val="00625689"/>
    <w:rsid w:val="00627138"/>
    <w:rsid w:val="006274D2"/>
    <w:rsid w:val="0062783D"/>
    <w:rsid w:val="00627955"/>
    <w:rsid w:val="00627B30"/>
    <w:rsid w:val="00631C0E"/>
    <w:rsid w:val="00631F36"/>
    <w:rsid w:val="00632E52"/>
    <w:rsid w:val="0063306F"/>
    <w:rsid w:val="006332AF"/>
    <w:rsid w:val="00633F9A"/>
    <w:rsid w:val="00634328"/>
    <w:rsid w:val="00635520"/>
    <w:rsid w:val="00635EDB"/>
    <w:rsid w:val="006370A1"/>
    <w:rsid w:val="006377DD"/>
    <w:rsid w:val="006407B0"/>
    <w:rsid w:val="00641B89"/>
    <w:rsid w:val="00641ECC"/>
    <w:rsid w:val="006440ED"/>
    <w:rsid w:val="006455BC"/>
    <w:rsid w:val="006456D1"/>
    <w:rsid w:val="0064637F"/>
    <w:rsid w:val="00647337"/>
    <w:rsid w:val="0064785E"/>
    <w:rsid w:val="006479C4"/>
    <w:rsid w:val="006517CE"/>
    <w:rsid w:val="006529B5"/>
    <w:rsid w:val="00652BAE"/>
    <w:rsid w:val="00653418"/>
    <w:rsid w:val="00654193"/>
    <w:rsid w:val="00655426"/>
    <w:rsid w:val="0065547D"/>
    <w:rsid w:val="00655A4A"/>
    <w:rsid w:val="00660DF7"/>
    <w:rsid w:val="00660FF3"/>
    <w:rsid w:val="00661078"/>
    <w:rsid w:val="00661098"/>
    <w:rsid w:val="006614FF"/>
    <w:rsid w:val="006632BF"/>
    <w:rsid w:val="00663CCB"/>
    <w:rsid w:val="006646D0"/>
    <w:rsid w:val="006652D2"/>
    <w:rsid w:val="006652F6"/>
    <w:rsid w:val="006657B8"/>
    <w:rsid w:val="00667FBD"/>
    <w:rsid w:val="00670344"/>
    <w:rsid w:val="006703A1"/>
    <w:rsid w:val="00671AD8"/>
    <w:rsid w:val="00672763"/>
    <w:rsid w:val="006732BD"/>
    <w:rsid w:val="006736C9"/>
    <w:rsid w:val="006736E1"/>
    <w:rsid w:val="00673AE6"/>
    <w:rsid w:val="00673F59"/>
    <w:rsid w:val="0067425B"/>
    <w:rsid w:val="00674384"/>
    <w:rsid w:val="00677B36"/>
    <w:rsid w:val="006808D1"/>
    <w:rsid w:val="0068094A"/>
    <w:rsid w:val="00682B25"/>
    <w:rsid w:val="00682C7B"/>
    <w:rsid w:val="00682EF8"/>
    <w:rsid w:val="006833D5"/>
    <w:rsid w:val="006844A8"/>
    <w:rsid w:val="006851DA"/>
    <w:rsid w:val="00687538"/>
    <w:rsid w:val="00690AD7"/>
    <w:rsid w:val="006916B7"/>
    <w:rsid w:val="00691788"/>
    <w:rsid w:val="00691AB6"/>
    <w:rsid w:val="006923AF"/>
    <w:rsid w:val="00692BDB"/>
    <w:rsid w:val="00693893"/>
    <w:rsid w:val="00694213"/>
    <w:rsid w:val="0069499E"/>
    <w:rsid w:val="00694C36"/>
    <w:rsid w:val="006951F9"/>
    <w:rsid w:val="00695358"/>
    <w:rsid w:val="00695B13"/>
    <w:rsid w:val="00697AE4"/>
    <w:rsid w:val="00697C8D"/>
    <w:rsid w:val="00697EA3"/>
    <w:rsid w:val="006A16CF"/>
    <w:rsid w:val="006A1FBC"/>
    <w:rsid w:val="006A2738"/>
    <w:rsid w:val="006A45DF"/>
    <w:rsid w:val="006A472B"/>
    <w:rsid w:val="006A4B60"/>
    <w:rsid w:val="006A5279"/>
    <w:rsid w:val="006A529C"/>
    <w:rsid w:val="006A535A"/>
    <w:rsid w:val="006A60B5"/>
    <w:rsid w:val="006A666F"/>
    <w:rsid w:val="006A7111"/>
    <w:rsid w:val="006A77E0"/>
    <w:rsid w:val="006B0FA0"/>
    <w:rsid w:val="006B1891"/>
    <w:rsid w:val="006B3D9B"/>
    <w:rsid w:val="006B417C"/>
    <w:rsid w:val="006B4B33"/>
    <w:rsid w:val="006B63B3"/>
    <w:rsid w:val="006B67EB"/>
    <w:rsid w:val="006B6F2A"/>
    <w:rsid w:val="006B6F89"/>
    <w:rsid w:val="006B6FE4"/>
    <w:rsid w:val="006B7FB7"/>
    <w:rsid w:val="006C1BB9"/>
    <w:rsid w:val="006C1C4F"/>
    <w:rsid w:val="006C1CB2"/>
    <w:rsid w:val="006C2E08"/>
    <w:rsid w:val="006C5EF6"/>
    <w:rsid w:val="006C65B5"/>
    <w:rsid w:val="006C6882"/>
    <w:rsid w:val="006C6A45"/>
    <w:rsid w:val="006D0DA5"/>
    <w:rsid w:val="006D1412"/>
    <w:rsid w:val="006D158E"/>
    <w:rsid w:val="006D19B5"/>
    <w:rsid w:val="006D31FD"/>
    <w:rsid w:val="006D3B2F"/>
    <w:rsid w:val="006D4817"/>
    <w:rsid w:val="006D512A"/>
    <w:rsid w:val="006D592B"/>
    <w:rsid w:val="006D59A6"/>
    <w:rsid w:val="006D5EE0"/>
    <w:rsid w:val="006D6898"/>
    <w:rsid w:val="006D6EB2"/>
    <w:rsid w:val="006D73F3"/>
    <w:rsid w:val="006E028D"/>
    <w:rsid w:val="006E124C"/>
    <w:rsid w:val="006E2B77"/>
    <w:rsid w:val="006E2C75"/>
    <w:rsid w:val="006E3171"/>
    <w:rsid w:val="006E39BE"/>
    <w:rsid w:val="006E4B6A"/>
    <w:rsid w:val="006E4EC4"/>
    <w:rsid w:val="006E5A19"/>
    <w:rsid w:val="006E6FDF"/>
    <w:rsid w:val="006F0235"/>
    <w:rsid w:val="006F0823"/>
    <w:rsid w:val="006F0DBA"/>
    <w:rsid w:val="006F1536"/>
    <w:rsid w:val="006F23F2"/>
    <w:rsid w:val="006F2948"/>
    <w:rsid w:val="006F2C2E"/>
    <w:rsid w:val="006F334A"/>
    <w:rsid w:val="006F3547"/>
    <w:rsid w:val="006F3A13"/>
    <w:rsid w:val="006F4828"/>
    <w:rsid w:val="006F618E"/>
    <w:rsid w:val="006F61EA"/>
    <w:rsid w:val="006F6599"/>
    <w:rsid w:val="006F66F2"/>
    <w:rsid w:val="006F7F1D"/>
    <w:rsid w:val="00700145"/>
    <w:rsid w:val="00700E7E"/>
    <w:rsid w:val="00701B06"/>
    <w:rsid w:val="00702930"/>
    <w:rsid w:val="00705242"/>
    <w:rsid w:val="007060EA"/>
    <w:rsid w:val="007064A1"/>
    <w:rsid w:val="0070654C"/>
    <w:rsid w:val="00707448"/>
    <w:rsid w:val="0071192A"/>
    <w:rsid w:val="00712B7C"/>
    <w:rsid w:val="00713492"/>
    <w:rsid w:val="00714161"/>
    <w:rsid w:val="0071425F"/>
    <w:rsid w:val="007142BB"/>
    <w:rsid w:val="00714AB9"/>
    <w:rsid w:val="00714E06"/>
    <w:rsid w:val="007164DF"/>
    <w:rsid w:val="0071675A"/>
    <w:rsid w:val="00716D37"/>
    <w:rsid w:val="00716E5A"/>
    <w:rsid w:val="007176AA"/>
    <w:rsid w:val="007200BA"/>
    <w:rsid w:val="0072036E"/>
    <w:rsid w:val="00721147"/>
    <w:rsid w:val="007220E2"/>
    <w:rsid w:val="007222D4"/>
    <w:rsid w:val="00722EA1"/>
    <w:rsid w:val="00723388"/>
    <w:rsid w:val="00724405"/>
    <w:rsid w:val="007245DB"/>
    <w:rsid w:val="00725850"/>
    <w:rsid w:val="007258B9"/>
    <w:rsid w:val="0072694C"/>
    <w:rsid w:val="00726A4B"/>
    <w:rsid w:val="00726DCA"/>
    <w:rsid w:val="00730897"/>
    <w:rsid w:val="00730CDF"/>
    <w:rsid w:val="00731B99"/>
    <w:rsid w:val="0073369B"/>
    <w:rsid w:val="00735856"/>
    <w:rsid w:val="0073673C"/>
    <w:rsid w:val="00736E56"/>
    <w:rsid w:val="007372CA"/>
    <w:rsid w:val="00737A4B"/>
    <w:rsid w:val="00741C2B"/>
    <w:rsid w:val="00741C6D"/>
    <w:rsid w:val="00742943"/>
    <w:rsid w:val="00745A1E"/>
    <w:rsid w:val="007472C6"/>
    <w:rsid w:val="00747CD9"/>
    <w:rsid w:val="007503F3"/>
    <w:rsid w:val="00752871"/>
    <w:rsid w:val="00752A3E"/>
    <w:rsid w:val="00753852"/>
    <w:rsid w:val="00755D9E"/>
    <w:rsid w:val="00756369"/>
    <w:rsid w:val="00757164"/>
    <w:rsid w:val="00757964"/>
    <w:rsid w:val="007579D8"/>
    <w:rsid w:val="00760FEF"/>
    <w:rsid w:val="007615A8"/>
    <w:rsid w:val="0076252F"/>
    <w:rsid w:val="007638E3"/>
    <w:rsid w:val="00763C26"/>
    <w:rsid w:val="00763EC2"/>
    <w:rsid w:val="00764DF3"/>
    <w:rsid w:val="00765009"/>
    <w:rsid w:val="007655D2"/>
    <w:rsid w:val="007658B9"/>
    <w:rsid w:val="00767974"/>
    <w:rsid w:val="007733D9"/>
    <w:rsid w:val="00773E0C"/>
    <w:rsid w:val="00775489"/>
    <w:rsid w:val="00775BFE"/>
    <w:rsid w:val="007770C9"/>
    <w:rsid w:val="00777E3F"/>
    <w:rsid w:val="00780024"/>
    <w:rsid w:val="00780CCD"/>
    <w:rsid w:val="00780D82"/>
    <w:rsid w:val="00780F16"/>
    <w:rsid w:val="007823DB"/>
    <w:rsid w:val="007838E4"/>
    <w:rsid w:val="007839E4"/>
    <w:rsid w:val="00783D71"/>
    <w:rsid w:val="007846D2"/>
    <w:rsid w:val="00785076"/>
    <w:rsid w:val="0078534E"/>
    <w:rsid w:val="00787139"/>
    <w:rsid w:val="0078744C"/>
    <w:rsid w:val="00791CB2"/>
    <w:rsid w:val="00791D9A"/>
    <w:rsid w:val="007923D6"/>
    <w:rsid w:val="00792D65"/>
    <w:rsid w:val="00793ACC"/>
    <w:rsid w:val="00793E39"/>
    <w:rsid w:val="00794CEC"/>
    <w:rsid w:val="007956AB"/>
    <w:rsid w:val="00795E34"/>
    <w:rsid w:val="00796A51"/>
    <w:rsid w:val="00796F0C"/>
    <w:rsid w:val="007978FA"/>
    <w:rsid w:val="007A0624"/>
    <w:rsid w:val="007A0A31"/>
    <w:rsid w:val="007A0C7F"/>
    <w:rsid w:val="007A2A58"/>
    <w:rsid w:val="007A2BFA"/>
    <w:rsid w:val="007A30A0"/>
    <w:rsid w:val="007A3B65"/>
    <w:rsid w:val="007A3C96"/>
    <w:rsid w:val="007A3DBB"/>
    <w:rsid w:val="007A6892"/>
    <w:rsid w:val="007A7414"/>
    <w:rsid w:val="007A7461"/>
    <w:rsid w:val="007B0646"/>
    <w:rsid w:val="007B116B"/>
    <w:rsid w:val="007B1F9D"/>
    <w:rsid w:val="007B23A4"/>
    <w:rsid w:val="007B33FD"/>
    <w:rsid w:val="007B35B8"/>
    <w:rsid w:val="007B390A"/>
    <w:rsid w:val="007B3B9D"/>
    <w:rsid w:val="007B3DCD"/>
    <w:rsid w:val="007B4260"/>
    <w:rsid w:val="007B4755"/>
    <w:rsid w:val="007B4E97"/>
    <w:rsid w:val="007B53D3"/>
    <w:rsid w:val="007B738A"/>
    <w:rsid w:val="007B7575"/>
    <w:rsid w:val="007C0710"/>
    <w:rsid w:val="007C1967"/>
    <w:rsid w:val="007C1F63"/>
    <w:rsid w:val="007C1F87"/>
    <w:rsid w:val="007C3A82"/>
    <w:rsid w:val="007C40B3"/>
    <w:rsid w:val="007C4965"/>
    <w:rsid w:val="007C5F8E"/>
    <w:rsid w:val="007C6BAC"/>
    <w:rsid w:val="007C77AE"/>
    <w:rsid w:val="007C7FD2"/>
    <w:rsid w:val="007D116B"/>
    <w:rsid w:val="007D1392"/>
    <w:rsid w:val="007D30D1"/>
    <w:rsid w:val="007D3753"/>
    <w:rsid w:val="007D39BD"/>
    <w:rsid w:val="007D3AFA"/>
    <w:rsid w:val="007D47C9"/>
    <w:rsid w:val="007D4853"/>
    <w:rsid w:val="007D5126"/>
    <w:rsid w:val="007D60EC"/>
    <w:rsid w:val="007D643D"/>
    <w:rsid w:val="007D70F0"/>
    <w:rsid w:val="007D7CFB"/>
    <w:rsid w:val="007E00F4"/>
    <w:rsid w:val="007E06CF"/>
    <w:rsid w:val="007E2E2A"/>
    <w:rsid w:val="007E31D2"/>
    <w:rsid w:val="007E3302"/>
    <w:rsid w:val="007E3F09"/>
    <w:rsid w:val="007E43E5"/>
    <w:rsid w:val="007E460C"/>
    <w:rsid w:val="007E460F"/>
    <w:rsid w:val="007E6FFC"/>
    <w:rsid w:val="007E7EF8"/>
    <w:rsid w:val="007F028E"/>
    <w:rsid w:val="007F0F3E"/>
    <w:rsid w:val="007F2DB3"/>
    <w:rsid w:val="007F320F"/>
    <w:rsid w:val="007F3A44"/>
    <w:rsid w:val="007F444C"/>
    <w:rsid w:val="007F5079"/>
    <w:rsid w:val="007F6049"/>
    <w:rsid w:val="007F7092"/>
    <w:rsid w:val="007F72D3"/>
    <w:rsid w:val="007F7E91"/>
    <w:rsid w:val="00801336"/>
    <w:rsid w:val="00801A59"/>
    <w:rsid w:val="00801BFB"/>
    <w:rsid w:val="00801DEF"/>
    <w:rsid w:val="00803C56"/>
    <w:rsid w:val="00804DB1"/>
    <w:rsid w:val="008060D6"/>
    <w:rsid w:val="00806A4A"/>
    <w:rsid w:val="0080755E"/>
    <w:rsid w:val="00807E30"/>
    <w:rsid w:val="00810D6D"/>
    <w:rsid w:val="00811288"/>
    <w:rsid w:val="0081380C"/>
    <w:rsid w:val="00815707"/>
    <w:rsid w:val="0081695D"/>
    <w:rsid w:val="008176B1"/>
    <w:rsid w:val="008201E9"/>
    <w:rsid w:val="008202BC"/>
    <w:rsid w:val="00820A3F"/>
    <w:rsid w:val="00820BD7"/>
    <w:rsid w:val="008216E7"/>
    <w:rsid w:val="008233D8"/>
    <w:rsid w:val="00823629"/>
    <w:rsid w:val="00823735"/>
    <w:rsid w:val="00823C0A"/>
    <w:rsid w:val="0082536B"/>
    <w:rsid w:val="00825435"/>
    <w:rsid w:val="00826DBA"/>
    <w:rsid w:val="008273AB"/>
    <w:rsid w:val="00830797"/>
    <w:rsid w:val="00832FFD"/>
    <w:rsid w:val="00833832"/>
    <w:rsid w:val="008339FF"/>
    <w:rsid w:val="0083414A"/>
    <w:rsid w:val="00834CAB"/>
    <w:rsid w:val="008364E4"/>
    <w:rsid w:val="008376E4"/>
    <w:rsid w:val="00837966"/>
    <w:rsid w:val="00837D9D"/>
    <w:rsid w:val="0084078A"/>
    <w:rsid w:val="008415EE"/>
    <w:rsid w:val="0084272E"/>
    <w:rsid w:val="00844E4C"/>
    <w:rsid w:val="00846B2D"/>
    <w:rsid w:val="00850A14"/>
    <w:rsid w:val="00851F67"/>
    <w:rsid w:val="0085395A"/>
    <w:rsid w:val="008612E5"/>
    <w:rsid w:val="008617C0"/>
    <w:rsid w:val="00861EC0"/>
    <w:rsid w:val="008627B2"/>
    <w:rsid w:val="0086294F"/>
    <w:rsid w:val="00863204"/>
    <w:rsid w:val="008648DF"/>
    <w:rsid w:val="00865334"/>
    <w:rsid w:val="0086555F"/>
    <w:rsid w:val="00865CC2"/>
    <w:rsid w:val="00867098"/>
    <w:rsid w:val="00867B63"/>
    <w:rsid w:val="008704C6"/>
    <w:rsid w:val="008705D1"/>
    <w:rsid w:val="008708CD"/>
    <w:rsid w:val="008714C0"/>
    <w:rsid w:val="008716CA"/>
    <w:rsid w:val="00872BDE"/>
    <w:rsid w:val="00874108"/>
    <w:rsid w:val="00877204"/>
    <w:rsid w:val="00877478"/>
    <w:rsid w:val="00877C6C"/>
    <w:rsid w:val="008803A0"/>
    <w:rsid w:val="008809ED"/>
    <w:rsid w:val="00880DDE"/>
    <w:rsid w:val="0088121F"/>
    <w:rsid w:val="00881F15"/>
    <w:rsid w:val="00882321"/>
    <w:rsid w:val="00883591"/>
    <w:rsid w:val="008837AA"/>
    <w:rsid w:val="00885668"/>
    <w:rsid w:val="008856A9"/>
    <w:rsid w:val="00885C36"/>
    <w:rsid w:val="008861DD"/>
    <w:rsid w:val="00886E86"/>
    <w:rsid w:val="008905F5"/>
    <w:rsid w:val="008907D7"/>
    <w:rsid w:val="008912C0"/>
    <w:rsid w:val="00891CC0"/>
    <w:rsid w:val="008922D0"/>
    <w:rsid w:val="0089246C"/>
    <w:rsid w:val="008940C9"/>
    <w:rsid w:val="0089479D"/>
    <w:rsid w:val="00894F90"/>
    <w:rsid w:val="0089676F"/>
    <w:rsid w:val="008A10B1"/>
    <w:rsid w:val="008A1EEA"/>
    <w:rsid w:val="008A2BF8"/>
    <w:rsid w:val="008A32EC"/>
    <w:rsid w:val="008A3851"/>
    <w:rsid w:val="008A4DAB"/>
    <w:rsid w:val="008A6BC3"/>
    <w:rsid w:val="008A6ED3"/>
    <w:rsid w:val="008B0851"/>
    <w:rsid w:val="008B18A5"/>
    <w:rsid w:val="008B3C19"/>
    <w:rsid w:val="008B467F"/>
    <w:rsid w:val="008B4794"/>
    <w:rsid w:val="008B4C50"/>
    <w:rsid w:val="008B4F0F"/>
    <w:rsid w:val="008B5C63"/>
    <w:rsid w:val="008B6BB9"/>
    <w:rsid w:val="008B70CF"/>
    <w:rsid w:val="008B7AFC"/>
    <w:rsid w:val="008C09ED"/>
    <w:rsid w:val="008C261A"/>
    <w:rsid w:val="008C2911"/>
    <w:rsid w:val="008C2936"/>
    <w:rsid w:val="008C3C56"/>
    <w:rsid w:val="008C4ABE"/>
    <w:rsid w:val="008C5155"/>
    <w:rsid w:val="008C5F9C"/>
    <w:rsid w:val="008C7102"/>
    <w:rsid w:val="008C71D7"/>
    <w:rsid w:val="008C7BA3"/>
    <w:rsid w:val="008C7D37"/>
    <w:rsid w:val="008D0B28"/>
    <w:rsid w:val="008D1798"/>
    <w:rsid w:val="008D2305"/>
    <w:rsid w:val="008D293A"/>
    <w:rsid w:val="008D31A7"/>
    <w:rsid w:val="008D3BD5"/>
    <w:rsid w:val="008D50BE"/>
    <w:rsid w:val="008D5793"/>
    <w:rsid w:val="008D5C3C"/>
    <w:rsid w:val="008D6813"/>
    <w:rsid w:val="008D6829"/>
    <w:rsid w:val="008D7123"/>
    <w:rsid w:val="008D7174"/>
    <w:rsid w:val="008D7447"/>
    <w:rsid w:val="008D78EC"/>
    <w:rsid w:val="008E0238"/>
    <w:rsid w:val="008E039B"/>
    <w:rsid w:val="008E091B"/>
    <w:rsid w:val="008E19BE"/>
    <w:rsid w:val="008E1B3C"/>
    <w:rsid w:val="008E2504"/>
    <w:rsid w:val="008E377A"/>
    <w:rsid w:val="008E4142"/>
    <w:rsid w:val="008E561B"/>
    <w:rsid w:val="008E5CAC"/>
    <w:rsid w:val="008E6D4A"/>
    <w:rsid w:val="008E7CA5"/>
    <w:rsid w:val="008F03CC"/>
    <w:rsid w:val="008F290F"/>
    <w:rsid w:val="008F2E71"/>
    <w:rsid w:val="008F2FDB"/>
    <w:rsid w:val="008F44B1"/>
    <w:rsid w:val="008F4C8A"/>
    <w:rsid w:val="008F5B56"/>
    <w:rsid w:val="008F6042"/>
    <w:rsid w:val="008F77DB"/>
    <w:rsid w:val="009004FA"/>
    <w:rsid w:val="00902406"/>
    <w:rsid w:val="0090251B"/>
    <w:rsid w:val="009025F5"/>
    <w:rsid w:val="00902F1E"/>
    <w:rsid w:val="00903883"/>
    <w:rsid w:val="009043F9"/>
    <w:rsid w:val="00905276"/>
    <w:rsid w:val="00906813"/>
    <w:rsid w:val="00906B87"/>
    <w:rsid w:val="00907516"/>
    <w:rsid w:val="00907CDC"/>
    <w:rsid w:val="009109C6"/>
    <w:rsid w:val="00911046"/>
    <w:rsid w:val="00911DAF"/>
    <w:rsid w:val="009125C7"/>
    <w:rsid w:val="00912721"/>
    <w:rsid w:val="00912B94"/>
    <w:rsid w:val="00925268"/>
    <w:rsid w:val="00927A1E"/>
    <w:rsid w:val="00930581"/>
    <w:rsid w:val="00931B82"/>
    <w:rsid w:val="00932352"/>
    <w:rsid w:val="0093449C"/>
    <w:rsid w:val="00935EC3"/>
    <w:rsid w:val="0093754C"/>
    <w:rsid w:val="00937D30"/>
    <w:rsid w:val="00937F81"/>
    <w:rsid w:val="0094152B"/>
    <w:rsid w:val="00942AB1"/>
    <w:rsid w:val="00945837"/>
    <w:rsid w:val="00945D22"/>
    <w:rsid w:val="009466BE"/>
    <w:rsid w:val="00950198"/>
    <w:rsid w:val="00950209"/>
    <w:rsid w:val="009512F8"/>
    <w:rsid w:val="009521DE"/>
    <w:rsid w:val="0095272D"/>
    <w:rsid w:val="00953EA1"/>
    <w:rsid w:val="009540A6"/>
    <w:rsid w:val="009544D1"/>
    <w:rsid w:val="0095536A"/>
    <w:rsid w:val="00955BD0"/>
    <w:rsid w:val="00956821"/>
    <w:rsid w:val="00957333"/>
    <w:rsid w:val="0095779E"/>
    <w:rsid w:val="00957F10"/>
    <w:rsid w:val="0096080D"/>
    <w:rsid w:val="00961944"/>
    <w:rsid w:val="009623AA"/>
    <w:rsid w:val="00962457"/>
    <w:rsid w:val="00962565"/>
    <w:rsid w:val="00962EFD"/>
    <w:rsid w:val="00963876"/>
    <w:rsid w:val="00963E7B"/>
    <w:rsid w:val="0096422D"/>
    <w:rsid w:val="0096477A"/>
    <w:rsid w:val="00964ECF"/>
    <w:rsid w:val="009658F6"/>
    <w:rsid w:val="00966F79"/>
    <w:rsid w:val="009674CF"/>
    <w:rsid w:val="00972550"/>
    <w:rsid w:val="00972FDA"/>
    <w:rsid w:val="00973EFA"/>
    <w:rsid w:val="0097452F"/>
    <w:rsid w:val="00974555"/>
    <w:rsid w:val="00974F43"/>
    <w:rsid w:val="00975108"/>
    <w:rsid w:val="00975666"/>
    <w:rsid w:val="00976678"/>
    <w:rsid w:val="00977114"/>
    <w:rsid w:val="009774FF"/>
    <w:rsid w:val="00977C82"/>
    <w:rsid w:val="0098131B"/>
    <w:rsid w:val="00981E99"/>
    <w:rsid w:val="0098338F"/>
    <w:rsid w:val="00983565"/>
    <w:rsid w:val="0098365D"/>
    <w:rsid w:val="00983B8B"/>
    <w:rsid w:val="00986526"/>
    <w:rsid w:val="00990114"/>
    <w:rsid w:val="009902EF"/>
    <w:rsid w:val="009911EA"/>
    <w:rsid w:val="00994826"/>
    <w:rsid w:val="00995EF1"/>
    <w:rsid w:val="009960F8"/>
    <w:rsid w:val="009A0788"/>
    <w:rsid w:val="009A0F11"/>
    <w:rsid w:val="009A0F6E"/>
    <w:rsid w:val="009A22BF"/>
    <w:rsid w:val="009A33E9"/>
    <w:rsid w:val="009A4AD8"/>
    <w:rsid w:val="009A4EED"/>
    <w:rsid w:val="009A5A24"/>
    <w:rsid w:val="009A65D3"/>
    <w:rsid w:val="009A72FF"/>
    <w:rsid w:val="009A7927"/>
    <w:rsid w:val="009B0824"/>
    <w:rsid w:val="009B16A6"/>
    <w:rsid w:val="009B188B"/>
    <w:rsid w:val="009B2479"/>
    <w:rsid w:val="009B343C"/>
    <w:rsid w:val="009B44BF"/>
    <w:rsid w:val="009B5A09"/>
    <w:rsid w:val="009B5FFE"/>
    <w:rsid w:val="009B6528"/>
    <w:rsid w:val="009B78E3"/>
    <w:rsid w:val="009B7B21"/>
    <w:rsid w:val="009C0171"/>
    <w:rsid w:val="009C225A"/>
    <w:rsid w:val="009C2516"/>
    <w:rsid w:val="009C26B5"/>
    <w:rsid w:val="009C33E6"/>
    <w:rsid w:val="009C4B9A"/>
    <w:rsid w:val="009C5B84"/>
    <w:rsid w:val="009C6915"/>
    <w:rsid w:val="009C694E"/>
    <w:rsid w:val="009C70BE"/>
    <w:rsid w:val="009C7DFE"/>
    <w:rsid w:val="009C7F60"/>
    <w:rsid w:val="009D04F3"/>
    <w:rsid w:val="009D1394"/>
    <w:rsid w:val="009D1E40"/>
    <w:rsid w:val="009D2460"/>
    <w:rsid w:val="009D543C"/>
    <w:rsid w:val="009D5CE9"/>
    <w:rsid w:val="009D615B"/>
    <w:rsid w:val="009D6380"/>
    <w:rsid w:val="009D6FCD"/>
    <w:rsid w:val="009D7CF8"/>
    <w:rsid w:val="009E0B2F"/>
    <w:rsid w:val="009E176C"/>
    <w:rsid w:val="009E21EA"/>
    <w:rsid w:val="009E2327"/>
    <w:rsid w:val="009E276C"/>
    <w:rsid w:val="009E432B"/>
    <w:rsid w:val="009E63E5"/>
    <w:rsid w:val="009E6612"/>
    <w:rsid w:val="009E7393"/>
    <w:rsid w:val="009E7F3A"/>
    <w:rsid w:val="009F0022"/>
    <w:rsid w:val="009F1858"/>
    <w:rsid w:val="009F1927"/>
    <w:rsid w:val="009F1997"/>
    <w:rsid w:val="009F1EAE"/>
    <w:rsid w:val="009F212D"/>
    <w:rsid w:val="009F280E"/>
    <w:rsid w:val="009F2C77"/>
    <w:rsid w:val="009F31CC"/>
    <w:rsid w:val="009F4B38"/>
    <w:rsid w:val="009F5683"/>
    <w:rsid w:val="009F593A"/>
    <w:rsid w:val="009F787B"/>
    <w:rsid w:val="009F7DBF"/>
    <w:rsid w:val="00A00D8F"/>
    <w:rsid w:val="00A011AE"/>
    <w:rsid w:val="00A01A78"/>
    <w:rsid w:val="00A01C22"/>
    <w:rsid w:val="00A022AA"/>
    <w:rsid w:val="00A03CA6"/>
    <w:rsid w:val="00A06591"/>
    <w:rsid w:val="00A069A0"/>
    <w:rsid w:val="00A10A28"/>
    <w:rsid w:val="00A117A7"/>
    <w:rsid w:val="00A124D2"/>
    <w:rsid w:val="00A20B13"/>
    <w:rsid w:val="00A2130D"/>
    <w:rsid w:val="00A21612"/>
    <w:rsid w:val="00A21A11"/>
    <w:rsid w:val="00A21A21"/>
    <w:rsid w:val="00A21FCA"/>
    <w:rsid w:val="00A233CD"/>
    <w:rsid w:val="00A234CA"/>
    <w:rsid w:val="00A23D52"/>
    <w:rsid w:val="00A30DC0"/>
    <w:rsid w:val="00A319C8"/>
    <w:rsid w:val="00A3378E"/>
    <w:rsid w:val="00A337E9"/>
    <w:rsid w:val="00A33F52"/>
    <w:rsid w:val="00A357FF"/>
    <w:rsid w:val="00A37FC9"/>
    <w:rsid w:val="00A404AF"/>
    <w:rsid w:val="00A410A9"/>
    <w:rsid w:val="00A419F0"/>
    <w:rsid w:val="00A41B78"/>
    <w:rsid w:val="00A42A5C"/>
    <w:rsid w:val="00A42EFE"/>
    <w:rsid w:val="00A44631"/>
    <w:rsid w:val="00A4490A"/>
    <w:rsid w:val="00A458DA"/>
    <w:rsid w:val="00A459F1"/>
    <w:rsid w:val="00A467CA"/>
    <w:rsid w:val="00A470FA"/>
    <w:rsid w:val="00A475B2"/>
    <w:rsid w:val="00A47D7D"/>
    <w:rsid w:val="00A517F7"/>
    <w:rsid w:val="00A534E7"/>
    <w:rsid w:val="00A53BBC"/>
    <w:rsid w:val="00A540FE"/>
    <w:rsid w:val="00A554A2"/>
    <w:rsid w:val="00A55996"/>
    <w:rsid w:val="00A55B52"/>
    <w:rsid w:val="00A55E77"/>
    <w:rsid w:val="00A574CC"/>
    <w:rsid w:val="00A5799C"/>
    <w:rsid w:val="00A61B15"/>
    <w:rsid w:val="00A6453B"/>
    <w:rsid w:val="00A659CC"/>
    <w:rsid w:val="00A6677B"/>
    <w:rsid w:val="00A66A8C"/>
    <w:rsid w:val="00A675C7"/>
    <w:rsid w:val="00A70F71"/>
    <w:rsid w:val="00A715C6"/>
    <w:rsid w:val="00A71AC9"/>
    <w:rsid w:val="00A74376"/>
    <w:rsid w:val="00A746D1"/>
    <w:rsid w:val="00A74724"/>
    <w:rsid w:val="00A74AC6"/>
    <w:rsid w:val="00A76091"/>
    <w:rsid w:val="00A76381"/>
    <w:rsid w:val="00A766C8"/>
    <w:rsid w:val="00A777C0"/>
    <w:rsid w:val="00A77E3A"/>
    <w:rsid w:val="00A818EF"/>
    <w:rsid w:val="00A82319"/>
    <w:rsid w:val="00A82B93"/>
    <w:rsid w:val="00A82D42"/>
    <w:rsid w:val="00A82F4C"/>
    <w:rsid w:val="00A83EEA"/>
    <w:rsid w:val="00A84A67"/>
    <w:rsid w:val="00A85B2B"/>
    <w:rsid w:val="00A87141"/>
    <w:rsid w:val="00A87BFE"/>
    <w:rsid w:val="00A904F2"/>
    <w:rsid w:val="00A90AD8"/>
    <w:rsid w:val="00A91561"/>
    <w:rsid w:val="00A91D53"/>
    <w:rsid w:val="00A93F12"/>
    <w:rsid w:val="00A9444B"/>
    <w:rsid w:val="00A95AF2"/>
    <w:rsid w:val="00A965DE"/>
    <w:rsid w:val="00A969BB"/>
    <w:rsid w:val="00A96F4A"/>
    <w:rsid w:val="00A97580"/>
    <w:rsid w:val="00A9799E"/>
    <w:rsid w:val="00A97C8B"/>
    <w:rsid w:val="00AA084F"/>
    <w:rsid w:val="00AA1A78"/>
    <w:rsid w:val="00AA1D96"/>
    <w:rsid w:val="00AA2F3D"/>
    <w:rsid w:val="00AA477D"/>
    <w:rsid w:val="00AA5110"/>
    <w:rsid w:val="00AA5DC6"/>
    <w:rsid w:val="00AA7693"/>
    <w:rsid w:val="00AB05CA"/>
    <w:rsid w:val="00AB126F"/>
    <w:rsid w:val="00AB29EF"/>
    <w:rsid w:val="00AB2DFF"/>
    <w:rsid w:val="00AB471E"/>
    <w:rsid w:val="00AB5719"/>
    <w:rsid w:val="00AB5FDE"/>
    <w:rsid w:val="00AB6374"/>
    <w:rsid w:val="00AB7D60"/>
    <w:rsid w:val="00AC0269"/>
    <w:rsid w:val="00AC03D1"/>
    <w:rsid w:val="00AC20FE"/>
    <w:rsid w:val="00AC211F"/>
    <w:rsid w:val="00AC2152"/>
    <w:rsid w:val="00AC2369"/>
    <w:rsid w:val="00AC295A"/>
    <w:rsid w:val="00AC39B4"/>
    <w:rsid w:val="00AC489B"/>
    <w:rsid w:val="00AC527C"/>
    <w:rsid w:val="00AC56BA"/>
    <w:rsid w:val="00AC578E"/>
    <w:rsid w:val="00AC604E"/>
    <w:rsid w:val="00AC65F9"/>
    <w:rsid w:val="00AC6ACE"/>
    <w:rsid w:val="00AC7703"/>
    <w:rsid w:val="00AC7D83"/>
    <w:rsid w:val="00AD0961"/>
    <w:rsid w:val="00AD0988"/>
    <w:rsid w:val="00AD0B06"/>
    <w:rsid w:val="00AD0E40"/>
    <w:rsid w:val="00AD0F44"/>
    <w:rsid w:val="00AD1B79"/>
    <w:rsid w:val="00AD3A0B"/>
    <w:rsid w:val="00AD4A9E"/>
    <w:rsid w:val="00AD5A56"/>
    <w:rsid w:val="00AD621C"/>
    <w:rsid w:val="00AD6E04"/>
    <w:rsid w:val="00AE01D2"/>
    <w:rsid w:val="00AE1765"/>
    <w:rsid w:val="00AE5BB4"/>
    <w:rsid w:val="00AE6177"/>
    <w:rsid w:val="00AE7EAB"/>
    <w:rsid w:val="00AF2292"/>
    <w:rsid w:val="00AF24C1"/>
    <w:rsid w:val="00AF2987"/>
    <w:rsid w:val="00AF2AC5"/>
    <w:rsid w:val="00AF3701"/>
    <w:rsid w:val="00AF40B3"/>
    <w:rsid w:val="00AF65D5"/>
    <w:rsid w:val="00AF72E5"/>
    <w:rsid w:val="00AF7A0A"/>
    <w:rsid w:val="00B00485"/>
    <w:rsid w:val="00B00A24"/>
    <w:rsid w:val="00B0143A"/>
    <w:rsid w:val="00B01F4B"/>
    <w:rsid w:val="00B05163"/>
    <w:rsid w:val="00B055C9"/>
    <w:rsid w:val="00B05F5B"/>
    <w:rsid w:val="00B10113"/>
    <w:rsid w:val="00B1166F"/>
    <w:rsid w:val="00B12057"/>
    <w:rsid w:val="00B123E0"/>
    <w:rsid w:val="00B12AC5"/>
    <w:rsid w:val="00B13175"/>
    <w:rsid w:val="00B166CC"/>
    <w:rsid w:val="00B17D05"/>
    <w:rsid w:val="00B20152"/>
    <w:rsid w:val="00B21813"/>
    <w:rsid w:val="00B23D55"/>
    <w:rsid w:val="00B242D9"/>
    <w:rsid w:val="00B24B94"/>
    <w:rsid w:val="00B25B94"/>
    <w:rsid w:val="00B275E5"/>
    <w:rsid w:val="00B276B8"/>
    <w:rsid w:val="00B3047C"/>
    <w:rsid w:val="00B30D05"/>
    <w:rsid w:val="00B31C3E"/>
    <w:rsid w:val="00B31D52"/>
    <w:rsid w:val="00B321E3"/>
    <w:rsid w:val="00B32E5F"/>
    <w:rsid w:val="00B33939"/>
    <w:rsid w:val="00B33B56"/>
    <w:rsid w:val="00B3525B"/>
    <w:rsid w:val="00B36BC3"/>
    <w:rsid w:val="00B37460"/>
    <w:rsid w:val="00B40C63"/>
    <w:rsid w:val="00B40F91"/>
    <w:rsid w:val="00B42CA8"/>
    <w:rsid w:val="00B434D4"/>
    <w:rsid w:val="00B46AF2"/>
    <w:rsid w:val="00B4734D"/>
    <w:rsid w:val="00B507D9"/>
    <w:rsid w:val="00B50ADE"/>
    <w:rsid w:val="00B512C6"/>
    <w:rsid w:val="00B515D7"/>
    <w:rsid w:val="00B53546"/>
    <w:rsid w:val="00B5389F"/>
    <w:rsid w:val="00B544F7"/>
    <w:rsid w:val="00B54D09"/>
    <w:rsid w:val="00B54D79"/>
    <w:rsid w:val="00B55423"/>
    <w:rsid w:val="00B55F5E"/>
    <w:rsid w:val="00B560E1"/>
    <w:rsid w:val="00B56469"/>
    <w:rsid w:val="00B56795"/>
    <w:rsid w:val="00B57362"/>
    <w:rsid w:val="00B61C8B"/>
    <w:rsid w:val="00B6243E"/>
    <w:rsid w:val="00B624A2"/>
    <w:rsid w:val="00B62EC3"/>
    <w:rsid w:val="00B63529"/>
    <w:rsid w:val="00B63662"/>
    <w:rsid w:val="00B64BCA"/>
    <w:rsid w:val="00B65095"/>
    <w:rsid w:val="00B65798"/>
    <w:rsid w:val="00B6686D"/>
    <w:rsid w:val="00B7005B"/>
    <w:rsid w:val="00B7058A"/>
    <w:rsid w:val="00B73130"/>
    <w:rsid w:val="00B752B6"/>
    <w:rsid w:val="00B757AB"/>
    <w:rsid w:val="00B75F21"/>
    <w:rsid w:val="00B76CA4"/>
    <w:rsid w:val="00B7748B"/>
    <w:rsid w:val="00B7759D"/>
    <w:rsid w:val="00B77C27"/>
    <w:rsid w:val="00B825B4"/>
    <w:rsid w:val="00B82D61"/>
    <w:rsid w:val="00B82E23"/>
    <w:rsid w:val="00B83CAE"/>
    <w:rsid w:val="00B8477E"/>
    <w:rsid w:val="00B84C2D"/>
    <w:rsid w:val="00B851E9"/>
    <w:rsid w:val="00B85351"/>
    <w:rsid w:val="00B855A3"/>
    <w:rsid w:val="00B85652"/>
    <w:rsid w:val="00B8685C"/>
    <w:rsid w:val="00B86D88"/>
    <w:rsid w:val="00B877F1"/>
    <w:rsid w:val="00B903A5"/>
    <w:rsid w:val="00B910A2"/>
    <w:rsid w:val="00B928A1"/>
    <w:rsid w:val="00B93241"/>
    <w:rsid w:val="00B93912"/>
    <w:rsid w:val="00B94771"/>
    <w:rsid w:val="00B95469"/>
    <w:rsid w:val="00B96F85"/>
    <w:rsid w:val="00B975A7"/>
    <w:rsid w:val="00BA3549"/>
    <w:rsid w:val="00BA3E16"/>
    <w:rsid w:val="00BA5D10"/>
    <w:rsid w:val="00BA755F"/>
    <w:rsid w:val="00BA79D0"/>
    <w:rsid w:val="00BA7F6D"/>
    <w:rsid w:val="00BB1307"/>
    <w:rsid w:val="00BB175A"/>
    <w:rsid w:val="00BB1DD4"/>
    <w:rsid w:val="00BB2393"/>
    <w:rsid w:val="00BB3A0B"/>
    <w:rsid w:val="00BB4F64"/>
    <w:rsid w:val="00BB502A"/>
    <w:rsid w:val="00BB5060"/>
    <w:rsid w:val="00BB5159"/>
    <w:rsid w:val="00BB5451"/>
    <w:rsid w:val="00BB5E2D"/>
    <w:rsid w:val="00BB614C"/>
    <w:rsid w:val="00BB67F4"/>
    <w:rsid w:val="00BC1E2D"/>
    <w:rsid w:val="00BC3E5A"/>
    <w:rsid w:val="00BC3EF0"/>
    <w:rsid w:val="00BC60E6"/>
    <w:rsid w:val="00BC66BB"/>
    <w:rsid w:val="00BC72E3"/>
    <w:rsid w:val="00BC7CA5"/>
    <w:rsid w:val="00BD04EF"/>
    <w:rsid w:val="00BD0564"/>
    <w:rsid w:val="00BD1028"/>
    <w:rsid w:val="00BD1937"/>
    <w:rsid w:val="00BD27C6"/>
    <w:rsid w:val="00BD29FB"/>
    <w:rsid w:val="00BD32FD"/>
    <w:rsid w:val="00BD41A7"/>
    <w:rsid w:val="00BD5222"/>
    <w:rsid w:val="00BD57C2"/>
    <w:rsid w:val="00BD5870"/>
    <w:rsid w:val="00BD5E15"/>
    <w:rsid w:val="00BD7326"/>
    <w:rsid w:val="00BD7F53"/>
    <w:rsid w:val="00BE144D"/>
    <w:rsid w:val="00BE16C2"/>
    <w:rsid w:val="00BE227F"/>
    <w:rsid w:val="00BE26D0"/>
    <w:rsid w:val="00BE2BF3"/>
    <w:rsid w:val="00BE2E5B"/>
    <w:rsid w:val="00BE380F"/>
    <w:rsid w:val="00BE387C"/>
    <w:rsid w:val="00BE3B32"/>
    <w:rsid w:val="00BE4511"/>
    <w:rsid w:val="00BE5D61"/>
    <w:rsid w:val="00BE6AF7"/>
    <w:rsid w:val="00BF0B46"/>
    <w:rsid w:val="00BF0DE0"/>
    <w:rsid w:val="00BF204E"/>
    <w:rsid w:val="00BF33B0"/>
    <w:rsid w:val="00BF3629"/>
    <w:rsid w:val="00BF64A7"/>
    <w:rsid w:val="00C00480"/>
    <w:rsid w:val="00C0063E"/>
    <w:rsid w:val="00C01616"/>
    <w:rsid w:val="00C02C2F"/>
    <w:rsid w:val="00C03580"/>
    <w:rsid w:val="00C03D77"/>
    <w:rsid w:val="00C03EE5"/>
    <w:rsid w:val="00C03FAD"/>
    <w:rsid w:val="00C05903"/>
    <w:rsid w:val="00C06AE0"/>
    <w:rsid w:val="00C06F8F"/>
    <w:rsid w:val="00C10180"/>
    <w:rsid w:val="00C10359"/>
    <w:rsid w:val="00C11CD5"/>
    <w:rsid w:val="00C13009"/>
    <w:rsid w:val="00C13D94"/>
    <w:rsid w:val="00C13F9E"/>
    <w:rsid w:val="00C146CC"/>
    <w:rsid w:val="00C14EE1"/>
    <w:rsid w:val="00C1525D"/>
    <w:rsid w:val="00C153BD"/>
    <w:rsid w:val="00C163A8"/>
    <w:rsid w:val="00C16509"/>
    <w:rsid w:val="00C169B0"/>
    <w:rsid w:val="00C16BB3"/>
    <w:rsid w:val="00C1799B"/>
    <w:rsid w:val="00C17D5B"/>
    <w:rsid w:val="00C20C13"/>
    <w:rsid w:val="00C2164F"/>
    <w:rsid w:val="00C21B76"/>
    <w:rsid w:val="00C225AB"/>
    <w:rsid w:val="00C229F7"/>
    <w:rsid w:val="00C23291"/>
    <w:rsid w:val="00C2349C"/>
    <w:rsid w:val="00C23B18"/>
    <w:rsid w:val="00C24FC2"/>
    <w:rsid w:val="00C25581"/>
    <w:rsid w:val="00C25C2A"/>
    <w:rsid w:val="00C26CC7"/>
    <w:rsid w:val="00C2745B"/>
    <w:rsid w:val="00C321D6"/>
    <w:rsid w:val="00C340EC"/>
    <w:rsid w:val="00C36DF7"/>
    <w:rsid w:val="00C37239"/>
    <w:rsid w:val="00C40389"/>
    <w:rsid w:val="00C41937"/>
    <w:rsid w:val="00C41D19"/>
    <w:rsid w:val="00C42193"/>
    <w:rsid w:val="00C43741"/>
    <w:rsid w:val="00C4377E"/>
    <w:rsid w:val="00C439D9"/>
    <w:rsid w:val="00C448F8"/>
    <w:rsid w:val="00C45F06"/>
    <w:rsid w:val="00C461B1"/>
    <w:rsid w:val="00C46D28"/>
    <w:rsid w:val="00C5003D"/>
    <w:rsid w:val="00C505DA"/>
    <w:rsid w:val="00C5079D"/>
    <w:rsid w:val="00C5100D"/>
    <w:rsid w:val="00C53801"/>
    <w:rsid w:val="00C53949"/>
    <w:rsid w:val="00C561A8"/>
    <w:rsid w:val="00C56EAB"/>
    <w:rsid w:val="00C57045"/>
    <w:rsid w:val="00C571FE"/>
    <w:rsid w:val="00C57216"/>
    <w:rsid w:val="00C5735C"/>
    <w:rsid w:val="00C60C68"/>
    <w:rsid w:val="00C621D0"/>
    <w:rsid w:val="00C6227F"/>
    <w:rsid w:val="00C6386A"/>
    <w:rsid w:val="00C639E3"/>
    <w:rsid w:val="00C63A1A"/>
    <w:rsid w:val="00C65032"/>
    <w:rsid w:val="00C65DCB"/>
    <w:rsid w:val="00C66889"/>
    <w:rsid w:val="00C70256"/>
    <w:rsid w:val="00C71138"/>
    <w:rsid w:val="00C724F9"/>
    <w:rsid w:val="00C72AE4"/>
    <w:rsid w:val="00C75CC6"/>
    <w:rsid w:val="00C771C4"/>
    <w:rsid w:val="00C80A87"/>
    <w:rsid w:val="00C83FB8"/>
    <w:rsid w:val="00C84418"/>
    <w:rsid w:val="00C84BE7"/>
    <w:rsid w:val="00C8687A"/>
    <w:rsid w:val="00C86F0B"/>
    <w:rsid w:val="00C87144"/>
    <w:rsid w:val="00C87DA2"/>
    <w:rsid w:val="00C87DD2"/>
    <w:rsid w:val="00C902DC"/>
    <w:rsid w:val="00C90ED6"/>
    <w:rsid w:val="00C92B1E"/>
    <w:rsid w:val="00C92DC7"/>
    <w:rsid w:val="00C9431E"/>
    <w:rsid w:val="00C9638A"/>
    <w:rsid w:val="00C964A0"/>
    <w:rsid w:val="00C96584"/>
    <w:rsid w:val="00C96897"/>
    <w:rsid w:val="00C9714F"/>
    <w:rsid w:val="00C97388"/>
    <w:rsid w:val="00CA14F4"/>
    <w:rsid w:val="00CA16BB"/>
    <w:rsid w:val="00CA1C34"/>
    <w:rsid w:val="00CA23BA"/>
    <w:rsid w:val="00CA3344"/>
    <w:rsid w:val="00CA4E93"/>
    <w:rsid w:val="00CA4FF9"/>
    <w:rsid w:val="00CA67B5"/>
    <w:rsid w:val="00CA6A8D"/>
    <w:rsid w:val="00CA6AFB"/>
    <w:rsid w:val="00CB1182"/>
    <w:rsid w:val="00CB247D"/>
    <w:rsid w:val="00CB24A5"/>
    <w:rsid w:val="00CB25DB"/>
    <w:rsid w:val="00CB3D15"/>
    <w:rsid w:val="00CB3E5F"/>
    <w:rsid w:val="00CB3EB8"/>
    <w:rsid w:val="00CB4E15"/>
    <w:rsid w:val="00CB564A"/>
    <w:rsid w:val="00CB6CF6"/>
    <w:rsid w:val="00CB6D1E"/>
    <w:rsid w:val="00CB7109"/>
    <w:rsid w:val="00CB798D"/>
    <w:rsid w:val="00CC0A71"/>
    <w:rsid w:val="00CC0AED"/>
    <w:rsid w:val="00CC1BB7"/>
    <w:rsid w:val="00CD0574"/>
    <w:rsid w:val="00CD0907"/>
    <w:rsid w:val="00CD0AE5"/>
    <w:rsid w:val="00CD10A2"/>
    <w:rsid w:val="00CD1C9B"/>
    <w:rsid w:val="00CD3160"/>
    <w:rsid w:val="00CD39E4"/>
    <w:rsid w:val="00CD5135"/>
    <w:rsid w:val="00CD69C5"/>
    <w:rsid w:val="00CD78CA"/>
    <w:rsid w:val="00CD7B36"/>
    <w:rsid w:val="00CE0B8A"/>
    <w:rsid w:val="00CE13F3"/>
    <w:rsid w:val="00CE27C5"/>
    <w:rsid w:val="00CE39AD"/>
    <w:rsid w:val="00CE4189"/>
    <w:rsid w:val="00CE6244"/>
    <w:rsid w:val="00CE77C3"/>
    <w:rsid w:val="00CE798F"/>
    <w:rsid w:val="00CF0383"/>
    <w:rsid w:val="00CF0699"/>
    <w:rsid w:val="00CF20F5"/>
    <w:rsid w:val="00CF2DE0"/>
    <w:rsid w:val="00D00709"/>
    <w:rsid w:val="00D01DB7"/>
    <w:rsid w:val="00D029F8"/>
    <w:rsid w:val="00D0302C"/>
    <w:rsid w:val="00D0389F"/>
    <w:rsid w:val="00D04764"/>
    <w:rsid w:val="00D05D6B"/>
    <w:rsid w:val="00D06586"/>
    <w:rsid w:val="00D06BF7"/>
    <w:rsid w:val="00D07273"/>
    <w:rsid w:val="00D075AC"/>
    <w:rsid w:val="00D1009D"/>
    <w:rsid w:val="00D10526"/>
    <w:rsid w:val="00D1198A"/>
    <w:rsid w:val="00D11EEC"/>
    <w:rsid w:val="00D12296"/>
    <w:rsid w:val="00D12497"/>
    <w:rsid w:val="00D13B74"/>
    <w:rsid w:val="00D149C4"/>
    <w:rsid w:val="00D165F9"/>
    <w:rsid w:val="00D2061C"/>
    <w:rsid w:val="00D20B07"/>
    <w:rsid w:val="00D21AA0"/>
    <w:rsid w:val="00D21D86"/>
    <w:rsid w:val="00D2270F"/>
    <w:rsid w:val="00D22827"/>
    <w:rsid w:val="00D2314F"/>
    <w:rsid w:val="00D273FA"/>
    <w:rsid w:val="00D30131"/>
    <w:rsid w:val="00D306D6"/>
    <w:rsid w:val="00D34535"/>
    <w:rsid w:val="00D35481"/>
    <w:rsid w:val="00D4006B"/>
    <w:rsid w:val="00D40D2A"/>
    <w:rsid w:val="00D40DC7"/>
    <w:rsid w:val="00D40E9A"/>
    <w:rsid w:val="00D4130B"/>
    <w:rsid w:val="00D4144A"/>
    <w:rsid w:val="00D416BE"/>
    <w:rsid w:val="00D434EE"/>
    <w:rsid w:val="00D44488"/>
    <w:rsid w:val="00D44868"/>
    <w:rsid w:val="00D450A2"/>
    <w:rsid w:val="00D4545A"/>
    <w:rsid w:val="00D45D61"/>
    <w:rsid w:val="00D46975"/>
    <w:rsid w:val="00D46C58"/>
    <w:rsid w:val="00D46C73"/>
    <w:rsid w:val="00D52A14"/>
    <w:rsid w:val="00D554D4"/>
    <w:rsid w:val="00D55D40"/>
    <w:rsid w:val="00D5763D"/>
    <w:rsid w:val="00D57B55"/>
    <w:rsid w:val="00D60630"/>
    <w:rsid w:val="00D60FE2"/>
    <w:rsid w:val="00D61071"/>
    <w:rsid w:val="00D612A3"/>
    <w:rsid w:val="00D62A1C"/>
    <w:rsid w:val="00D62CED"/>
    <w:rsid w:val="00D6397C"/>
    <w:rsid w:val="00D64468"/>
    <w:rsid w:val="00D65437"/>
    <w:rsid w:val="00D657A1"/>
    <w:rsid w:val="00D72644"/>
    <w:rsid w:val="00D756C5"/>
    <w:rsid w:val="00D80A24"/>
    <w:rsid w:val="00D82A9B"/>
    <w:rsid w:val="00D82B79"/>
    <w:rsid w:val="00D83C94"/>
    <w:rsid w:val="00D85360"/>
    <w:rsid w:val="00D86B4B"/>
    <w:rsid w:val="00D86D50"/>
    <w:rsid w:val="00D90C3E"/>
    <w:rsid w:val="00D91AF5"/>
    <w:rsid w:val="00D92DD8"/>
    <w:rsid w:val="00D94119"/>
    <w:rsid w:val="00D94CE7"/>
    <w:rsid w:val="00D95462"/>
    <w:rsid w:val="00D95743"/>
    <w:rsid w:val="00D97017"/>
    <w:rsid w:val="00D97E59"/>
    <w:rsid w:val="00DA08DB"/>
    <w:rsid w:val="00DA0C2B"/>
    <w:rsid w:val="00DA15AF"/>
    <w:rsid w:val="00DA1A14"/>
    <w:rsid w:val="00DA2603"/>
    <w:rsid w:val="00DA3068"/>
    <w:rsid w:val="00DA3BD9"/>
    <w:rsid w:val="00DA412A"/>
    <w:rsid w:val="00DA577B"/>
    <w:rsid w:val="00DA61E4"/>
    <w:rsid w:val="00DA69D2"/>
    <w:rsid w:val="00DA6C35"/>
    <w:rsid w:val="00DA7AC3"/>
    <w:rsid w:val="00DA7F0B"/>
    <w:rsid w:val="00DB0848"/>
    <w:rsid w:val="00DB4F67"/>
    <w:rsid w:val="00DB5517"/>
    <w:rsid w:val="00DB57B4"/>
    <w:rsid w:val="00DB5A2D"/>
    <w:rsid w:val="00DB66F0"/>
    <w:rsid w:val="00DB76C6"/>
    <w:rsid w:val="00DB79AC"/>
    <w:rsid w:val="00DB7AE7"/>
    <w:rsid w:val="00DB7C2D"/>
    <w:rsid w:val="00DC2993"/>
    <w:rsid w:val="00DC3053"/>
    <w:rsid w:val="00DC3076"/>
    <w:rsid w:val="00DC3E0C"/>
    <w:rsid w:val="00DC3E58"/>
    <w:rsid w:val="00DC3FF9"/>
    <w:rsid w:val="00DC4804"/>
    <w:rsid w:val="00DC4DFF"/>
    <w:rsid w:val="00DC649D"/>
    <w:rsid w:val="00DC7A1A"/>
    <w:rsid w:val="00DD0DE0"/>
    <w:rsid w:val="00DD19A7"/>
    <w:rsid w:val="00DD3635"/>
    <w:rsid w:val="00DD44A1"/>
    <w:rsid w:val="00DD4D70"/>
    <w:rsid w:val="00DD502A"/>
    <w:rsid w:val="00DD53C4"/>
    <w:rsid w:val="00DD71AE"/>
    <w:rsid w:val="00DD7C2A"/>
    <w:rsid w:val="00DE1556"/>
    <w:rsid w:val="00DE194C"/>
    <w:rsid w:val="00DE2AEA"/>
    <w:rsid w:val="00DE38D5"/>
    <w:rsid w:val="00DE418D"/>
    <w:rsid w:val="00DE460B"/>
    <w:rsid w:val="00DE49FC"/>
    <w:rsid w:val="00DE4DDE"/>
    <w:rsid w:val="00DE4E80"/>
    <w:rsid w:val="00DE6AAC"/>
    <w:rsid w:val="00DE7401"/>
    <w:rsid w:val="00DF1F83"/>
    <w:rsid w:val="00DF2F37"/>
    <w:rsid w:val="00DF31D8"/>
    <w:rsid w:val="00DF4518"/>
    <w:rsid w:val="00DF59B7"/>
    <w:rsid w:val="00E00953"/>
    <w:rsid w:val="00E0096E"/>
    <w:rsid w:val="00E06175"/>
    <w:rsid w:val="00E0640C"/>
    <w:rsid w:val="00E1004D"/>
    <w:rsid w:val="00E108CD"/>
    <w:rsid w:val="00E1195A"/>
    <w:rsid w:val="00E12098"/>
    <w:rsid w:val="00E1426C"/>
    <w:rsid w:val="00E14D3E"/>
    <w:rsid w:val="00E16058"/>
    <w:rsid w:val="00E163CD"/>
    <w:rsid w:val="00E17D6A"/>
    <w:rsid w:val="00E2033F"/>
    <w:rsid w:val="00E20A7D"/>
    <w:rsid w:val="00E20C53"/>
    <w:rsid w:val="00E21750"/>
    <w:rsid w:val="00E2198A"/>
    <w:rsid w:val="00E224EF"/>
    <w:rsid w:val="00E2280E"/>
    <w:rsid w:val="00E234B3"/>
    <w:rsid w:val="00E234FF"/>
    <w:rsid w:val="00E24820"/>
    <w:rsid w:val="00E24D65"/>
    <w:rsid w:val="00E269FE"/>
    <w:rsid w:val="00E30B4E"/>
    <w:rsid w:val="00E318B9"/>
    <w:rsid w:val="00E3296F"/>
    <w:rsid w:val="00E35E85"/>
    <w:rsid w:val="00E365E2"/>
    <w:rsid w:val="00E37C31"/>
    <w:rsid w:val="00E40613"/>
    <w:rsid w:val="00E407BD"/>
    <w:rsid w:val="00E41476"/>
    <w:rsid w:val="00E416E6"/>
    <w:rsid w:val="00E41FAE"/>
    <w:rsid w:val="00E423E4"/>
    <w:rsid w:val="00E425FA"/>
    <w:rsid w:val="00E4268B"/>
    <w:rsid w:val="00E4440E"/>
    <w:rsid w:val="00E4671F"/>
    <w:rsid w:val="00E5009E"/>
    <w:rsid w:val="00E50467"/>
    <w:rsid w:val="00E50BDA"/>
    <w:rsid w:val="00E53960"/>
    <w:rsid w:val="00E539A5"/>
    <w:rsid w:val="00E53B49"/>
    <w:rsid w:val="00E54EF7"/>
    <w:rsid w:val="00E56547"/>
    <w:rsid w:val="00E56D44"/>
    <w:rsid w:val="00E572C9"/>
    <w:rsid w:val="00E601FE"/>
    <w:rsid w:val="00E60A9F"/>
    <w:rsid w:val="00E60E16"/>
    <w:rsid w:val="00E60E34"/>
    <w:rsid w:val="00E6127D"/>
    <w:rsid w:val="00E63C31"/>
    <w:rsid w:val="00E64012"/>
    <w:rsid w:val="00E6470D"/>
    <w:rsid w:val="00E65319"/>
    <w:rsid w:val="00E67AE1"/>
    <w:rsid w:val="00E67D24"/>
    <w:rsid w:val="00E70CE5"/>
    <w:rsid w:val="00E71BDE"/>
    <w:rsid w:val="00E72E8D"/>
    <w:rsid w:val="00E748DD"/>
    <w:rsid w:val="00E75F5D"/>
    <w:rsid w:val="00E769A1"/>
    <w:rsid w:val="00E76AEB"/>
    <w:rsid w:val="00E777B0"/>
    <w:rsid w:val="00E818FC"/>
    <w:rsid w:val="00E84B59"/>
    <w:rsid w:val="00E85C05"/>
    <w:rsid w:val="00E85C8B"/>
    <w:rsid w:val="00E86784"/>
    <w:rsid w:val="00E86BBB"/>
    <w:rsid w:val="00E87293"/>
    <w:rsid w:val="00E873A3"/>
    <w:rsid w:val="00E90252"/>
    <w:rsid w:val="00E92005"/>
    <w:rsid w:val="00E92EB4"/>
    <w:rsid w:val="00E934BE"/>
    <w:rsid w:val="00E934F3"/>
    <w:rsid w:val="00E9543D"/>
    <w:rsid w:val="00E9686F"/>
    <w:rsid w:val="00E971E7"/>
    <w:rsid w:val="00E973EB"/>
    <w:rsid w:val="00E9764D"/>
    <w:rsid w:val="00E97A66"/>
    <w:rsid w:val="00E97FE1"/>
    <w:rsid w:val="00EA0186"/>
    <w:rsid w:val="00EA02C5"/>
    <w:rsid w:val="00EA13FF"/>
    <w:rsid w:val="00EA44B9"/>
    <w:rsid w:val="00EA494A"/>
    <w:rsid w:val="00EA6670"/>
    <w:rsid w:val="00EA6DBB"/>
    <w:rsid w:val="00EA75DE"/>
    <w:rsid w:val="00EA7630"/>
    <w:rsid w:val="00EB3007"/>
    <w:rsid w:val="00EB3418"/>
    <w:rsid w:val="00EB41AF"/>
    <w:rsid w:val="00EB43F3"/>
    <w:rsid w:val="00EB5362"/>
    <w:rsid w:val="00EB5A21"/>
    <w:rsid w:val="00EB651C"/>
    <w:rsid w:val="00EB68CD"/>
    <w:rsid w:val="00EB6B3A"/>
    <w:rsid w:val="00EB72DD"/>
    <w:rsid w:val="00EC250E"/>
    <w:rsid w:val="00EC39B6"/>
    <w:rsid w:val="00EC3A90"/>
    <w:rsid w:val="00EC4C13"/>
    <w:rsid w:val="00EC69C5"/>
    <w:rsid w:val="00EC796D"/>
    <w:rsid w:val="00ED02BA"/>
    <w:rsid w:val="00ED0E58"/>
    <w:rsid w:val="00ED1379"/>
    <w:rsid w:val="00ED1E5B"/>
    <w:rsid w:val="00ED237D"/>
    <w:rsid w:val="00ED2467"/>
    <w:rsid w:val="00ED2BEC"/>
    <w:rsid w:val="00ED2D1D"/>
    <w:rsid w:val="00ED3506"/>
    <w:rsid w:val="00ED5CBF"/>
    <w:rsid w:val="00ED6224"/>
    <w:rsid w:val="00ED63C6"/>
    <w:rsid w:val="00ED7BF6"/>
    <w:rsid w:val="00ED7FE6"/>
    <w:rsid w:val="00EE1146"/>
    <w:rsid w:val="00EE15E1"/>
    <w:rsid w:val="00EE162C"/>
    <w:rsid w:val="00EE1948"/>
    <w:rsid w:val="00EE1BBD"/>
    <w:rsid w:val="00EE1D91"/>
    <w:rsid w:val="00EE248B"/>
    <w:rsid w:val="00EE3D6E"/>
    <w:rsid w:val="00EE598D"/>
    <w:rsid w:val="00EE627D"/>
    <w:rsid w:val="00EE661D"/>
    <w:rsid w:val="00EF057E"/>
    <w:rsid w:val="00EF0649"/>
    <w:rsid w:val="00EF0CE7"/>
    <w:rsid w:val="00EF2510"/>
    <w:rsid w:val="00EF3E27"/>
    <w:rsid w:val="00EF41E3"/>
    <w:rsid w:val="00EF476C"/>
    <w:rsid w:val="00EF4CF5"/>
    <w:rsid w:val="00EF4E42"/>
    <w:rsid w:val="00EF55C2"/>
    <w:rsid w:val="00EF56AF"/>
    <w:rsid w:val="00EF59F7"/>
    <w:rsid w:val="00EF691C"/>
    <w:rsid w:val="00EF6FD0"/>
    <w:rsid w:val="00EF74A3"/>
    <w:rsid w:val="00EF7910"/>
    <w:rsid w:val="00F002C9"/>
    <w:rsid w:val="00F00317"/>
    <w:rsid w:val="00F006B6"/>
    <w:rsid w:val="00F009BB"/>
    <w:rsid w:val="00F02579"/>
    <w:rsid w:val="00F03269"/>
    <w:rsid w:val="00F042EB"/>
    <w:rsid w:val="00F04FFB"/>
    <w:rsid w:val="00F0631F"/>
    <w:rsid w:val="00F06E70"/>
    <w:rsid w:val="00F06ED0"/>
    <w:rsid w:val="00F072FF"/>
    <w:rsid w:val="00F10051"/>
    <w:rsid w:val="00F1143B"/>
    <w:rsid w:val="00F13B0F"/>
    <w:rsid w:val="00F148BB"/>
    <w:rsid w:val="00F15120"/>
    <w:rsid w:val="00F1660B"/>
    <w:rsid w:val="00F172A4"/>
    <w:rsid w:val="00F17A23"/>
    <w:rsid w:val="00F21B05"/>
    <w:rsid w:val="00F21E9E"/>
    <w:rsid w:val="00F2268B"/>
    <w:rsid w:val="00F23067"/>
    <w:rsid w:val="00F23BF5"/>
    <w:rsid w:val="00F23D01"/>
    <w:rsid w:val="00F244D6"/>
    <w:rsid w:val="00F24666"/>
    <w:rsid w:val="00F2474F"/>
    <w:rsid w:val="00F263CC"/>
    <w:rsid w:val="00F2686C"/>
    <w:rsid w:val="00F26F29"/>
    <w:rsid w:val="00F3086B"/>
    <w:rsid w:val="00F314E4"/>
    <w:rsid w:val="00F315EB"/>
    <w:rsid w:val="00F318C7"/>
    <w:rsid w:val="00F31921"/>
    <w:rsid w:val="00F31C2D"/>
    <w:rsid w:val="00F32008"/>
    <w:rsid w:val="00F33F20"/>
    <w:rsid w:val="00F340B2"/>
    <w:rsid w:val="00F3418D"/>
    <w:rsid w:val="00F34383"/>
    <w:rsid w:val="00F35995"/>
    <w:rsid w:val="00F35D22"/>
    <w:rsid w:val="00F35F1F"/>
    <w:rsid w:val="00F3711F"/>
    <w:rsid w:val="00F40533"/>
    <w:rsid w:val="00F424E0"/>
    <w:rsid w:val="00F433F1"/>
    <w:rsid w:val="00F44FAE"/>
    <w:rsid w:val="00F451B6"/>
    <w:rsid w:val="00F4655B"/>
    <w:rsid w:val="00F4686F"/>
    <w:rsid w:val="00F46D14"/>
    <w:rsid w:val="00F46E18"/>
    <w:rsid w:val="00F47644"/>
    <w:rsid w:val="00F479FB"/>
    <w:rsid w:val="00F506BA"/>
    <w:rsid w:val="00F510EB"/>
    <w:rsid w:val="00F530D5"/>
    <w:rsid w:val="00F53C70"/>
    <w:rsid w:val="00F548B1"/>
    <w:rsid w:val="00F549E4"/>
    <w:rsid w:val="00F5541D"/>
    <w:rsid w:val="00F55A1E"/>
    <w:rsid w:val="00F567A7"/>
    <w:rsid w:val="00F56ACC"/>
    <w:rsid w:val="00F6361C"/>
    <w:rsid w:val="00F63FC2"/>
    <w:rsid w:val="00F640C2"/>
    <w:rsid w:val="00F64581"/>
    <w:rsid w:val="00F66853"/>
    <w:rsid w:val="00F703F8"/>
    <w:rsid w:val="00F705A5"/>
    <w:rsid w:val="00F71502"/>
    <w:rsid w:val="00F7183F"/>
    <w:rsid w:val="00F71C81"/>
    <w:rsid w:val="00F723AC"/>
    <w:rsid w:val="00F72768"/>
    <w:rsid w:val="00F77612"/>
    <w:rsid w:val="00F8018D"/>
    <w:rsid w:val="00F80303"/>
    <w:rsid w:val="00F80D85"/>
    <w:rsid w:val="00F823F3"/>
    <w:rsid w:val="00F82875"/>
    <w:rsid w:val="00F8360D"/>
    <w:rsid w:val="00F84E35"/>
    <w:rsid w:val="00F84F77"/>
    <w:rsid w:val="00F87537"/>
    <w:rsid w:val="00F87927"/>
    <w:rsid w:val="00F911B3"/>
    <w:rsid w:val="00F915B2"/>
    <w:rsid w:val="00F934A0"/>
    <w:rsid w:val="00F93520"/>
    <w:rsid w:val="00F93ED0"/>
    <w:rsid w:val="00F94385"/>
    <w:rsid w:val="00F9486C"/>
    <w:rsid w:val="00F957FF"/>
    <w:rsid w:val="00F95EEB"/>
    <w:rsid w:val="00F96E07"/>
    <w:rsid w:val="00F970CD"/>
    <w:rsid w:val="00F972C3"/>
    <w:rsid w:val="00F973EC"/>
    <w:rsid w:val="00FA1091"/>
    <w:rsid w:val="00FA2CB5"/>
    <w:rsid w:val="00FA2E27"/>
    <w:rsid w:val="00FA3B3D"/>
    <w:rsid w:val="00FA4C31"/>
    <w:rsid w:val="00FA565C"/>
    <w:rsid w:val="00FA5CCC"/>
    <w:rsid w:val="00FA5E64"/>
    <w:rsid w:val="00FA5ED6"/>
    <w:rsid w:val="00FA664A"/>
    <w:rsid w:val="00FA7039"/>
    <w:rsid w:val="00FA7A34"/>
    <w:rsid w:val="00FB001B"/>
    <w:rsid w:val="00FB00A3"/>
    <w:rsid w:val="00FB0603"/>
    <w:rsid w:val="00FB153E"/>
    <w:rsid w:val="00FB6262"/>
    <w:rsid w:val="00FB6D9D"/>
    <w:rsid w:val="00FB7FED"/>
    <w:rsid w:val="00FC01FF"/>
    <w:rsid w:val="00FC164F"/>
    <w:rsid w:val="00FC206F"/>
    <w:rsid w:val="00FC2F8D"/>
    <w:rsid w:val="00FC5833"/>
    <w:rsid w:val="00FC5948"/>
    <w:rsid w:val="00FC66A9"/>
    <w:rsid w:val="00FD0CE2"/>
    <w:rsid w:val="00FD31B2"/>
    <w:rsid w:val="00FD32EA"/>
    <w:rsid w:val="00FD3404"/>
    <w:rsid w:val="00FD3F7A"/>
    <w:rsid w:val="00FD5749"/>
    <w:rsid w:val="00FD6F57"/>
    <w:rsid w:val="00FD763E"/>
    <w:rsid w:val="00FE048B"/>
    <w:rsid w:val="00FE06F0"/>
    <w:rsid w:val="00FE10AC"/>
    <w:rsid w:val="00FE1AA0"/>
    <w:rsid w:val="00FE1C88"/>
    <w:rsid w:val="00FE275A"/>
    <w:rsid w:val="00FE2930"/>
    <w:rsid w:val="00FE2AE3"/>
    <w:rsid w:val="00FE33E9"/>
    <w:rsid w:val="00FE4EE9"/>
    <w:rsid w:val="00FE5163"/>
    <w:rsid w:val="00FE56DE"/>
    <w:rsid w:val="00FE696A"/>
    <w:rsid w:val="00FE6A40"/>
    <w:rsid w:val="00FE7C2E"/>
    <w:rsid w:val="00FE7F36"/>
    <w:rsid w:val="00FF3A17"/>
    <w:rsid w:val="00FF4B59"/>
    <w:rsid w:val="00FF4D7D"/>
    <w:rsid w:val="00FF785C"/>
    <w:rsid w:val="01791CD3"/>
    <w:rsid w:val="01C502E0"/>
    <w:rsid w:val="0205793E"/>
    <w:rsid w:val="023764B2"/>
    <w:rsid w:val="02533F80"/>
    <w:rsid w:val="03944676"/>
    <w:rsid w:val="03D114CB"/>
    <w:rsid w:val="03F21BCC"/>
    <w:rsid w:val="0433251E"/>
    <w:rsid w:val="047B0B3A"/>
    <w:rsid w:val="04EB0EE2"/>
    <w:rsid w:val="063C29C9"/>
    <w:rsid w:val="06832477"/>
    <w:rsid w:val="06856661"/>
    <w:rsid w:val="073B62FE"/>
    <w:rsid w:val="078966FD"/>
    <w:rsid w:val="07BD4336"/>
    <w:rsid w:val="08A01674"/>
    <w:rsid w:val="0920039A"/>
    <w:rsid w:val="095E54F2"/>
    <w:rsid w:val="09FF1157"/>
    <w:rsid w:val="0A015D01"/>
    <w:rsid w:val="0A4C255E"/>
    <w:rsid w:val="0A4F1CC6"/>
    <w:rsid w:val="0A7F56D8"/>
    <w:rsid w:val="0A854839"/>
    <w:rsid w:val="0ACA0AE6"/>
    <w:rsid w:val="0AD94570"/>
    <w:rsid w:val="0AEB48B5"/>
    <w:rsid w:val="0BAE1B1C"/>
    <w:rsid w:val="0C0E7A39"/>
    <w:rsid w:val="0D1F336B"/>
    <w:rsid w:val="0DD6300D"/>
    <w:rsid w:val="0DDB4FA9"/>
    <w:rsid w:val="0DE03378"/>
    <w:rsid w:val="0E2B2918"/>
    <w:rsid w:val="0E7D4BEE"/>
    <w:rsid w:val="0E9A33AE"/>
    <w:rsid w:val="0EE408D5"/>
    <w:rsid w:val="0EF71738"/>
    <w:rsid w:val="0F655FB1"/>
    <w:rsid w:val="0FCD31DE"/>
    <w:rsid w:val="100C2663"/>
    <w:rsid w:val="100D7D1E"/>
    <w:rsid w:val="107F782F"/>
    <w:rsid w:val="11094D4C"/>
    <w:rsid w:val="111C3487"/>
    <w:rsid w:val="117B3ACB"/>
    <w:rsid w:val="11803E11"/>
    <w:rsid w:val="11B147AE"/>
    <w:rsid w:val="11F052D6"/>
    <w:rsid w:val="122A59BD"/>
    <w:rsid w:val="12761244"/>
    <w:rsid w:val="12A76E20"/>
    <w:rsid w:val="12B20277"/>
    <w:rsid w:val="147C4B0B"/>
    <w:rsid w:val="14BE5F44"/>
    <w:rsid w:val="15194B44"/>
    <w:rsid w:val="1546345F"/>
    <w:rsid w:val="15891CCA"/>
    <w:rsid w:val="15C55D50"/>
    <w:rsid w:val="15CC6A3A"/>
    <w:rsid w:val="15E907B0"/>
    <w:rsid w:val="15FD3A42"/>
    <w:rsid w:val="163F73D8"/>
    <w:rsid w:val="16C9AC94"/>
    <w:rsid w:val="17373E4C"/>
    <w:rsid w:val="17EEF9BF"/>
    <w:rsid w:val="18CD0120"/>
    <w:rsid w:val="19010B5E"/>
    <w:rsid w:val="193B6702"/>
    <w:rsid w:val="199865BF"/>
    <w:rsid w:val="1A321375"/>
    <w:rsid w:val="1AE6371B"/>
    <w:rsid w:val="1AEE8575"/>
    <w:rsid w:val="1B125BAC"/>
    <w:rsid w:val="1B150798"/>
    <w:rsid w:val="1B287E1F"/>
    <w:rsid w:val="1BDF427D"/>
    <w:rsid w:val="1C11583C"/>
    <w:rsid w:val="1C212338"/>
    <w:rsid w:val="1C634634"/>
    <w:rsid w:val="1C803DCB"/>
    <w:rsid w:val="1CA064D4"/>
    <w:rsid w:val="1CB60B01"/>
    <w:rsid w:val="1D0F0676"/>
    <w:rsid w:val="1D68505D"/>
    <w:rsid w:val="1DDF7107"/>
    <w:rsid w:val="1DF613D9"/>
    <w:rsid w:val="1E0D352E"/>
    <w:rsid w:val="1E1835F3"/>
    <w:rsid w:val="1E8E66B7"/>
    <w:rsid w:val="1EB5526B"/>
    <w:rsid w:val="1EF354FD"/>
    <w:rsid w:val="1F2703FC"/>
    <w:rsid w:val="1FB902AF"/>
    <w:rsid w:val="1FDB18A8"/>
    <w:rsid w:val="1FDF7FCD"/>
    <w:rsid w:val="1FF35677"/>
    <w:rsid w:val="207A470F"/>
    <w:rsid w:val="210B463E"/>
    <w:rsid w:val="21104AD5"/>
    <w:rsid w:val="212E710B"/>
    <w:rsid w:val="217106AC"/>
    <w:rsid w:val="21943D46"/>
    <w:rsid w:val="21D043CE"/>
    <w:rsid w:val="21F5556B"/>
    <w:rsid w:val="2288155B"/>
    <w:rsid w:val="22F94293"/>
    <w:rsid w:val="246B6A3F"/>
    <w:rsid w:val="255B6AC9"/>
    <w:rsid w:val="25DC07E7"/>
    <w:rsid w:val="267D6303"/>
    <w:rsid w:val="267E36E0"/>
    <w:rsid w:val="277D4073"/>
    <w:rsid w:val="27824BF7"/>
    <w:rsid w:val="278D7DFF"/>
    <w:rsid w:val="27A75FE0"/>
    <w:rsid w:val="27F7B3D6"/>
    <w:rsid w:val="28685886"/>
    <w:rsid w:val="289C1037"/>
    <w:rsid w:val="28B05A59"/>
    <w:rsid w:val="28B97D6A"/>
    <w:rsid w:val="28F10DEC"/>
    <w:rsid w:val="29572F1C"/>
    <w:rsid w:val="29D12225"/>
    <w:rsid w:val="2A3D0E7D"/>
    <w:rsid w:val="2A675B61"/>
    <w:rsid w:val="2A9F4381"/>
    <w:rsid w:val="2AD35F6A"/>
    <w:rsid w:val="2B337D29"/>
    <w:rsid w:val="2B746879"/>
    <w:rsid w:val="2BC4E4FA"/>
    <w:rsid w:val="2BDFA08F"/>
    <w:rsid w:val="2BE17618"/>
    <w:rsid w:val="2C7C3FCF"/>
    <w:rsid w:val="2C8972E8"/>
    <w:rsid w:val="2D126703"/>
    <w:rsid w:val="2D653220"/>
    <w:rsid w:val="2D7E4089"/>
    <w:rsid w:val="2D7F3696"/>
    <w:rsid w:val="2D9178FC"/>
    <w:rsid w:val="2E0C4867"/>
    <w:rsid w:val="2E460B24"/>
    <w:rsid w:val="2EAEC9F1"/>
    <w:rsid w:val="2F1321AD"/>
    <w:rsid w:val="2F257996"/>
    <w:rsid w:val="2F5F1AD0"/>
    <w:rsid w:val="2F79B7FF"/>
    <w:rsid w:val="2F8A7425"/>
    <w:rsid w:val="2FB11BF0"/>
    <w:rsid w:val="30C85830"/>
    <w:rsid w:val="30F50996"/>
    <w:rsid w:val="30FC548F"/>
    <w:rsid w:val="31286E31"/>
    <w:rsid w:val="32C21E80"/>
    <w:rsid w:val="32CC4585"/>
    <w:rsid w:val="32D833CC"/>
    <w:rsid w:val="32FF0045"/>
    <w:rsid w:val="33222F79"/>
    <w:rsid w:val="33446C47"/>
    <w:rsid w:val="337D6FDA"/>
    <w:rsid w:val="337E48D0"/>
    <w:rsid w:val="338D7B37"/>
    <w:rsid w:val="33D632D4"/>
    <w:rsid w:val="33ED121E"/>
    <w:rsid w:val="341337CB"/>
    <w:rsid w:val="347E7F55"/>
    <w:rsid w:val="34983880"/>
    <w:rsid w:val="34D33B5B"/>
    <w:rsid w:val="35DEB453"/>
    <w:rsid w:val="35F452AD"/>
    <w:rsid w:val="35FA18FA"/>
    <w:rsid w:val="35FDA9A0"/>
    <w:rsid w:val="36057C4F"/>
    <w:rsid w:val="369D7621"/>
    <w:rsid w:val="36D13079"/>
    <w:rsid w:val="36EFD636"/>
    <w:rsid w:val="36F42249"/>
    <w:rsid w:val="370B5D0C"/>
    <w:rsid w:val="372DF4E4"/>
    <w:rsid w:val="373B347C"/>
    <w:rsid w:val="37540AA2"/>
    <w:rsid w:val="37CEC8E3"/>
    <w:rsid w:val="37EFC505"/>
    <w:rsid w:val="38073074"/>
    <w:rsid w:val="383A64FE"/>
    <w:rsid w:val="38E87BC9"/>
    <w:rsid w:val="392320EF"/>
    <w:rsid w:val="392F64B6"/>
    <w:rsid w:val="3953468E"/>
    <w:rsid w:val="3997BC09"/>
    <w:rsid w:val="39FBDF40"/>
    <w:rsid w:val="3A296FBE"/>
    <w:rsid w:val="3A49346A"/>
    <w:rsid w:val="3AB63421"/>
    <w:rsid w:val="3AF7C7FE"/>
    <w:rsid w:val="3B3C48E8"/>
    <w:rsid w:val="3B6F22B3"/>
    <w:rsid w:val="3B7C21DC"/>
    <w:rsid w:val="3B9E1077"/>
    <w:rsid w:val="3BAF13BF"/>
    <w:rsid w:val="3BB64A76"/>
    <w:rsid w:val="3BE65550"/>
    <w:rsid w:val="3BF533B1"/>
    <w:rsid w:val="3BF64AAD"/>
    <w:rsid w:val="3BFF7820"/>
    <w:rsid w:val="3BFF8763"/>
    <w:rsid w:val="3BFFEA80"/>
    <w:rsid w:val="3C02752B"/>
    <w:rsid w:val="3C271159"/>
    <w:rsid w:val="3C9D1F87"/>
    <w:rsid w:val="3CEA23BD"/>
    <w:rsid w:val="3D366A4A"/>
    <w:rsid w:val="3D4476E5"/>
    <w:rsid w:val="3D49013B"/>
    <w:rsid w:val="3D6E79D2"/>
    <w:rsid w:val="3D7D2179"/>
    <w:rsid w:val="3DB70AD3"/>
    <w:rsid w:val="3DDD6D33"/>
    <w:rsid w:val="3DFD8960"/>
    <w:rsid w:val="3DFF6A48"/>
    <w:rsid w:val="3E0D90E0"/>
    <w:rsid w:val="3E4FDD81"/>
    <w:rsid w:val="3F2FF45A"/>
    <w:rsid w:val="3F4B2142"/>
    <w:rsid w:val="3F4EFA06"/>
    <w:rsid w:val="3F67181A"/>
    <w:rsid w:val="3F6FB961"/>
    <w:rsid w:val="3F7AE3C0"/>
    <w:rsid w:val="3F841762"/>
    <w:rsid w:val="3FAE82D2"/>
    <w:rsid w:val="3FB9CFD9"/>
    <w:rsid w:val="3FC43BC9"/>
    <w:rsid w:val="3FDD800F"/>
    <w:rsid w:val="3FDF0E39"/>
    <w:rsid w:val="3FDFD8B7"/>
    <w:rsid w:val="3FE0CCD5"/>
    <w:rsid w:val="3FE2218B"/>
    <w:rsid w:val="3FF74EEE"/>
    <w:rsid w:val="3FFA062E"/>
    <w:rsid w:val="3FFDF18F"/>
    <w:rsid w:val="3FFF356A"/>
    <w:rsid w:val="3FFF4E45"/>
    <w:rsid w:val="3FFF89BB"/>
    <w:rsid w:val="40360E64"/>
    <w:rsid w:val="408C4C8F"/>
    <w:rsid w:val="413B40E9"/>
    <w:rsid w:val="414E51F3"/>
    <w:rsid w:val="41B10AC2"/>
    <w:rsid w:val="41D95413"/>
    <w:rsid w:val="4259386D"/>
    <w:rsid w:val="431866C6"/>
    <w:rsid w:val="434D3B25"/>
    <w:rsid w:val="438F73C5"/>
    <w:rsid w:val="43C5EFCC"/>
    <w:rsid w:val="43D44955"/>
    <w:rsid w:val="44585D35"/>
    <w:rsid w:val="445B21D4"/>
    <w:rsid w:val="44FA1861"/>
    <w:rsid w:val="45453B9B"/>
    <w:rsid w:val="466E52B3"/>
    <w:rsid w:val="46CA7E9E"/>
    <w:rsid w:val="46F65E21"/>
    <w:rsid w:val="4744128D"/>
    <w:rsid w:val="47504770"/>
    <w:rsid w:val="47921C09"/>
    <w:rsid w:val="47D479C8"/>
    <w:rsid w:val="47EE1D62"/>
    <w:rsid w:val="47F1197B"/>
    <w:rsid w:val="48E56A2C"/>
    <w:rsid w:val="495E4CB3"/>
    <w:rsid w:val="497B4A43"/>
    <w:rsid w:val="498E1E37"/>
    <w:rsid w:val="49EFCEA3"/>
    <w:rsid w:val="4A064368"/>
    <w:rsid w:val="4A2F5D4E"/>
    <w:rsid w:val="4AA05FC0"/>
    <w:rsid w:val="4AA20354"/>
    <w:rsid w:val="4ADB22A1"/>
    <w:rsid w:val="4AEC34B5"/>
    <w:rsid w:val="4B5005B9"/>
    <w:rsid w:val="4BFFDA48"/>
    <w:rsid w:val="4C1414C8"/>
    <w:rsid w:val="4C2067BE"/>
    <w:rsid w:val="4CB5461B"/>
    <w:rsid w:val="4CBC5762"/>
    <w:rsid w:val="4D100E7F"/>
    <w:rsid w:val="4D1F38CE"/>
    <w:rsid w:val="4DB766CD"/>
    <w:rsid w:val="4DB8CA2B"/>
    <w:rsid w:val="4E4D5452"/>
    <w:rsid w:val="4E8778D4"/>
    <w:rsid w:val="4EAF389A"/>
    <w:rsid w:val="4F5812B6"/>
    <w:rsid w:val="4F5A5B74"/>
    <w:rsid w:val="4F671238"/>
    <w:rsid w:val="4FB31116"/>
    <w:rsid w:val="4FBD4F30"/>
    <w:rsid w:val="4FE53972"/>
    <w:rsid w:val="503C68AA"/>
    <w:rsid w:val="50CE02B2"/>
    <w:rsid w:val="50E04BBA"/>
    <w:rsid w:val="50F95C4E"/>
    <w:rsid w:val="51086BB6"/>
    <w:rsid w:val="51326EB6"/>
    <w:rsid w:val="514D6B2E"/>
    <w:rsid w:val="516E5206"/>
    <w:rsid w:val="51EB103B"/>
    <w:rsid w:val="527926DA"/>
    <w:rsid w:val="52FB52AE"/>
    <w:rsid w:val="5358751C"/>
    <w:rsid w:val="53740B45"/>
    <w:rsid w:val="53C83586"/>
    <w:rsid w:val="548E6E95"/>
    <w:rsid w:val="54915733"/>
    <w:rsid w:val="54DE1417"/>
    <w:rsid w:val="5549276B"/>
    <w:rsid w:val="554F368F"/>
    <w:rsid w:val="556B45C1"/>
    <w:rsid w:val="55FF452A"/>
    <w:rsid w:val="56104FC2"/>
    <w:rsid w:val="56262319"/>
    <w:rsid w:val="56513061"/>
    <w:rsid w:val="569B2BBD"/>
    <w:rsid w:val="569C760E"/>
    <w:rsid w:val="569F7CC5"/>
    <w:rsid w:val="56FB12FA"/>
    <w:rsid w:val="57250B4B"/>
    <w:rsid w:val="57571CC6"/>
    <w:rsid w:val="576E2CC0"/>
    <w:rsid w:val="578A4B45"/>
    <w:rsid w:val="57FE5A6A"/>
    <w:rsid w:val="57FFABDC"/>
    <w:rsid w:val="58234BB9"/>
    <w:rsid w:val="584B08BD"/>
    <w:rsid w:val="58A67FE8"/>
    <w:rsid w:val="591FD123"/>
    <w:rsid w:val="596C0CB3"/>
    <w:rsid w:val="5A222771"/>
    <w:rsid w:val="5AD46575"/>
    <w:rsid w:val="5B146098"/>
    <w:rsid w:val="5B4A0DDA"/>
    <w:rsid w:val="5BC3325E"/>
    <w:rsid w:val="5BF1578E"/>
    <w:rsid w:val="5C193A65"/>
    <w:rsid w:val="5CF2576A"/>
    <w:rsid w:val="5CFFBE88"/>
    <w:rsid w:val="5DB911BC"/>
    <w:rsid w:val="5DE6657A"/>
    <w:rsid w:val="5DF5819D"/>
    <w:rsid w:val="5E7C376C"/>
    <w:rsid w:val="5E8D6361"/>
    <w:rsid w:val="5EA837C9"/>
    <w:rsid w:val="5EC02968"/>
    <w:rsid w:val="5EF71B2E"/>
    <w:rsid w:val="5F0E45BB"/>
    <w:rsid w:val="5F3DC737"/>
    <w:rsid w:val="5F5F5F0E"/>
    <w:rsid w:val="5F606F7D"/>
    <w:rsid w:val="5F6F27E6"/>
    <w:rsid w:val="5F7A91EA"/>
    <w:rsid w:val="5F8624F1"/>
    <w:rsid w:val="5F8D37B7"/>
    <w:rsid w:val="5F9B53A1"/>
    <w:rsid w:val="5FC50B3D"/>
    <w:rsid w:val="5FDB1D92"/>
    <w:rsid w:val="5FEA2932"/>
    <w:rsid w:val="5FEDC342"/>
    <w:rsid w:val="5FF23595"/>
    <w:rsid w:val="5FF35171"/>
    <w:rsid w:val="5FF60412"/>
    <w:rsid w:val="5FF65026"/>
    <w:rsid w:val="5FFFAC80"/>
    <w:rsid w:val="60124C12"/>
    <w:rsid w:val="60393A72"/>
    <w:rsid w:val="603A516E"/>
    <w:rsid w:val="60754B42"/>
    <w:rsid w:val="60B30F76"/>
    <w:rsid w:val="60C237D0"/>
    <w:rsid w:val="60C931D4"/>
    <w:rsid w:val="61572DAE"/>
    <w:rsid w:val="61AC78CC"/>
    <w:rsid w:val="620307DD"/>
    <w:rsid w:val="62176D39"/>
    <w:rsid w:val="62343ED9"/>
    <w:rsid w:val="62467BC8"/>
    <w:rsid w:val="63311331"/>
    <w:rsid w:val="63532FF1"/>
    <w:rsid w:val="63903516"/>
    <w:rsid w:val="63EC7FE2"/>
    <w:rsid w:val="63FC06B4"/>
    <w:rsid w:val="6444055B"/>
    <w:rsid w:val="644E7E74"/>
    <w:rsid w:val="647057FB"/>
    <w:rsid w:val="6478757A"/>
    <w:rsid w:val="647975EC"/>
    <w:rsid w:val="64A954DC"/>
    <w:rsid w:val="6502744D"/>
    <w:rsid w:val="65064292"/>
    <w:rsid w:val="650937C9"/>
    <w:rsid w:val="653E7284"/>
    <w:rsid w:val="65464BB6"/>
    <w:rsid w:val="65D97BA7"/>
    <w:rsid w:val="65DFA4BB"/>
    <w:rsid w:val="66010196"/>
    <w:rsid w:val="663A1AF8"/>
    <w:rsid w:val="66D03EF3"/>
    <w:rsid w:val="66FFC039"/>
    <w:rsid w:val="67480B1F"/>
    <w:rsid w:val="67596562"/>
    <w:rsid w:val="67AA3B19"/>
    <w:rsid w:val="67AB656F"/>
    <w:rsid w:val="67C15479"/>
    <w:rsid w:val="67CE48E7"/>
    <w:rsid w:val="67DA7FEE"/>
    <w:rsid w:val="67F32B26"/>
    <w:rsid w:val="69165C6D"/>
    <w:rsid w:val="693B6DFD"/>
    <w:rsid w:val="69551473"/>
    <w:rsid w:val="69627389"/>
    <w:rsid w:val="696D0284"/>
    <w:rsid w:val="6978C146"/>
    <w:rsid w:val="6AFFD4D3"/>
    <w:rsid w:val="6B0A723D"/>
    <w:rsid w:val="6B6E2CBD"/>
    <w:rsid w:val="6B777F18"/>
    <w:rsid w:val="6B79A76F"/>
    <w:rsid w:val="6BBE0DBA"/>
    <w:rsid w:val="6BBF2186"/>
    <w:rsid w:val="6BD12F95"/>
    <w:rsid w:val="6BDD5CD8"/>
    <w:rsid w:val="6BF1475D"/>
    <w:rsid w:val="6C075DAC"/>
    <w:rsid w:val="6C325657"/>
    <w:rsid w:val="6C6B2312"/>
    <w:rsid w:val="6CB46AE8"/>
    <w:rsid w:val="6CB60ACE"/>
    <w:rsid w:val="6CF94851"/>
    <w:rsid w:val="6D3C221B"/>
    <w:rsid w:val="6D7ECAAD"/>
    <w:rsid w:val="6DE7CE4B"/>
    <w:rsid w:val="6DF565CB"/>
    <w:rsid w:val="6DFED50D"/>
    <w:rsid w:val="6E453429"/>
    <w:rsid w:val="6E5A7A01"/>
    <w:rsid w:val="6EFFB660"/>
    <w:rsid w:val="6F294684"/>
    <w:rsid w:val="6F6F8BEC"/>
    <w:rsid w:val="6FA71920"/>
    <w:rsid w:val="6FA9BF99"/>
    <w:rsid w:val="6FF7860B"/>
    <w:rsid w:val="6FF7992D"/>
    <w:rsid w:val="6FFF247A"/>
    <w:rsid w:val="70611F6D"/>
    <w:rsid w:val="714675D6"/>
    <w:rsid w:val="715F666C"/>
    <w:rsid w:val="7167914E"/>
    <w:rsid w:val="7177133C"/>
    <w:rsid w:val="71CB4D56"/>
    <w:rsid w:val="71CD44E8"/>
    <w:rsid w:val="71EA0DE7"/>
    <w:rsid w:val="72166513"/>
    <w:rsid w:val="72606A84"/>
    <w:rsid w:val="72BB6DAD"/>
    <w:rsid w:val="72C305F0"/>
    <w:rsid w:val="7314021C"/>
    <w:rsid w:val="73221EA9"/>
    <w:rsid w:val="733A4EA6"/>
    <w:rsid w:val="737C9016"/>
    <w:rsid w:val="73A579AE"/>
    <w:rsid w:val="73B42CFD"/>
    <w:rsid w:val="73BDD73B"/>
    <w:rsid w:val="73C34AAB"/>
    <w:rsid w:val="73CFFE02"/>
    <w:rsid w:val="73FF6DDB"/>
    <w:rsid w:val="740B41CC"/>
    <w:rsid w:val="74B310ED"/>
    <w:rsid w:val="74C86784"/>
    <w:rsid w:val="74C96B93"/>
    <w:rsid w:val="74D1261A"/>
    <w:rsid w:val="754C32EF"/>
    <w:rsid w:val="75616B80"/>
    <w:rsid w:val="758B6266"/>
    <w:rsid w:val="75BF1117"/>
    <w:rsid w:val="75BFF44D"/>
    <w:rsid w:val="75F93477"/>
    <w:rsid w:val="761A6DB5"/>
    <w:rsid w:val="7670288E"/>
    <w:rsid w:val="767F5CD0"/>
    <w:rsid w:val="76DA085C"/>
    <w:rsid w:val="76FC257D"/>
    <w:rsid w:val="770C1377"/>
    <w:rsid w:val="775EF835"/>
    <w:rsid w:val="776F4ECF"/>
    <w:rsid w:val="7779BE38"/>
    <w:rsid w:val="777F12DD"/>
    <w:rsid w:val="77D38755"/>
    <w:rsid w:val="77DC18A8"/>
    <w:rsid w:val="77EB6883"/>
    <w:rsid w:val="77F75118"/>
    <w:rsid w:val="77FA470C"/>
    <w:rsid w:val="77FEC560"/>
    <w:rsid w:val="781F6771"/>
    <w:rsid w:val="78255199"/>
    <w:rsid w:val="786700B7"/>
    <w:rsid w:val="786B0AB7"/>
    <w:rsid w:val="78733EB0"/>
    <w:rsid w:val="788C3F57"/>
    <w:rsid w:val="78921B99"/>
    <w:rsid w:val="78BFEC86"/>
    <w:rsid w:val="791B3704"/>
    <w:rsid w:val="791E388B"/>
    <w:rsid w:val="79594C61"/>
    <w:rsid w:val="795D00B8"/>
    <w:rsid w:val="796B643A"/>
    <w:rsid w:val="797F92FA"/>
    <w:rsid w:val="798D76BC"/>
    <w:rsid w:val="79E00940"/>
    <w:rsid w:val="79E87DBE"/>
    <w:rsid w:val="79F9DA57"/>
    <w:rsid w:val="7A1C6403"/>
    <w:rsid w:val="7A7988CF"/>
    <w:rsid w:val="7A8A2F5E"/>
    <w:rsid w:val="7AAE7A61"/>
    <w:rsid w:val="7AB811A1"/>
    <w:rsid w:val="7AC95D67"/>
    <w:rsid w:val="7AE72BEC"/>
    <w:rsid w:val="7AF34313"/>
    <w:rsid w:val="7AF5498E"/>
    <w:rsid w:val="7AF76CC1"/>
    <w:rsid w:val="7B424F78"/>
    <w:rsid w:val="7B5BAF94"/>
    <w:rsid w:val="7B762783"/>
    <w:rsid w:val="7BCE2005"/>
    <w:rsid w:val="7BD587CA"/>
    <w:rsid w:val="7BDF6CE4"/>
    <w:rsid w:val="7BEA2C24"/>
    <w:rsid w:val="7BF5B145"/>
    <w:rsid w:val="7BF97A4A"/>
    <w:rsid w:val="7BFB630F"/>
    <w:rsid w:val="7BFF0BDB"/>
    <w:rsid w:val="7BFF47BD"/>
    <w:rsid w:val="7C1E72C4"/>
    <w:rsid w:val="7C5B42CF"/>
    <w:rsid w:val="7C5C2F75"/>
    <w:rsid w:val="7CF4E9C8"/>
    <w:rsid w:val="7D5176F5"/>
    <w:rsid w:val="7D824051"/>
    <w:rsid w:val="7D9667B8"/>
    <w:rsid w:val="7D9D3854"/>
    <w:rsid w:val="7DB3162D"/>
    <w:rsid w:val="7DBE7D6B"/>
    <w:rsid w:val="7DBF71B5"/>
    <w:rsid w:val="7DBF7645"/>
    <w:rsid w:val="7DE46888"/>
    <w:rsid w:val="7DFA1D19"/>
    <w:rsid w:val="7DFB2714"/>
    <w:rsid w:val="7E2B5206"/>
    <w:rsid w:val="7E341237"/>
    <w:rsid w:val="7E9B601A"/>
    <w:rsid w:val="7E9E710D"/>
    <w:rsid w:val="7EB5E7B0"/>
    <w:rsid w:val="7EBFF3D7"/>
    <w:rsid w:val="7EE24A62"/>
    <w:rsid w:val="7EED353C"/>
    <w:rsid w:val="7EFF31A0"/>
    <w:rsid w:val="7F3BA972"/>
    <w:rsid w:val="7F4DD6AD"/>
    <w:rsid w:val="7F565496"/>
    <w:rsid w:val="7F6D63DB"/>
    <w:rsid w:val="7F71A189"/>
    <w:rsid w:val="7F759C5B"/>
    <w:rsid w:val="7F7B572D"/>
    <w:rsid w:val="7F7BDD0F"/>
    <w:rsid w:val="7F7E0EE6"/>
    <w:rsid w:val="7F9D4FA1"/>
    <w:rsid w:val="7FAB3839"/>
    <w:rsid w:val="7FAB3D96"/>
    <w:rsid w:val="7FAFFCE2"/>
    <w:rsid w:val="7FB64187"/>
    <w:rsid w:val="7FBA455F"/>
    <w:rsid w:val="7FBEBD3B"/>
    <w:rsid w:val="7FBF1EB0"/>
    <w:rsid w:val="7FCF42A1"/>
    <w:rsid w:val="7FCF5FC9"/>
    <w:rsid w:val="7FD58920"/>
    <w:rsid w:val="7FDF3874"/>
    <w:rsid w:val="7FE7E89E"/>
    <w:rsid w:val="7FEEB066"/>
    <w:rsid w:val="7FEF5B90"/>
    <w:rsid w:val="7FF7EBBA"/>
    <w:rsid w:val="7FF9BFD1"/>
    <w:rsid w:val="7FFA3120"/>
    <w:rsid w:val="7FFB1E89"/>
    <w:rsid w:val="7FFDD19D"/>
    <w:rsid w:val="7FFF6D36"/>
    <w:rsid w:val="7FFF93C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FB56D32"/>
  <w15:docId w15:val="{4E7CAFF2-3018-470B-AF56-EB29B6B234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unhideWhenUsed="1" w:qFormat="1"/>
    <w:lsdException w:name="toc 2" w:uiPriority="39" w:unhideWhenUsed="1" w:qFormat="1"/>
    <w:lsdException w:name="toc 3" w:uiPriority="39" w:unhideWhenUsed="1" w:qFormat="1"/>
    <w:lsdException w:name="Normal Indent" w:uiPriority="99" w:qFormat="1"/>
    <w:lsdException w:name="footnote text" w:uiPriority="99" w:qFormat="1"/>
    <w:lsdException w:name="annotation text" w:qFormat="1"/>
    <w:lsdException w:name="header" w:qFormat="1"/>
    <w:lsdException w:name="footer" w:qFormat="1"/>
    <w:lsdException w:name="caption" w:uiPriority="35" w:unhideWhenUsed="1" w:qFormat="1"/>
    <w:lsdException w:name="envelope return" w:qFormat="1"/>
    <w:lsdException w:name="footnote reference" w:uiPriority="99" w:qFormat="1"/>
    <w:lsdException w:name="annotation reference" w:qFormat="1"/>
    <w:lsdException w:name="page number" w:qFormat="1"/>
    <w:lsdException w:name="List" w:qFormat="1"/>
    <w:lsdException w:name="Title" w:qFormat="1"/>
    <w:lsdException w:name="Default Paragraph Font" w:uiPriority="1" w:unhideWhenUsed="1" w:qFormat="1"/>
    <w:lsdException w:name="Body Text" w:qFormat="1"/>
    <w:lsdException w:name="Body Text Indent" w:qFormat="1"/>
    <w:lsdException w:name="Subtitle" w:qFormat="1"/>
    <w:lsdException w:name="Date" w:qFormat="1"/>
    <w:lsdException w:name="Body Text 2" w:qFormat="1"/>
    <w:lsdException w:name="Body Text Indent 2" w:qFormat="1"/>
    <w:lsdException w:name="Body Text Indent 3" w:qFormat="1"/>
    <w:lsdException w:name="Block Text" w:qFormat="1"/>
    <w:lsdException w:name="Hyperlink" w:qFormat="1"/>
    <w:lsdException w:name="FollowedHyperlink" w:qFormat="1"/>
    <w:lsdException w:name="Strong" w:qFormat="1"/>
    <w:lsdException w:name="Emphasis" w:qFormat="1"/>
    <w:lsdException w:name="Document Map" w:qFormat="1"/>
    <w:lsdException w:name="Plain Text" w:qFormat="1"/>
    <w:lsdException w:name="HTML Top of Form" w:semiHidden="1" w:uiPriority="99" w:unhideWhenUsed="1"/>
    <w:lsdException w:name="HTML Bottom of Form" w:semiHidden="1" w:uiPriority="99" w:unhideWhenUsed="1"/>
    <w:lsdException w:name="Normal (Web)" w:qFormat="1"/>
    <w:lsdException w:name="HTML Preformatted" w:uiPriority="99" w:qFormat="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unhideWhenUsed="1"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宋体" w:eastAsia="仿宋_GB2312" w:hAnsi="宋体"/>
      <w:snapToGrid w:val="0"/>
      <w:kern w:val="32"/>
      <w:sz w:val="32"/>
      <w:szCs w:val="32"/>
    </w:rPr>
  </w:style>
  <w:style w:type="paragraph" w:styleId="1">
    <w:name w:val="heading 1"/>
    <w:basedOn w:val="a"/>
    <w:next w:val="a"/>
    <w:qFormat/>
    <w:pPr>
      <w:jc w:val="left"/>
      <w:outlineLvl w:val="0"/>
    </w:pPr>
    <w:rPr>
      <w:rFonts w:ascii="黑体" w:eastAsia="黑体"/>
      <w:bCs/>
    </w:rPr>
  </w:style>
  <w:style w:type="paragraph" w:styleId="2">
    <w:name w:val="heading 2"/>
    <w:basedOn w:val="a"/>
    <w:next w:val="a"/>
    <w:qFormat/>
    <w:pPr>
      <w:outlineLvl w:val="1"/>
    </w:pPr>
    <w:rPr>
      <w:b/>
      <w:bCs/>
    </w:rPr>
  </w:style>
  <w:style w:type="paragraph" w:styleId="3">
    <w:name w:val="heading 3"/>
    <w:basedOn w:val="a"/>
    <w:next w:val="a"/>
    <w:qFormat/>
    <w:pPr>
      <w:adjustRightInd w:val="0"/>
      <w:snapToGrid w:val="0"/>
      <w:spacing w:line="336" w:lineRule="auto"/>
      <w:ind w:firstLineChars="200" w:firstLine="200"/>
      <w:outlineLvl w:val="2"/>
    </w:pPr>
    <w:rPr>
      <w:rFonts w:eastAsia="楷体_GB2312"/>
      <w:bCs/>
    </w:rPr>
  </w:style>
  <w:style w:type="paragraph" w:styleId="5">
    <w:name w:val="heading 5"/>
    <w:basedOn w:val="a"/>
    <w:next w:val="a"/>
    <w:qFormat/>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uiPriority w:val="99"/>
    <w:qFormat/>
    <w:pPr>
      <w:ind w:firstLineChars="200" w:firstLine="420"/>
    </w:pPr>
  </w:style>
  <w:style w:type="paragraph" w:styleId="a4">
    <w:name w:val="caption"/>
    <w:basedOn w:val="a"/>
    <w:next w:val="a"/>
    <w:uiPriority w:val="35"/>
    <w:unhideWhenUsed/>
    <w:qFormat/>
    <w:rPr>
      <w:rFonts w:ascii="Cambria" w:eastAsia="黑体" w:hAnsi="Cambria"/>
      <w:snapToGrid/>
      <w:kern w:val="2"/>
      <w:sz w:val="20"/>
      <w:szCs w:val="20"/>
    </w:rPr>
  </w:style>
  <w:style w:type="paragraph" w:styleId="a5">
    <w:name w:val="Document Map"/>
    <w:basedOn w:val="a"/>
    <w:qFormat/>
    <w:pPr>
      <w:shd w:val="clear" w:color="auto" w:fill="000080"/>
    </w:pPr>
  </w:style>
  <w:style w:type="paragraph" w:styleId="a6">
    <w:name w:val="annotation text"/>
    <w:basedOn w:val="a"/>
    <w:link w:val="a7"/>
    <w:qFormat/>
    <w:pPr>
      <w:jc w:val="left"/>
    </w:pPr>
    <w:rPr>
      <w:rFonts w:ascii="Times New Roman" w:eastAsia="宋体" w:hAnsi="Times New Roman"/>
      <w:snapToGrid/>
      <w:kern w:val="2"/>
      <w:sz w:val="21"/>
      <w:szCs w:val="20"/>
    </w:rPr>
  </w:style>
  <w:style w:type="paragraph" w:styleId="a8">
    <w:name w:val="Body Text"/>
    <w:basedOn w:val="a"/>
    <w:next w:val="a"/>
    <w:link w:val="a9"/>
    <w:qFormat/>
    <w:pPr>
      <w:spacing w:after="120"/>
    </w:pPr>
  </w:style>
  <w:style w:type="paragraph" w:styleId="aa">
    <w:name w:val="Body Text Indent"/>
    <w:basedOn w:val="a"/>
    <w:link w:val="ab"/>
    <w:qFormat/>
    <w:pPr>
      <w:ind w:left="570" w:hanging="30"/>
    </w:pPr>
    <w:rPr>
      <w:rFonts w:ascii="Times New Roman" w:eastAsia="宋体" w:hAnsi="Times New Roman"/>
      <w:snapToGrid/>
      <w:kern w:val="2"/>
      <w:sz w:val="28"/>
      <w:szCs w:val="20"/>
    </w:rPr>
  </w:style>
  <w:style w:type="paragraph" w:styleId="ac">
    <w:name w:val="Block Text"/>
    <w:basedOn w:val="a"/>
    <w:qFormat/>
    <w:pPr>
      <w:ind w:leftChars="-342" w:left="-718" w:rightChars="-244" w:right="-512"/>
      <w:jc w:val="center"/>
    </w:pPr>
    <w:rPr>
      <w:rFonts w:ascii="仿宋_GB2312"/>
      <w:snapToGrid/>
      <w:kern w:val="2"/>
      <w:sz w:val="44"/>
    </w:rPr>
  </w:style>
  <w:style w:type="paragraph" w:styleId="TOC3">
    <w:name w:val="toc 3"/>
    <w:basedOn w:val="a"/>
    <w:next w:val="a"/>
    <w:uiPriority w:val="39"/>
    <w:unhideWhenUsed/>
    <w:qFormat/>
    <w:pPr>
      <w:widowControl/>
      <w:spacing w:after="100" w:line="276" w:lineRule="auto"/>
      <w:ind w:left="440"/>
      <w:jc w:val="left"/>
    </w:pPr>
    <w:rPr>
      <w:rFonts w:ascii="Calibri" w:eastAsia="宋体" w:hAnsi="Calibri"/>
      <w:snapToGrid/>
      <w:kern w:val="0"/>
      <w:sz w:val="22"/>
      <w:szCs w:val="22"/>
    </w:rPr>
  </w:style>
  <w:style w:type="paragraph" w:styleId="ad">
    <w:name w:val="Plain Text"/>
    <w:basedOn w:val="a"/>
    <w:link w:val="ae"/>
    <w:qFormat/>
    <w:rPr>
      <w:rFonts w:eastAsia="宋体" w:hAnsi="Courier New" w:cs="Courier New"/>
      <w:kern w:val="2"/>
      <w:sz w:val="21"/>
      <w:szCs w:val="21"/>
    </w:rPr>
  </w:style>
  <w:style w:type="paragraph" w:styleId="af">
    <w:name w:val="Date"/>
    <w:basedOn w:val="a"/>
    <w:next w:val="a"/>
    <w:link w:val="af0"/>
    <w:qFormat/>
    <w:pPr>
      <w:ind w:leftChars="2500" w:left="100"/>
    </w:pPr>
  </w:style>
  <w:style w:type="paragraph" w:styleId="20">
    <w:name w:val="Body Text Indent 2"/>
    <w:basedOn w:val="a"/>
    <w:qFormat/>
    <w:pPr>
      <w:spacing w:after="120" w:line="480" w:lineRule="auto"/>
      <w:ind w:leftChars="200" w:left="420"/>
    </w:pPr>
    <w:rPr>
      <w:rFonts w:ascii="Times New Roman" w:hAnsi="Times New Roman"/>
      <w:snapToGrid/>
      <w:kern w:val="2"/>
      <w:szCs w:val="24"/>
    </w:rPr>
  </w:style>
  <w:style w:type="paragraph" w:styleId="af1">
    <w:name w:val="Balloon Text"/>
    <w:basedOn w:val="a"/>
    <w:qFormat/>
    <w:rPr>
      <w:sz w:val="18"/>
      <w:szCs w:val="18"/>
    </w:rPr>
  </w:style>
  <w:style w:type="paragraph" w:styleId="af2">
    <w:name w:val="footer"/>
    <w:basedOn w:val="a"/>
    <w:next w:val="a"/>
    <w:link w:val="af3"/>
    <w:qFormat/>
    <w:pPr>
      <w:tabs>
        <w:tab w:val="center" w:pos="4153"/>
        <w:tab w:val="right" w:pos="8306"/>
      </w:tabs>
      <w:snapToGrid w:val="0"/>
      <w:jc w:val="left"/>
    </w:pPr>
    <w:rPr>
      <w:sz w:val="18"/>
      <w:szCs w:val="18"/>
    </w:rPr>
  </w:style>
  <w:style w:type="paragraph" w:styleId="af4">
    <w:name w:val="envelope return"/>
    <w:basedOn w:val="a"/>
    <w:qFormat/>
    <w:pPr>
      <w:widowControl/>
      <w:jc w:val="left"/>
    </w:pPr>
    <w:rPr>
      <w:rFonts w:ascii="Garamond" w:eastAsia="宋体" w:hAnsi="Garamond"/>
      <w:snapToGrid/>
      <w:kern w:val="0"/>
      <w:sz w:val="24"/>
      <w:szCs w:val="20"/>
      <w:lang w:val="fr-CH" w:eastAsia="en-US"/>
    </w:rPr>
  </w:style>
  <w:style w:type="paragraph" w:styleId="af5">
    <w:name w:val="header"/>
    <w:basedOn w:val="a"/>
    <w:link w:val="af6"/>
    <w:qFormat/>
    <w:pPr>
      <w:pBdr>
        <w:bottom w:val="single" w:sz="6" w:space="1" w:color="auto"/>
      </w:pBdr>
      <w:tabs>
        <w:tab w:val="center" w:pos="4153"/>
        <w:tab w:val="right" w:pos="8306"/>
      </w:tabs>
      <w:snapToGrid w:val="0"/>
      <w:jc w:val="center"/>
    </w:pPr>
    <w:rPr>
      <w:sz w:val="18"/>
      <w:szCs w:val="18"/>
    </w:rPr>
  </w:style>
  <w:style w:type="paragraph" w:styleId="TOC1">
    <w:name w:val="toc 1"/>
    <w:basedOn w:val="a"/>
    <w:next w:val="a"/>
    <w:uiPriority w:val="39"/>
    <w:unhideWhenUsed/>
    <w:qFormat/>
    <w:pPr>
      <w:tabs>
        <w:tab w:val="right" w:leader="dot" w:pos="8630"/>
      </w:tabs>
      <w:jc w:val="center"/>
    </w:pPr>
    <w:rPr>
      <w:rFonts w:ascii="华文楷体" w:eastAsia="华文楷体" w:hAnsi="华文楷体"/>
      <w:b/>
      <w:snapToGrid/>
      <w:kern w:val="2"/>
      <w:sz w:val="36"/>
    </w:rPr>
  </w:style>
  <w:style w:type="paragraph" w:styleId="af7">
    <w:name w:val="List"/>
    <w:basedOn w:val="a8"/>
    <w:qFormat/>
    <w:pPr>
      <w:suppressAutoHyphens/>
      <w:spacing w:after="0" w:line="0" w:lineRule="atLeast"/>
      <w:jc w:val="center"/>
    </w:pPr>
    <w:rPr>
      <w:rFonts w:ascii="方正小标宋简体" w:eastAsia="方正小标宋简体" w:hAnsi="方正小标宋简体"/>
      <w:snapToGrid/>
      <w:kern w:val="1"/>
      <w:sz w:val="44"/>
      <w:szCs w:val="24"/>
    </w:rPr>
  </w:style>
  <w:style w:type="paragraph" w:styleId="af8">
    <w:name w:val="footnote text"/>
    <w:basedOn w:val="a"/>
    <w:uiPriority w:val="99"/>
    <w:qFormat/>
    <w:pPr>
      <w:snapToGrid w:val="0"/>
      <w:jc w:val="left"/>
    </w:pPr>
    <w:rPr>
      <w:sz w:val="18"/>
    </w:rPr>
  </w:style>
  <w:style w:type="paragraph" w:styleId="30">
    <w:name w:val="Body Text Indent 3"/>
    <w:basedOn w:val="a"/>
    <w:qFormat/>
    <w:pPr>
      <w:spacing w:after="120"/>
      <w:ind w:leftChars="200" w:left="420"/>
    </w:pPr>
    <w:rPr>
      <w:sz w:val="16"/>
      <w:szCs w:val="16"/>
    </w:rPr>
  </w:style>
  <w:style w:type="paragraph" w:styleId="TOC2">
    <w:name w:val="toc 2"/>
    <w:basedOn w:val="a"/>
    <w:next w:val="a"/>
    <w:uiPriority w:val="39"/>
    <w:unhideWhenUsed/>
    <w:qFormat/>
    <w:pPr>
      <w:ind w:leftChars="200" w:left="420"/>
    </w:pPr>
    <w:rPr>
      <w:rFonts w:ascii="Calibri" w:eastAsia="宋体" w:hAnsi="Calibri"/>
      <w:snapToGrid/>
      <w:kern w:val="2"/>
      <w:sz w:val="21"/>
      <w:szCs w:val="22"/>
    </w:rPr>
  </w:style>
  <w:style w:type="paragraph" w:styleId="21">
    <w:name w:val="Body Text 2"/>
    <w:basedOn w:val="a"/>
    <w:qFormat/>
    <w:pPr>
      <w:spacing w:after="120" w:line="480" w:lineRule="auto"/>
    </w:pPr>
    <w:rPr>
      <w:rFonts w:ascii="Times New Roman" w:eastAsia="宋体" w:hAnsi="Times New Roman"/>
      <w:snapToGrid/>
      <w:kern w:val="2"/>
      <w:sz w:val="21"/>
      <w:szCs w:val="24"/>
    </w:rPr>
  </w:style>
  <w:style w:type="paragraph" w:styleId="HTML">
    <w:name w:val="HTML Preformatted"/>
    <w:basedOn w:val="a"/>
    <w:link w:val="HTML0"/>
    <w:uiPriority w:val="99"/>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eastAsia="宋体"/>
      <w:snapToGrid/>
      <w:kern w:val="0"/>
      <w:sz w:val="24"/>
      <w:szCs w:val="24"/>
    </w:rPr>
  </w:style>
  <w:style w:type="paragraph" w:styleId="af9">
    <w:name w:val="Normal (Web)"/>
    <w:basedOn w:val="a"/>
    <w:qFormat/>
    <w:pPr>
      <w:widowControl/>
      <w:spacing w:before="100" w:beforeAutospacing="1"/>
      <w:jc w:val="center"/>
    </w:pPr>
    <w:rPr>
      <w:rFonts w:eastAsia="宋体"/>
      <w:snapToGrid/>
      <w:kern w:val="0"/>
      <w:sz w:val="24"/>
      <w:szCs w:val="24"/>
    </w:rPr>
  </w:style>
  <w:style w:type="paragraph" w:styleId="afa">
    <w:name w:val="Title"/>
    <w:basedOn w:val="a"/>
    <w:link w:val="afb"/>
    <w:qFormat/>
    <w:pPr>
      <w:spacing w:line="216" w:lineRule="auto"/>
      <w:jc w:val="center"/>
      <w:outlineLvl w:val="0"/>
    </w:pPr>
    <w:rPr>
      <w:rFonts w:ascii="方正小标宋简体" w:eastAsia="方正小标宋简体" w:hAnsi="Arial" w:cs="Arial"/>
      <w:bCs/>
      <w:kern w:val="44"/>
      <w:sz w:val="44"/>
      <w:szCs w:val="44"/>
    </w:rPr>
  </w:style>
  <w:style w:type="paragraph" w:styleId="afc">
    <w:name w:val="annotation subject"/>
    <w:basedOn w:val="a6"/>
    <w:next w:val="a6"/>
    <w:link w:val="afd"/>
    <w:qFormat/>
    <w:rPr>
      <w:rFonts w:ascii="宋体" w:eastAsia="仿宋_GB2312" w:hAnsi="宋体"/>
      <w:b/>
      <w:bCs/>
      <w:snapToGrid w:val="0"/>
      <w:kern w:val="32"/>
      <w:sz w:val="32"/>
      <w:szCs w:val="32"/>
    </w:rPr>
  </w:style>
  <w:style w:type="table" w:styleId="afe">
    <w:name w:val="Table Grid"/>
    <w:basedOn w:val="a1"/>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
    <w:name w:val="Strong"/>
    <w:basedOn w:val="a0"/>
    <w:qFormat/>
    <w:rPr>
      <w:b/>
      <w:bCs/>
    </w:rPr>
  </w:style>
  <w:style w:type="character" w:styleId="aff0">
    <w:name w:val="page number"/>
    <w:basedOn w:val="a0"/>
    <w:qFormat/>
  </w:style>
  <w:style w:type="character" w:styleId="aff1">
    <w:name w:val="FollowedHyperlink"/>
    <w:basedOn w:val="a0"/>
    <w:qFormat/>
    <w:rPr>
      <w:color w:val="800080"/>
      <w:u w:val="single"/>
    </w:rPr>
  </w:style>
  <w:style w:type="character" w:styleId="aff2">
    <w:name w:val="Hyperlink"/>
    <w:basedOn w:val="a0"/>
    <w:qFormat/>
    <w:rPr>
      <w:color w:val="0000FF"/>
      <w:u w:val="single"/>
    </w:rPr>
  </w:style>
  <w:style w:type="character" w:styleId="aff3">
    <w:name w:val="annotation reference"/>
    <w:basedOn w:val="a0"/>
    <w:qFormat/>
    <w:rPr>
      <w:sz w:val="21"/>
      <w:szCs w:val="21"/>
    </w:rPr>
  </w:style>
  <w:style w:type="character" w:styleId="aff4">
    <w:name w:val="footnote reference"/>
    <w:basedOn w:val="a0"/>
    <w:uiPriority w:val="99"/>
    <w:qFormat/>
    <w:rPr>
      <w:vertAlign w:val="superscript"/>
    </w:rPr>
  </w:style>
  <w:style w:type="paragraph" w:customStyle="1" w:styleId="toc11">
    <w:name w:val="toc 11"/>
    <w:next w:val="a"/>
    <w:qFormat/>
    <w:pPr>
      <w:wordWrap w:val="0"/>
      <w:jc w:val="both"/>
    </w:pPr>
    <w:rPr>
      <w:sz w:val="21"/>
      <w:szCs w:val="22"/>
    </w:rPr>
  </w:style>
  <w:style w:type="paragraph" w:customStyle="1" w:styleId="TOC110">
    <w:name w:val="TOC 11"/>
    <w:next w:val="a"/>
    <w:qFormat/>
    <w:pPr>
      <w:wordWrap w:val="0"/>
      <w:jc w:val="both"/>
    </w:pPr>
    <w:rPr>
      <w:sz w:val="21"/>
      <w:szCs w:val="22"/>
    </w:rPr>
  </w:style>
  <w:style w:type="character" w:customStyle="1" w:styleId="ab">
    <w:name w:val="正文文本缩进 字符"/>
    <w:basedOn w:val="a0"/>
    <w:link w:val="aa"/>
    <w:qFormat/>
    <w:rPr>
      <w:rFonts w:eastAsia="宋体"/>
      <w:kern w:val="2"/>
      <w:sz w:val="28"/>
      <w:lang w:val="en-US" w:eastAsia="zh-CN" w:bidi="ar-SA"/>
    </w:rPr>
  </w:style>
  <w:style w:type="character" w:customStyle="1" w:styleId="ae">
    <w:name w:val="纯文本 字符"/>
    <w:basedOn w:val="a0"/>
    <w:link w:val="ad"/>
    <w:qFormat/>
    <w:rPr>
      <w:rFonts w:ascii="宋体" w:eastAsia="宋体" w:hAnsi="Courier New" w:cs="Courier New"/>
      <w:kern w:val="2"/>
      <w:sz w:val="21"/>
      <w:szCs w:val="21"/>
      <w:lang w:val="en-US" w:eastAsia="zh-CN" w:bidi="ar-SA"/>
    </w:rPr>
  </w:style>
  <w:style w:type="character" w:customStyle="1" w:styleId="af0">
    <w:name w:val="日期 字符"/>
    <w:basedOn w:val="a0"/>
    <w:link w:val="af"/>
    <w:semiHidden/>
    <w:qFormat/>
    <w:locked/>
    <w:rPr>
      <w:rFonts w:ascii="宋体" w:eastAsia="仿宋_GB2312" w:hAnsi="宋体"/>
      <w:snapToGrid w:val="0"/>
      <w:kern w:val="32"/>
      <w:sz w:val="32"/>
      <w:szCs w:val="32"/>
      <w:lang w:val="en-US" w:eastAsia="zh-CN" w:bidi="ar-SA"/>
    </w:rPr>
  </w:style>
  <w:style w:type="character" w:customStyle="1" w:styleId="af3">
    <w:name w:val="页脚 字符"/>
    <w:basedOn w:val="a0"/>
    <w:link w:val="af2"/>
    <w:semiHidden/>
    <w:qFormat/>
    <w:locked/>
    <w:rPr>
      <w:rFonts w:ascii="宋体" w:eastAsia="仿宋_GB2312" w:hAnsi="宋体"/>
      <w:snapToGrid w:val="0"/>
      <w:kern w:val="32"/>
      <w:sz w:val="18"/>
      <w:szCs w:val="18"/>
      <w:lang w:val="en-US" w:eastAsia="zh-CN" w:bidi="ar-SA"/>
    </w:rPr>
  </w:style>
  <w:style w:type="character" w:customStyle="1" w:styleId="af6">
    <w:name w:val="页眉 字符"/>
    <w:basedOn w:val="a0"/>
    <w:link w:val="af5"/>
    <w:semiHidden/>
    <w:qFormat/>
    <w:locked/>
    <w:rPr>
      <w:rFonts w:ascii="宋体" w:eastAsia="仿宋_GB2312" w:hAnsi="宋体"/>
      <w:snapToGrid w:val="0"/>
      <w:kern w:val="32"/>
      <w:sz w:val="18"/>
      <w:szCs w:val="18"/>
      <w:lang w:val="en-US" w:eastAsia="zh-CN" w:bidi="ar-SA"/>
    </w:rPr>
  </w:style>
  <w:style w:type="character" w:customStyle="1" w:styleId="HTML0">
    <w:name w:val="HTML 预设格式 字符"/>
    <w:link w:val="HTML"/>
    <w:qFormat/>
    <w:locked/>
    <w:rPr>
      <w:rFonts w:ascii="宋体" w:eastAsia="宋体" w:hAnsi="宋体"/>
      <w:sz w:val="24"/>
      <w:szCs w:val="24"/>
      <w:lang w:val="en-US" w:eastAsia="zh-CN" w:bidi="ar-SA"/>
    </w:rPr>
  </w:style>
  <w:style w:type="character" w:customStyle="1" w:styleId="afb">
    <w:name w:val="标题 字符"/>
    <w:basedOn w:val="a0"/>
    <w:link w:val="afa"/>
    <w:qFormat/>
    <w:locked/>
    <w:rPr>
      <w:rFonts w:ascii="方正小标宋简体" w:eastAsia="方正小标宋简体" w:hAnsi="Arial" w:cs="Arial"/>
      <w:bCs/>
      <w:snapToGrid w:val="0"/>
      <w:kern w:val="44"/>
      <w:sz w:val="44"/>
      <w:szCs w:val="44"/>
      <w:lang w:val="en-US" w:eastAsia="zh-CN" w:bidi="ar-SA"/>
    </w:rPr>
  </w:style>
  <w:style w:type="character" w:customStyle="1" w:styleId="heise12c">
    <w:name w:val="heise_12c"/>
    <w:basedOn w:val="a0"/>
    <w:qFormat/>
  </w:style>
  <w:style w:type="character" w:customStyle="1" w:styleId="content1">
    <w:name w:val="content1"/>
    <w:basedOn w:val="a0"/>
    <w:qFormat/>
    <w:rPr>
      <w:sz w:val="21"/>
      <w:szCs w:val="21"/>
    </w:rPr>
  </w:style>
  <w:style w:type="character" w:customStyle="1" w:styleId="PlainTextChar">
    <w:name w:val="Plain Text Char"/>
    <w:basedOn w:val="a0"/>
    <w:qFormat/>
    <w:rPr>
      <w:rFonts w:ascii="宋体" w:eastAsia="宋体" w:hAnsi="Courier New" w:cs="Courier New"/>
      <w:sz w:val="21"/>
      <w:szCs w:val="21"/>
    </w:rPr>
  </w:style>
  <w:style w:type="character" w:customStyle="1" w:styleId="apple-style-span">
    <w:name w:val="apple-style-span"/>
    <w:basedOn w:val="a0"/>
    <w:qFormat/>
  </w:style>
  <w:style w:type="character" w:customStyle="1" w:styleId="oalinshistyle21">
    <w:name w:val="oalinshistyle21"/>
    <w:basedOn w:val="a0"/>
    <w:qFormat/>
    <w:rPr>
      <w:rFonts w:ascii="Arial" w:hAnsi="Arial" w:cs="Arial" w:hint="default"/>
      <w:sz w:val="27"/>
      <w:szCs w:val="27"/>
    </w:rPr>
  </w:style>
  <w:style w:type="character" w:customStyle="1" w:styleId="bz12">
    <w:name w:val="bz_12"/>
    <w:basedOn w:val="a0"/>
    <w:qFormat/>
  </w:style>
  <w:style w:type="character" w:customStyle="1" w:styleId="font1">
    <w:name w:val="font1"/>
    <w:basedOn w:val="a0"/>
    <w:qFormat/>
    <w:rPr>
      <w:sz w:val="18"/>
      <w:szCs w:val="18"/>
    </w:rPr>
  </w:style>
  <w:style w:type="character" w:customStyle="1" w:styleId="1CharChar">
    <w:name w:val="样式1 Char Char"/>
    <w:basedOn w:val="a0"/>
    <w:link w:val="10"/>
    <w:qFormat/>
    <w:rPr>
      <w:rFonts w:ascii="方正小标宋简体" w:eastAsia="方正小标宋简体" w:hAnsi="Calibri"/>
      <w:kern w:val="2"/>
      <w:sz w:val="44"/>
      <w:szCs w:val="44"/>
      <w:lang w:val="en-US" w:eastAsia="zh-CN" w:bidi="ar-SA"/>
    </w:rPr>
  </w:style>
  <w:style w:type="paragraph" w:customStyle="1" w:styleId="10">
    <w:name w:val="样式1"/>
    <w:basedOn w:val="a"/>
    <w:link w:val="1CharChar"/>
    <w:qFormat/>
    <w:pPr>
      <w:jc w:val="center"/>
    </w:pPr>
    <w:rPr>
      <w:rFonts w:ascii="方正小标宋简体" w:eastAsia="方正小标宋简体" w:hAnsi="Calibri"/>
      <w:kern w:val="2"/>
      <w:sz w:val="44"/>
      <w:szCs w:val="44"/>
    </w:rPr>
  </w:style>
  <w:style w:type="paragraph" w:customStyle="1" w:styleId="ListParagraph1">
    <w:name w:val="List Paragraph1"/>
    <w:basedOn w:val="a"/>
    <w:qFormat/>
    <w:pPr>
      <w:ind w:firstLineChars="200" w:firstLine="420"/>
    </w:pPr>
    <w:rPr>
      <w:rFonts w:ascii="Calibri" w:eastAsia="宋体" w:hAnsi="Calibri" w:cs="Calibri"/>
      <w:snapToGrid/>
      <w:kern w:val="2"/>
      <w:sz w:val="21"/>
      <w:szCs w:val="21"/>
    </w:rPr>
  </w:style>
  <w:style w:type="paragraph" w:customStyle="1" w:styleId="Char1CharCharChar">
    <w:name w:val="Char1 Char Char Char"/>
    <w:basedOn w:val="a"/>
    <w:qFormat/>
  </w:style>
  <w:style w:type="paragraph" w:customStyle="1" w:styleId="11">
    <w:name w:val="无间隔1"/>
    <w:qFormat/>
    <w:pPr>
      <w:widowControl w:val="0"/>
      <w:jc w:val="both"/>
    </w:pPr>
    <w:rPr>
      <w:rFonts w:ascii="Calibri" w:hAnsi="Calibri"/>
      <w:kern w:val="2"/>
      <w:sz w:val="21"/>
      <w:szCs w:val="22"/>
    </w:rPr>
  </w:style>
  <w:style w:type="paragraph" w:customStyle="1" w:styleId="Char1CharCharChar1">
    <w:name w:val="Char1 Char Char Char1"/>
    <w:basedOn w:val="a"/>
    <w:qFormat/>
    <w:rPr>
      <w:rFonts w:ascii="Tahoma" w:eastAsia="宋体" w:hAnsi="Tahoma"/>
      <w:snapToGrid/>
      <w:kern w:val="2"/>
      <w:sz w:val="24"/>
      <w:szCs w:val="20"/>
    </w:rPr>
  </w:style>
  <w:style w:type="paragraph" w:customStyle="1" w:styleId="CharCharCharCharCharCharChar">
    <w:name w:val="样式 正文缩进正文（首行缩进两字）正文（首行缩进两字） Char Char Char Char Char Char Char..."/>
    <w:basedOn w:val="a3"/>
    <w:qFormat/>
    <w:pPr>
      <w:spacing w:line="312" w:lineRule="auto"/>
      <w:ind w:firstLineChars="0" w:firstLine="539"/>
    </w:pPr>
    <w:rPr>
      <w:rFonts w:ascii="Times New Roman" w:eastAsia="宋体" w:hAnsi="Times New Roman" w:cs="宋体"/>
      <w:snapToGrid/>
      <w:kern w:val="2"/>
      <w:sz w:val="28"/>
      <w:szCs w:val="20"/>
    </w:rPr>
  </w:style>
  <w:style w:type="paragraph" w:customStyle="1" w:styleId="CharCharCharCharCharCharCharCharCharCharCharCharCharCharCharCharCharCharCharCharCharCharCharCharCharCharCharCharCharCharCharCharChar">
    <w:name w:val="Char Char Char Char Char Char Char Char Char Char Char Char Char Char Char Char Char Char Char Char Char Char Char Char Char Char Char Char Char Char Char Char Char"/>
    <w:basedOn w:val="a"/>
    <w:qFormat/>
    <w:pPr>
      <w:widowControl/>
      <w:spacing w:after="160" w:line="240" w:lineRule="exact"/>
      <w:jc w:val="left"/>
    </w:pPr>
    <w:rPr>
      <w:rFonts w:ascii="Verdana" w:hAnsi="Verdana"/>
      <w:snapToGrid/>
      <w:kern w:val="0"/>
      <w:sz w:val="24"/>
      <w:szCs w:val="20"/>
      <w:lang w:eastAsia="en-US"/>
    </w:rPr>
  </w:style>
  <w:style w:type="paragraph" w:customStyle="1" w:styleId="CharCharCharCharCharCharCharCharCharCharCharChar1CharCharCharChar">
    <w:name w:val="Char Char Char Char Char Char Char Char Char Char Char Char1 Char Char Char Char"/>
    <w:basedOn w:val="a"/>
    <w:qFormat/>
    <w:pPr>
      <w:tabs>
        <w:tab w:val="left" w:pos="432"/>
      </w:tabs>
      <w:spacing w:line="400" w:lineRule="exact"/>
      <w:ind w:left="432" w:hanging="432"/>
    </w:pPr>
    <w:rPr>
      <w:rFonts w:ascii="Times New Roman" w:eastAsia="宋体" w:hAnsi="Times New Roman"/>
      <w:snapToGrid/>
      <w:kern w:val="2"/>
      <w:sz w:val="21"/>
      <w:szCs w:val="20"/>
    </w:rPr>
  </w:style>
  <w:style w:type="paragraph" w:customStyle="1" w:styleId="aff5">
    <w:name w:val="规划正文"/>
    <w:basedOn w:val="a"/>
    <w:qFormat/>
    <w:pPr>
      <w:spacing w:afterLines="50" w:after="156" w:line="480" w:lineRule="exact"/>
      <w:ind w:firstLineChars="200" w:firstLine="200"/>
    </w:pPr>
    <w:rPr>
      <w:rFonts w:ascii="仿宋_GB2312" w:hAnsi="Times New Roman"/>
      <w:snapToGrid/>
      <w:kern w:val="2"/>
      <w:sz w:val="30"/>
      <w:szCs w:val="30"/>
    </w:rPr>
  </w:style>
  <w:style w:type="paragraph" w:customStyle="1" w:styleId="113125">
    <w:name w:val="样式 三号 首行缩进:  1.13 厘米 行距: 多倍行距 1.25 字行"/>
    <w:basedOn w:val="a"/>
    <w:qFormat/>
    <w:pPr>
      <w:adjustRightInd w:val="0"/>
      <w:snapToGrid w:val="0"/>
      <w:spacing w:line="360" w:lineRule="auto"/>
      <w:ind w:firstLineChars="200" w:firstLine="200"/>
    </w:pPr>
    <w:rPr>
      <w:rFonts w:ascii="Times New Roman" w:hAnsi="Times New Roman"/>
      <w:snapToGrid/>
      <w:kern w:val="2"/>
    </w:rPr>
  </w:style>
  <w:style w:type="paragraph" w:customStyle="1" w:styleId="CharChar2Char">
    <w:name w:val="Char Char2 Char"/>
    <w:basedOn w:val="a"/>
    <w:qFormat/>
    <w:rPr>
      <w:rFonts w:eastAsia="宋体" w:cs="Courier New"/>
      <w:snapToGrid/>
      <w:kern w:val="2"/>
    </w:rPr>
  </w:style>
  <w:style w:type="paragraph" w:customStyle="1" w:styleId="aff6">
    <w:name w:val="封面副标题"/>
    <w:qFormat/>
    <w:pPr>
      <w:adjustRightInd w:val="0"/>
      <w:snapToGrid w:val="0"/>
      <w:spacing w:beforeLines="50" w:before="156" w:line="360" w:lineRule="auto"/>
      <w:jc w:val="center"/>
    </w:pPr>
    <w:rPr>
      <w:rFonts w:eastAsia="黑体"/>
      <w:b/>
      <w:snapToGrid w:val="0"/>
      <w:spacing w:val="20"/>
      <w:sz w:val="52"/>
    </w:rPr>
  </w:style>
  <w:style w:type="paragraph" w:customStyle="1" w:styleId="ddddd">
    <w:name w:val="ddddd"/>
    <w:basedOn w:val="a"/>
    <w:qFormat/>
    <w:pPr>
      <w:pageBreakBefore/>
    </w:pPr>
    <w:rPr>
      <w:rFonts w:ascii="Times New Roman" w:eastAsia="宋体" w:hAnsi="Times New Roman"/>
      <w:snapToGrid/>
      <w:kern w:val="2"/>
      <w:sz w:val="21"/>
      <w:szCs w:val="20"/>
    </w:rPr>
  </w:style>
  <w:style w:type="paragraph" w:customStyle="1" w:styleId="ParaCharCharCharCharCharCharChar">
    <w:name w:val="默认段落字体 Para Char Char Char Char Char Char Char"/>
    <w:basedOn w:val="a5"/>
    <w:qFormat/>
    <w:pPr>
      <w:adjustRightInd w:val="0"/>
      <w:spacing w:line="436" w:lineRule="exact"/>
      <w:ind w:left="357"/>
      <w:jc w:val="left"/>
      <w:outlineLvl w:val="3"/>
    </w:pPr>
    <w:rPr>
      <w:rFonts w:ascii="Tahoma" w:eastAsia="宋体" w:hAnsi="Tahoma"/>
      <w:b/>
      <w:snapToGrid/>
      <w:kern w:val="2"/>
      <w:sz w:val="24"/>
      <w:szCs w:val="24"/>
    </w:rPr>
  </w:style>
  <w:style w:type="paragraph" w:customStyle="1" w:styleId="aff7">
    <w:name w:val="封面标准名称"/>
    <w:qFormat/>
    <w:pPr>
      <w:widowControl w:val="0"/>
      <w:spacing w:line="680" w:lineRule="exact"/>
      <w:jc w:val="center"/>
      <w:textAlignment w:val="center"/>
    </w:pPr>
    <w:rPr>
      <w:rFonts w:ascii="黑体" w:eastAsia="黑体"/>
      <w:sz w:val="52"/>
    </w:rPr>
  </w:style>
  <w:style w:type="paragraph" w:customStyle="1" w:styleId="CharChar1">
    <w:name w:val="Char Char1"/>
    <w:basedOn w:val="a5"/>
    <w:qFormat/>
    <w:rPr>
      <w:rFonts w:ascii="Tahoma" w:eastAsia="宋体" w:hAnsi="Tahoma"/>
      <w:snapToGrid/>
      <w:kern w:val="2"/>
      <w:sz w:val="24"/>
      <w:szCs w:val="24"/>
    </w:rPr>
  </w:style>
  <w:style w:type="paragraph" w:customStyle="1" w:styleId="CharCharCharChar">
    <w:name w:val="Char Char Char Char"/>
    <w:basedOn w:val="a"/>
    <w:qFormat/>
    <w:rPr>
      <w:rFonts w:ascii="Times New Roman" w:eastAsia="宋体" w:hAnsi="Times New Roman"/>
      <w:snapToGrid/>
      <w:kern w:val="2"/>
      <w:sz w:val="21"/>
      <w:szCs w:val="24"/>
    </w:rPr>
  </w:style>
  <w:style w:type="paragraph" w:customStyle="1" w:styleId="aff8">
    <w:name w:val="首信标准正文"/>
    <w:basedOn w:val="a"/>
    <w:qFormat/>
    <w:pPr>
      <w:spacing w:line="360" w:lineRule="auto"/>
    </w:pPr>
    <w:rPr>
      <w:rFonts w:ascii="Tahoma" w:eastAsia="宋体" w:hAnsi="Tahoma"/>
      <w:snapToGrid/>
      <w:kern w:val="2"/>
      <w:sz w:val="24"/>
      <w:szCs w:val="20"/>
    </w:rPr>
  </w:style>
  <w:style w:type="paragraph" w:customStyle="1" w:styleId="ParaCharCharChar2CharCharCharCharCharCharCharCharCharChar">
    <w:name w:val="默认段落字体 Para Char Char Char2 Char Char Char Char Char Char Char Char Char Char"/>
    <w:basedOn w:val="a"/>
    <w:qFormat/>
    <w:rPr>
      <w:rFonts w:eastAsia="宋体" w:cs="Courier New"/>
      <w:snapToGrid/>
      <w:kern w:val="2"/>
    </w:rPr>
  </w:style>
  <w:style w:type="paragraph" w:customStyle="1" w:styleId="Char">
    <w:name w:val="Char"/>
    <w:basedOn w:val="a"/>
    <w:qFormat/>
    <w:pPr>
      <w:widowControl/>
      <w:spacing w:after="160" w:line="240" w:lineRule="exact"/>
      <w:jc w:val="left"/>
    </w:pPr>
    <w:rPr>
      <w:rFonts w:ascii="Verdana" w:hAnsi="Verdana"/>
      <w:snapToGrid/>
      <w:kern w:val="0"/>
      <w:sz w:val="24"/>
      <w:szCs w:val="20"/>
      <w:lang w:eastAsia="en-US"/>
    </w:rPr>
  </w:style>
  <w:style w:type="paragraph" w:customStyle="1" w:styleId="CharCharCharCharCharCharCharCharCharChar">
    <w:name w:val="Char Char Char Char Char Char Char Char Char Char"/>
    <w:basedOn w:val="a"/>
    <w:qFormat/>
    <w:rPr>
      <w:rFonts w:ascii="Tahoma" w:eastAsia="宋体" w:hAnsi="Tahoma"/>
      <w:snapToGrid/>
      <w:kern w:val="2"/>
      <w:sz w:val="24"/>
      <w:szCs w:val="20"/>
    </w:rPr>
  </w:style>
  <w:style w:type="paragraph" w:customStyle="1" w:styleId="cjk">
    <w:name w:val="cjk"/>
    <w:basedOn w:val="a"/>
    <w:qFormat/>
    <w:pPr>
      <w:widowControl/>
      <w:spacing w:before="100" w:beforeAutospacing="1"/>
      <w:jc w:val="center"/>
    </w:pPr>
    <w:rPr>
      <w:rFonts w:eastAsia="宋体"/>
      <w:b/>
      <w:bCs/>
      <w:snapToGrid/>
      <w:kern w:val="0"/>
    </w:rPr>
  </w:style>
  <w:style w:type="paragraph" w:customStyle="1" w:styleId="CharCharCharChar1">
    <w:name w:val="Char Char Char Char1"/>
    <w:basedOn w:val="a"/>
    <w:qFormat/>
    <w:pPr>
      <w:adjustRightInd w:val="0"/>
      <w:spacing w:line="360" w:lineRule="auto"/>
    </w:pPr>
    <w:rPr>
      <w:rFonts w:ascii="Times New Roman" w:eastAsia="宋体" w:hAnsi="Times New Roman"/>
      <w:snapToGrid/>
      <w:kern w:val="0"/>
      <w:sz w:val="24"/>
      <w:szCs w:val="20"/>
    </w:rPr>
  </w:style>
  <w:style w:type="paragraph" w:customStyle="1" w:styleId="12">
    <w:name w:val="列表段落1"/>
    <w:basedOn w:val="a"/>
    <w:qFormat/>
    <w:pPr>
      <w:ind w:firstLineChars="200" w:firstLine="420"/>
    </w:pPr>
    <w:rPr>
      <w:rFonts w:ascii="Calibri" w:eastAsia="宋体" w:hAnsi="Calibri"/>
      <w:snapToGrid/>
      <w:kern w:val="2"/>
      <w:sz w:val="21"/>
      <w:szCs w:val="22"/>
    </w:rPr>
  </w:style>
  <w:style w:type="paragraph" w:customStyle="1" w:styleId="aff9">
    <w:name w:val="正文（基准，首行不缩进）"/>
    <w:qFormat/>
    <w:pPr>
      <w:widowControl w:val="0"/>
      <w:autoSpaceDE w:val="0"/>
      <w:autoSpaceDN w:val="0"/>
      <w:adjustRightInd w:val="0"/>
      <w:jc w:val="both"/>
    </w:pPr>
    <w:rPr>
      <w:sz w:val="21"/>
    </w:rPr>
  </w:style>
  <w:style w:type="paragraph" w:customStyle="1" w:styleId="WW-2">
    <w:name w:val="WW-正文文字缩进 2"/>
    <w:basedOn w:val="a"/>
    <w:qFormat/>
    <w:pPr>
      <w:suppressAutoHyphens/>
      <w:spacing w:line="276" w:lineRule="auto"/>
      <w:ind w:firstLine="630"/>
    </w:pPr>
    <w:rPr>
      <w:rFonts w:ascii="楷体_GB2312" w:eastAsia="宋体" w:hAnsi="楷体_GB2312"/>
      <w:snapToGrid/>
      <w:kern w:val="1"/>
      <w:szCs w:val="20"/>
    </w:rPr>
  </w:style>
  <w:style w:type="paragraph" w:customStyle="1" w:styleId="Char11">
    <w:name w:val="Char11"/>
    <w:basedOn w:val="a"/>
    <w:qFormat/>
    <w:rPr>
      <w:rFonts w:eastAsia="宋体" w:cs="Courier New"/>
      <w:snapToGrid/>
      <w:kern w:val="2"/>
    </w:rPr>
  </w:style>
  <w:style w:type="paragraph" w:customStyle="1" w:styleId="CharCharCharCharCharChar">
    <w:name w:val="Char Char Char Char Char Char"/>
    <w:basedOn w:val="a"/>
    <w:qFormat/>
    <w:pPr>
      <w:widowControl/>
      <w:spacing w:after="160" w:line="240" w:lineRule="exact"/>
      <w:jc w:val="left"/>
    </w:pPr>
    <w:rPr>
      <w:rFonts w:ascii="Arial" w:eastAsia="Times New Roman" w:hAnsi="Arial" w:cs="Verdana"/>
      <w:b/>
      <w:snapToGrid/>
      <w:kern w:val="0"/>
      <w:sz w:val="24"/>
      <w:szCs w:val="20"/>
      <w:lang w:eastAsia="en-US"/>
    </w:rPr>
  </w:style>
  <w:style w:type="paragraph" w:customStyle="1" w:styleId="CharCharCharCharCharCharCharCharCharCharCharCharChar">
    <w:name w:val="Char Char Char Char Char Char Char Char Char Char Char Char Char"/>
    <w:basedOn w:val="a"/>
    <w:qFormat/>
    <w:rPr>
      <w:rFonts w:ascii="Tahoma" w:eastAsia="宋体" w:hAnsi="Tahoma"/>
      <w:snapToGrid/>
      <w:kern w:val="2"/>
      <w:sz w:val="24"/>
      <w:szCs w:val="20"/>
    </w:rPr>
  </w:style>
  <w:style w:type="paragraph" w:customStyle="1" w:styleId="Char2CharCharCharCharCharChar">
    <w:name w:val="Char2 Char Char Char Char Char Char"/>
    <w:basedOn w:val="a"/>
    <w:qFormat/>
    <w:pPr>
      <w:snapToGrid w:val="0"/>
      <w:spacing w:line="360" w:lineRule="auto"/>
      <w:ind w:firstLineChars="200" w:firstLine="200"/>
    </w:pPr>
    <w:rPr>
      <w:rFonts w:ascii="Times New Roman" w:hAnsi="Times New Roman"/>
      <w:snapToGrid/>
      <w:kern w:val="2"/>
      <w:sz w:val="24"/>
      <w:szCs w:val="24"/>
    </w:rPr>
  </w:style>
  <w:style w:type="paragraph" w:customStyle="1" w:styleId="CharCharCharCharCharCharChar0">
    <w:name w:val="Char Char Char Char Char Char Char"/>
    <w:basedOn w:val="a"/>
    <w:qFormat/>
    <w:rPr>
      <w:rFonts w:eastAsia="宋体" w:cs="Courier New"/>
      <w:snapToGrid/>
      <w:kern w:val="2"/>
    </w:rPr>
  </w:style>
  <w:style w:type="paragraph" w:customStyle="1" w:styleId="CharCharCharCharCharCharCharCharCharCharCharCharCharCharCharChar">
    <w:name w:val="Char Char Char Char Char Char Char Char Char Char Char Char Char Char Char Char"/>
    <w:basedOn w:val="a"/>
    <w:qFormat/>
    <w:pPr>
      <w:jc w:val="center"/>
    </w:pPr>
    <w:rPr>
      <w:rFonts w:ascii="Tahoma" w:eastAsia="宋体" w:hAnsi="Tahoma"/>
      <w:snapToGrid/>
      <w:kern w:val="2"/>
      <w:sz w:val="24"/>
      <w:szCs w:val="20"/>
    </w:rPr>
  </w:style>
  <w:style w:type="paragraph" w:customStyle="1" w:styleId="Char1">
    <w:name w:val="Char1"/>
    <w:basedOn w:val="a"/>
    <w:qFormat/>
    <w:rPr>
      <w:rFonts w:ascii="Tahoma" w:eastAsia="宋体" w:hAnsi="Tahoma"/>
      <w:snapToGrid/>
      <w:kern w:val="2"/>
      <w:sz w:val="24"/>
      <w:szCs w:val="20"/>
    </w:rPr>
  </w:style>
  <w:style w:type="paragraph" w:customStyle="1" w:styleId="ParaCharCharCharChar">
    <w:name w:val="默认段落字体 Para Char Char Char Char"/>
    <w:basedOn w:val="a"/>
    <w:qFormat/>
    <w:rPr>
      <w:rFonts w:ascii="Times New Roman" w:eastAsia="宋体" w:hAnsi="Times New Roman"/>
      <w:snapToGrid/>
      <w:kern w:val="2"/>
      <w:sz w:val="21"/>
      <w:szCs w:val="24"/>
    </w:rPr>
  </w:style>
  <w:style w:type="paragraph" w:customStyle="1" w:styleId="msolistparagraph0">
    <w:name w:val="msolistparagraph"/>
    <w:basedOn w:val="a"/>
    <w:qFormat/>
    <w:pPr>
      <w:widowControl/>
      <w:spacing w:before="100" w:beforeAutospacing="1" w:after="100" w:afterAutospacing="1"/>
      <w:jc w:val="left"/>
    </w:pPr>
    <w:rPr>
      <w:rFonts w:eastAsia="宋体" w:cs="宋体"/>
      <w:snapToGrid/>
      <w:kern w:val="0"/>
      <w:sz w:val="24"/>
      <w:szCs w:val="24"/>
    </w:rPr>
  </w:style>
  <w:style w:type="character" w:customStyle="1" w:styleId="content">
    <w:name w:val="content"/>
    <w:basedOn w:val="a0"/>
    <w:qFormat/>
  </w:style>
  <w:style w:type="paragraph" w:customStyle="1" w:styleId="affa">
    <w:name w:val="主题词"/>
    <w:basedOn w:val="a"/>
    <w:qFormat/>
    <w:pPr>
      <w:jc w:val="left"/>
    </w:pPr>
    <w:rPr>
      <w:rFonts w:ascii="Times New Roman" w:eastAsia="宋体" w:hAnsi="Times New Roman"/>
      <w:snapToGrid/>
      <w:kern w:val="2"/>
      <w:szCs w:val="20"/>
    </w:rPr>
  </w:style>
  <w:style w:type="paragraph" w:customStyle="1" w:styleId="affb">
    <w:name w:val="我的正文"/>
    <w:basedOn w:val="a"/>
    <w:qFormat/>
    <w:pPr>
      <w:ind w:firstLineChars="200" w:firstLine="200"/>
    </w:pPr>
    <w:rPr>
      <w:rFonts w:ascii="Calibri" w:eastAsia="宋体" w:hAnsi="Calibri"/>
      <w:snapToGrid/>
      <w:kern w:val="2"/>
      <w:sz w:val="24"/>
      <w:szCs w:val="22"/>
    </w:rPr>
  </w:style>
  <w:style w:type="paragraph" w:customStyle="1" w:styleId="Default">
    <w:name w:val="Default"/>
    <w:qFormat/>
    <w:pPr>
      <w:widowControl w:val="0"/>
      <w:autoSpaceDE w:val="0"/>
      <w:autoSpaceDN w:val="0"/>
      <w:adjustRightInd w:val="0"/>
    </w:pPr>
    <w:rPr>
      <w:rFonts w:ascii="仿宋_GB2312" w:eastAsia="仿宋_GB2312" w:hAnsi="Calibri" w:cs="仿宋_GB2312"/>
      <w:color w:val="000000"/>
      <w:sz w:val="24"/>
      <w:szCs w:val="24"/>
    </w:rPr>
  </w:style>
  <w:style w:type="paragraph" w:customStyle="1" w:styleId="msonormalcxspmiddle">
    <w:name w:val="msonormalcxspmiddle"/>
    <w:basedOn w:val="a"/>
    <w:qFormat/>
    <w:pPr>
      <w:widowControl/>
      <w:spacing w:before="100" w:beforeAutospacing="1" w:after="100" w:afterAutospacing="1"/>
      <w:jc w:val="left"/>
    </w:pPr>
    <w:rPr>
      <w:rFonts w:eastAsia="宋体" w:cs="宋体"/>
      <w:snapToGrid/>
      <w:kern w:val="0"/>
      <w:sz w:val="24"/>
      <w:szCs w:val="24"/>
    </w:rPr>
  </w:style>
  <w:style w:type="paragraph" w:customStyle="1" w:styleId="BECC">
    <w:name w:val="!BECC正文"/>
    <w:basedOn w:val="a"/>
    <w:link w:val="BECCChar"/>
    <w:qFormat/>
    <w:pPr>
      <w:tabs>
        <w:tab w:val="left" w:pos="0"/>
      </w:tabs>
      <w:spacing w:beforeLines="50" w:afterLines="50" w:line="360" w:lineRule="auto"/>
      <w:ind w:firstLineChars="200" w:firstLine="480"/>
      <w:contextualSpacing/>
    </w:pPr>
    <w:rPr>
      <w:rFonts w:ascii="Times New Roman" w:eastAsia="宋体" w:hAnsi="Times New Roman"/>
      <w:snapToGrid/>
      <w:kern w:val="0"/>
      <w:sz w:val="24"/>
      <w:szCs w:val="24"/>
    </w:rPr>
  </w:style>
  <w:style w:type="character" w:customStyle="1" w:styleId="BECCChar">
    <w:name w:val="!BECC正文 Char"/>
    <w:link w:val="BECC"/>
    <w:qFormat/>
    <w:rPr>
      <w:rFonts w:eastAsia="宋体"/>
      <w:sz w:val="24"/>
      <w:szCs w:val="24"/>
      <w:lang w:bidi="ar-SA"/>
    </w:rPr>
  </w:style>
  <w:style w:type="paragraph" w:customStyle="1" w:styleId="WW-">
    <w:name w:val="WW-日期"/>
    <w:basedOn w:val="a"/>
    <w:next w:val="a"/>
    <w:qFormat/>
    <w:pPr>
      <w:suppressAutoHyphens/>
    </w:pPr>
    <w:rPr>
      <w:rFonts w:ascii="仿宋_GB2312" w:hAnsi="仿宋_GB2312"/>
      <w:snapToGrid/>
      <w:kern w:val="1"/>
      <w:szCs w:val="24"/>
    </w:rPr>
  </w:style>
  <w:style w:type="paragraph" w:customStyle="1" w:styleId="New">
    <w:name w:val="正文 New"/>
    <w:qFormat/>
    <w:pPr>
      <w:widowControl w:val="0"/>
      <w:jc w:val="both"/>
    </w:pPr>
    <w:rPr>
      <w:rFonts w:eastAsia="楷体_GB2312"/>
      <w:kern w:val="2"/>
      <w:sz w:val="32"/>
    </w:rPr>
  </w:style>
  <w:style w:type="paragraph" w:customStyle="1" w:styleId="NewNewNewNewNewNewNewNewNewNewNewNewNewNewNewNewNewNewNewNewNewNewNewNewNew">
    <w:name w:val="正文 New New New New New New New New New New New New New New New New New New New New New New New New New"/>
    <w:qFormat/>
    <w:pPr>
      <w:widowControl w:val="0"/>
      <w:jc w:val="both"/>
    </w:pPr>
    <w:rPr>
      <w:rFonts w:ascii="Calibri" w:hAnsi="Calibri" w:cs="黑体"/>
      <w:kern w:val="2"/>
      <w:sz w:val="21"/>
      <w:szCs w:val="22"/>
    </w:rPr>
  </w:style>
  <w:style w:type="paragraph" w:customStyle="1" w:styleId="NewNewNewNewNewNewNewNewNewNewNewNewNewNewNewNewNewNewNewNewNewNewNewNewNewNew">
    <w:name w:val="正文 New New New New New New New New New New New New New New New New New New New New New New New New New New"/>
    <w:qFormat/>
    <w:pPr>
      <w:widowControl w:val="0"/>
      <w:snapToGrid w:val="0"/>
      <w:jc w:val="both"/>
    </w:pPr>
    <w:rPr>
      <w:rFonts w:ascii="宋体" w:eastAsia="仿宋_GB2312" w:hAnsi="宋体"/>
      <w:kern w:val="32"/>
      <w:sz w:val="32"/>
      <w:szCs w:val="32"/>
    </w:rPr>
  </w:style>
  <w:style w:type="paragraph" w:customStyle="1" w:styleId="NewNewNew">
    <w:name w:val="正文 New New New"/>
    <w:qFormat/>
    <w:pPr>
      <w:widowControl w:val="0"/>
      <w:jc w:val="both"/>
    </w:pPr>
    <w:rPr>
      <w:rFonts w:ascii="宋体" w:eastAsia="楷体_GB2312" w:hAnsi="宋体"/>
      <w:kern w:val="2"/>
      <w:sz w:val="32"/>
    </w:rPr>
  </w:style>
  <w:style w:type="character" w:customStyle="1" w:styleId="1CharNew">
    <w:name w:val="标题 1 Char New"/>
    <w:basedOn w:val="a0"/>
    <w:link w:val="110"/>
    <w:qFormat/>
    <w:locked/>
    <w:rPr>
      <w:rFonts w:ascii="宋体" w:hAnsi="宋体"/>
      <w:b/>
      <w:kern w:val="36"/>
      <w:sz w:val="48"/>
      <w:lang w:bidi="ar-SA"/>
    </w:rPr>
  </w:style>
  <w:style w:type="paragraph" w:customStyle="1" w:styleId="110">
    <w:name w:val="标题 11"/>
    <w:basedOn w:val="a"/>
    <w:link w:val="1CharNew"/>
    <w:qFormat/>
    <w:pPr>
      <w:spacing w:before="100" w:beforeAutospacing="1" w:after="100" w:afterAutospacing="1" w:line="336" w:lineRule="auto"/>
      <w:outlineLvl w:val="0"/>
    </w:pPr>
    <w:rPr>
      <w:rFonts w:eastAsia="Times New Roman"/>
      <w:b/>
      <w:snapToGrid/>
      <w:kern w:val="36"/>
      <w:sz w:val="48"/>
      <w:szCs w:val="20"/>
    </w:rPr>
  </w:style>
  <w:style w:type="character" w:customStyle="1" w:styleId="Char0">
    <w:name w:val="段 Char"/>
    <w:link w:val="affc"/>
    <w:qFormat/>
    <w:rPr>
      <w:rFonts w:ascii="宋体" w:eastAsia="Times New Roman"/>
      <w:sz w:val="21"/>
      <w:lang w:val="en-US" w:eastAsia="zh-CN" w:bidi="ar-SA"/>
    </w:rPr>
  </w:style>
  <w:style w:type="paragraph" w:customStyle="1" w:styleId="affc">
    <w:name w:val="段"/>
    <w:link w:val="Char0"/>
    <w:qFormat/>
    <w:pPr>
      <w:tabs>
        <w:tab w:val="center" w:pos="4201"/>
        <w:tab w:val="right" w:leader="dot" w:pos="9298"/>
      </w:tabs>
      <w:autoSpaceDE w:val="0"/>
      <w:autoSpaceDN w:val="0"/>
      <w:ind w:firstLineChars="200" w:firstLine="420"/>
      <w:jc w:val="both"/>
    </w:pPr>
    <w:rPr>
      <w:rFonts w:ascii="宋体" w:eastAsia="Times New Roman"/>
      <w:sz w:val="21"/>
    </w:rPr>
  </w:style>
  <w:style w:type="paragraph" w:customStyle="1" w:styleId="CharCharCharCharCharCharChar1">
    <w:name w:val="Char Char Char Char Char Char Char1"/>
    <w:basedOn w:val="a"/>
    <w:qFormat/>
    <w:rPr>
      <w:rFonts w:ascii="Tahoma" w:eastAsia="宋体" w:hAnsi="Tahoma"/>
      <w:snapToGrid/>
      <w:kern w:val="2"/>
      <w:sz w:val="24"/>
      <w:szCs w:val="20"/>
    </w:rPr>
  </w:style>
  <w:style w:type="paragraph" w:customStyle="1" w:styleId="13">
    <w:name w:val="列出段落1"/>
    <w:basedOn w:val="a"/>
    <w:uiPriority w:val="34"/>
    <w:qFormat/>
    <w:pPr>
      <w:ind w:firstLineChars="200" w:firstLine="420"/>
    </w:pPr>
    <w:rPr>
      <w:rFonts w:ascii="Calibri" w:eastAsia="宋体" w:hAnsi="Calibri"/>
      <w:snapToGrid/>
      <w:kern w:val="2"/>
      <w:sz w:val="21"/>
      <w:szCs w:val="22"/>
    </w:rPr>
  </w:style>
  <w:style w:type="paragraph" w:customStyle="1" w:styleId="14">
    <w:name w:val="修订1"/>
    <w:hidden/>
    <w:uiPriority w:val="99"/>
    <w:semiHidden/>
    <w:qFormat/>
    <w:rPr>
      <w:rFonts w:ascii="宋体" w:eastAsia="仿宋_GB2312" w:hAnsi="宋体"/>
      <w:snapToGrid w:val="0"/>
      <w:kern w:val="32"/>
      <w:sz w:val="32"/>
      <w:szCs w:val="32"/>
    </w:rPr>
  </w:style>
  <w:style w:type="paragraph" w:customStyle="1" w:styleId="Style5">
    <w:name w:val="_Style 5"/>
    <w:basedOn w:val="a"/>
    <w:qFormat/>
    <w:pPr>
      <w:ind w:firstLineChars="200" w:firstLine="420"/>
    </w:pPr>
    <w:rPr>
      <w:rFonts w:ascii="Calibri" w:eastAsia="宋体" w:hAnsi="Calibri" w:cs="Calibri"/>
      <w:snapToGrid/>
      <w:kern w:val="2"/>
      <w:sz w:val="21"/>
      <w:szCs w:val="21"/>
    </w:rPr>
  </w:style>
  <w:style w:type="character" w:customStyle="1" w:styleId="15">
    <w:name w:val="15"/>
    <w:basedOn w:val="a0"/>
    <w:qFormat/>
    <w:rPr>
      <w:rFonts w:ascii="Times New Roman" w:hAnsi="Times New Roman" w:cs="Times New Roman" w:hint="default"/>
    </w:rPr>
  </w:style>
  <w:style w:type="character" w:customStyle="1" w:styleId="NormalCharacter">
    <w:name w:val="NormalCharacter"/>
    <w:link w:val="UserStyle19"/>
    <w:qFormat/>
  </w:style>
  <w:style w:type="paragraph" w:customStyle="1" w:styleId="UserStyle19">
    <w:name w:val="UserStyle_19"/>
    <w:basedOn w:val="a"/>
    <w:link w:val="NormalCharacter"/>
    <w:qFormat/>
    <w:pPr>
      <w:textAlignment w:val="baseline"/>
    </w:pPr>
  </w:style>
  <w:style w:type="character" w:customStyle="1" w:styleId="a7">
    <w:name w:val="批注文字 字符"/>
    <w:basedOn w:val="a0"/>
    <w:link w:val="a6"/>
    <w:qFormat/>
    <w:rPr>
      <w:kern w:val="2"/>
      <w:sz w:val="21"/>
    </w:rPr>
  </w:style>
  <w:style w:type="character" w:customStyle="1" w:styleId="afd">
    <w:name w:val="批注主题 字符"/>
    <w:basedOn w:val="a7"/>
    <w:link w:val="afc"/>
    <w:qFormat/>
    <w:rPr>
      <w:rFonts w:ascii="宋体" w:eastAsia="仿宋_GB2312" w:hAnsi="宋体"/>
      <w:b/>
      <w:bCs/>
      <w:snapToGrid w:val="0"/>
      <w:kern w:val="32"/>
      <w:sz w:val="32"/>
      <w:szCs w:val="32"/>
    </w:rPr>
  </w:style>
  <w:style w:type="paragraph" w:customStyle="1" w:styleId="22">
    <w:name w:val="修订2"/>
    <w:hidden/>
    <w:uiPriority w:val="99"/>
    <w:unhideWhenUsed/>
    <w:qFormat/>
    <w:rPr>
      <w:rFonts w:ascii="宋体" w:eastAsia="仿宋_GB2312" w:hAnsi="宋体"/>
      <w:snapToGrid w:val="0"/>
      <w:kern w:val="32"/>
      <w:sz w:val="32"/>
      <w:szCs w:val="32"/>
    </w:rPr>
  </w:style>
  <w:style w:type="paragraph" w:customStyle="1" w:styleId="111">
    <w:name w:val="目录 11"/>
    <w:next w:val="a"/>
    <w:qFormat/>
    <w:pPr>
      <w:wordWrap w:val="0"/>
      <w:jc w:val="both"/>
    </w:pPr>
    <w:rPr>
      <w:sz w:val="21"/>
      <w:szCs w:val="22"/>
    </w:rPr>
  </w:style>
  <w:style w:type="paragraph" w:customStyle="1" w:styleId="affd">
    <w:name w:val="公文正文"/>
    <w:basedOn w:val="a"/>
    <w:qFormat/>
    <w:pPr>
      <w:adjustRightInd w:val="0"/>
      <w:snapToGrid w:val="0"/>
      <w:spacing w:line="560" w:lineRule="exact"/>
      <w:ind w:firstLineChars="200" w:firstLine="560"/>
    </w:pPr>
  </w:style>
  <w:style w:type="paragraph" w:customStyle="1" w:styleId="31">
    <w:name w:val="修订3"/>
    <w:hidden/>
    <w:uiPriority w:val="99"/>
    <w:unhideWhenUsed/>
    <w:qFormat/>
    <w:rPr>
      <w:rFonts w:ascii="宋体" w:eastAsia="仿宋_GB2312" w:hAnsi="宋体"/>
      <w:snapToGrid w:val="0"/>
      <w:kern w:val="32"/>
      <w:sz w:val="32"/>
      <w:szCs w:val="32"/>
    </w:rPr>
  </w:style>
  <w:style w:type="paragraph" w:styleId="affe">
    <w:name w:val="List Paragraph"/>
    <w:basedOn w:val="a"/>
    <w:uiPriority w:val="99"/>
    <w:unhideWhenUsed/>
    <w:qFormat/>
    <w:pPr>
      <w:ind w:firstLineChars="200" w:firstLine="420"/>
    </w:pPr>
  </w:style>
  <w:style w:type="paragraph" w:customStyle="1" w:styleId="UserStyle4">
    <w:name w:val="UserStyle_4"/>
    <w:next w:val="a"/>
    <w:qFormat/>
    <w:pPr>
      <w:jc w:val="both"/>
      <w:textAlignment w:val="baseline"/>
    </w:pPr>
    <w:rPr>
      <w:rFonts w:ascii="Calibri" w:hAnsi="Calibri"/>
      <w:sz w:val="21"/>
      <w:szCs w:val="22"/>
    </w:rPr>
  </w:style>
  <w:style w:type="character" w:customStyle="1" w:styleId="a9">
    <w:name w:val="正文文本 字符"/>
    <w:basedOn w:val="a0"/>
    <w:link w:val="a8"/>
    <w:qFormat/>
    <w:rPr>
      <w:rFonts w:ascii="宋体" w:eastAsia="仿宋_GB2312" w:hAnsi="宋体"/>
      <w:snapToGrid w:val="0"/>
      <w:kern w:val="32"/>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16</Pages>
  <Words>3432</Words>
  <Characters>3604</Characters>
  <Application>Microsoft Office Word</Application>
  <DocSecurity>0</DocSecurity>
  <Lines>189</Lines>
  <Paragraphs>149</Paragraphs>
  <ScaleCrop>false</ScaleCrop>
  <Company>bgs</Company>
  <LinksUpToDate>false</LinksUpToDate>
  <CharactersWithSpaces>6887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zy</dc:creator>
  <cp:lastModifiedBy>楚轩 黄</cp:lastModifiedBy>
  <cp:revision>104</cp:revision>
  <cp:lastPrinted>2025-09-25T02:33:00Z</cp:lastPrinted>
  <dcterms:created xsi:type="dcterms:W3CDTF">2019-06-13T16:38:00Z</dcterms:created>
  <dcterms:modified xsi:type="dcterms:W3CDTF">2025-10-15T08:16:00Z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2052-11.8.2.1127</vt:lpwstr>
  </property>
  <property fmtid="{D5CDD505-2E9C-101B-9397-08002B2CF9AE}" pid="3" name="ICV">
    <vt:lpwstr>1460FD987CA3DB815D55D2686CD9CA6B</vt:lpwstr>
  </property>
  <property fmtid="{D5CDD505-2E9C-101B-9397-08002B2CF9AE}" pid="4" name="KSOTemplateDocerSaveRecord">
    <vt:lpwstr>eyJoZGlkIjoiMTMyYjJiZjVlZmYzM2ExMTM4ZWFjN2JiM2FiMWJhZjciLCJ1c2VySWQiOiIzODM0NDUxMTIifQ==</vt:lpwstr>
  </property>
</Properties>
</file>