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8EE02">
      <w:pPr>
        <w:keepNext w:val="0"/>
        <w:keepLines w:val="0"/>
        <w:pageBreakBefore w:val="0"/>
        <w:widowControl w:val="0"/>
        <w:kinsoku/>
        <w:wordWrap/>
        <w:overflowPunct w:val="0"/>
        <w:topLinePunct w:val="0"/>
        <w:autoSpaceDE/>
        <w:autoSpaceDN/>
        <w:bidi w:val="0"/>
        <w:adjustRightInd w:val="0"/>
        <w:snapToGrid w:val="0"/>
        <w:spacing w:line="560" w:lineRule="exact"/>
        <w:jc w:val="both"/>
        <w:textAlignment w:val="auto"/>
        <w:rPr>
          <w:rFonts w:hint="eastAsia" w:ascii="黑体" w:hAnsi="黑体" w:eastAsia="黑体" w:cs="黑体"/>
          <w:color w:val="auto"/>
          <w:sz w:val="32"/>
          <w:szCs w:val="32"/>
          <w:lang w:val="en-US" w:eastAsia="zh-CN"/>
        </w:rPr>
      </w:pPr>
      <w:bookmarkStart w:id="0" w:name="_GoBack"/>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2</w:t>
      </w:r>
      <w:bookmarkEnd w:id="0"/>
    </w:p>
    <w:p w14:paraId="18B170A9">
      <w:pPr>
        <w:keepNext w:val="0"/>
        <w:keepLines w:val="0"/>
        <w:pageBreakBefore w:val="0"/>
        <w:widowControl w:val="0"/>
        <w:kinsoku/>
        <w:wordWrap/>
        <w:overflowPunct w:val="0"/>
        <w:topLinePunct w:val="0"/>
        <w:autoSpaceDE/>
        <w:autoSpaceDN/>
        <w:bidi w:val="0"/>
        <w:adjustRightInd w:val="0"/>
        <w:snapToGrid w:val="0"/>
        <w:spacing w:line="560" w:lineRule="exact"/>
        <w:jc w:val="both"/>
        <w:textAlignment w:val="auto"/>
        <w:rPr>
          <w:rFonts w:hint="eastAsia" w:ascii="方正小标宋简体" w:hAnsi="方正小标宋简体" w:eastAsia="方正小标宋简体" w:cs="方正小标宋简体"/>
          <w:color w:val="auto"/>
          <w:sz w:val="44"/>
          <w:szCs w:val="44"/>
          <w:lang w:eastAsia="zh-CN"/>
        </w:rPr>
      </w:pPr>
    </w:p>
    <w:p w14:paraId="206DBFF0">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rPr>
        <w:t>关于《</w:t>
      </w:r>
      <w:r>
        <w:rPr>
          <w:rFonts w:hint="eastAsia" w:ascii="方正小标宋简体" w:hAnsi="方正小标宋简体" w:eastAsia="方正小标宋简体" w:cs="方正小标宋简体"/>
          <w:color w:val="auto"/>
          <w:sz w:val="44"/>
          <w:szCs w:val="44"/>
          <w:lang w:eastAsia="zh-CN"/>
        </w:rPr>
        <w:t>北京市养老机构预收费管理办法</w:t>
      </w:r>
    </w:p>
    <w:p w14:paraId="0A3B9737">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rPr>
        <w:t>（</w:t>
      </w:r>
      <w:r>
        <w:rPr>
          <w:rFonts w:hint="eastAsia" w:ascii="方正小标宋简体" w:hAnsi="方正小标宋简体" w:eastAsia="方正小标宋简体" w:cs="方正小标宋简体"/>
          <w:color w:val="auto"/>
          <w:sz w:val="44"/>
          <w:szCs w:val="44"/>
          <w:lang w:eastAsia="zh-CN"/>
        </w:rPr>
        <w:t>征集意见稿</w:t>
      </w:r>
      <w:r>
        <w:rPr>
          <w:rFonts w:hint="eastAsia" w:ascii="方正小标宋简体" w:hAnsi="方正小标宋简体" w:eastAsia="方正小标宋简体" w:cs="方正小标宋简体"/>
          <w:color w:val="auto"/>
          <w:sz w:val="44"/>
          <w:szCs w:val="44"/>
        </w:rPr>
        <w:t>）》</w:t>
      </w:r>
      <w:r>
        <w:rPr>
          <w:rFonts w:hint="eastAsia" w:ascii="方正小标宋简体" w:hAnsi="方正小标宋简体" w:eastAsia="方正小标宋简体" w:cs="方正小标宋简体"/>
          <w:color w:val="auto"/>
          <w:sz w:val="44"/>
          <w:szCs w:val="44"/>
          <w:lang w:eastAsia="zh-CN"/>
        </w:rPr>
        <w:t>的</w:t>
      </w:r>
      <w:r>
        <w:rPr>
          <w:rFonts w:hint="eastAsia" w:ascii="方正小标宋简体" w:hAnsi="方正小标宋简体" w:eastAsia="方正小标宋简体" w:cs="方正小标宋简体"/>
          <w:color w:val="auto"/>
          <w:sz w:val="44"/>
          <w:szCs w:val="44"/>
        </w:rPr>
        <w:t>起草</w:t>
      </w:r>
      <w:r>
        <w:rPr>
          <w:rFonts w:hint="eastAsia" w:ascii="方正小标宋简体" w:hAnsi="方正小标宋简体" w:eastAsia="方正小标宋简体" w:cs="方正小标宋简体"/>
          <w:color w:val="auto"/>
          <w:sz w:val="44"/>
          <w:szCs w:val="44"/>
          <w:lang w:eastAsia="zh-CN"/>
        </w:rPr>
        <w:t>说明</w:t>
      </w:r>
    </w:p>
    <w:p w14:paraId="0954C09A">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黑体" w:hAnsi="黑体" w:eastAsia="黑体"/>
          <w:sz w:val="32"/>
          <w:szCs w:val="32"/>
          <w:highlight w:val="white"/>
        </w:rPr>
      </w:pPr>
    </w:p>
    <w:p w14:paraId="1BB813DE">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黑体" w:hAnsi="黑体" w:eastAsia="黑体"/>
          <w:sz w:val="32"/>
          <w:szCs w:val="32"/>
          <w:lang w:eastAsia="zh-CN"/>
        </w:rPr>
      </w:pPr>
      <w:r>
        <w:rPr>
          <w:rFonts w:hint="eastAsia" w:ascii="黑体" w:hAnsi="黑体" w:eastAsia="黑体"/>
          <w:sz w:val="32"/>
          <w:szCs w:val="32"/>
          <w:highlight w:val="white"/>
        </w:rPr>
        <w:t>一、</w:t>
      </w:r>
      <w:r>
        <w:rPr>
          <w:rFonts w:hint="eastAsia" w:ascii="黑体" w:hAnsi="黑体" w:eastAsia="黑体"/>
          <w:sz w:val="32"/>
          <w:szCs w:val="32"/>
          <w:lang w:eastAsia="zh-CN"/>
        </w:rPr>
        <w:t>起草背景</w:t>
      </w:r>
    </w:p>
    <w:p w14:paraId="37A1E2C2">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随着本市养老服务业快速发展，一些养老机构出于回笼资金、增加客户黏性、降低运营风险等考虑，采取了预收费模式经营。预收费在一定程度上，让老年人及家属享受了优惠价格，节省了时间成本，但也出现了资金管理使用不规范、资金链紧张或断裂等情况，导致“退费难、难退费”。甚至有个别不法分子，打着“养老服务”的名义，以“高利息、高回报”为诱饵，骗取老年人的“养老钱”，破坏了养老服务市场秩序和发展环境。</w:t>
      </w:r>
    </w:p>
    <w:p w14:paraId="5F26D735">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val="0"/>
          <w:bCs/>
          <w:sz w:val="32"/>
          <w:szCs w:val="32"/>
          <w:lang w:val="en-US" w:eastAsia="zh-CN"/>
        </w:rPr>
        <w:t>近年来，各级人大代表、政协委员、社会公众、专家学者强烈呼吁尽快出台监管政策，规范养老机构预收费行为，防范非法集资风险。2022年10月，为加强养老机构资金监管，市民政局会同市市场监管局</w:t>
      </w:r>
      <w:r>
        <w:rPr>
          <w:rFonts w:hint="eastAsia" w:ascii="仿宋_GB2312" w:hAnsi="仿宋_GB2312" w:eastAsia="仿宋_GB2312" w:cs="仿宋_GB2312"/>
          <w:color w:val="000000"/>
          <w:kern w:val="0"/>
          <w:sz w:val="32"/>
          <w:szCs w:val="32"/>
          <w:lang w:val="en-US" w:eastAsia="zh-CN" w:bidi="ar"/>
        </w:rPr>
        <w:t>修订《北京市养老服务合同》示范文本，将“养老机构按月或按季收取服务费”“押金（入住保证金）数额不得超过月养老服务费用标准的四倍”纳入合同条款，起到了良好效果。2023年3月，在《北京市养老服务合同》示范文本基础上，推广养老服务合同全程无纸化、网络化签署，便于行业主管部门掌握预收资金情况，属全国首创。2024</w:t>
      </w:r>
      <w:r>
        <w:rPr>
          <w:rFonts w:hint="eastAsia" w:ascii="仿宋_GB2312" w:hAnsi="仿宋_GB2312" w:eastAsia="仿宋_GB2312" w:cs="仿宋_GB2312"/>
          <w:color w:val="000000"/>
          <w:kern w:val="0"/>
          <w:sz w:val="32"/>
          <w:szCs w:val="32"/>
          <w:lang w:bidi="ar"/>
        </w:rPr>
        <w:t>年4月，民政部等七部委出台《关于加强养老机构预收费监管的指导意见》</w:t>
      </w:r>
      <w:r>
        <w:rPr>
          <w:rFonts w:hint="eastAsia" w:ascii="仿宋_GB2312" w:hAnsi="仿宋_GB2312" w:eastAsia="仿宋_GB2312" w:cs="仿宋_GB2312"/>
          <w:color w:val="000000"/>
          <w:kern w:val="0"/>
          <w:sz w:val="32"/>
          <w:szCs w:val="32"/>
          <w:lang w:eastAsia="zh-CN" w:bidi="ar"/>
        </w:rPr>
        <w:t>（以下简称《指导意见》）</w:t>
      </w:r>
      <w:r>
        <w:rPr>
          <w:rFonts w:hint="eastAsia" w:ascii="仿宋_GB2312" w:hAnsi="仿宋_GB2312" w:eastAsia="仿宋_GB2312" w:cs="仿宋_GB2312"/>
          <w:color w:val="000000"/>
          <w:kern w:val="0"/>
          <w:sz w:val="32"/>
          <w:szCs w:val="32"/>
          <w:lang w:bidi="ar"/>
        </w:rPr>
        <w:t>，</w:t>
      </w:r>
      <w:r>
        <w:rPr>
          <w:rFonts w:hint="eastAsia" w:ascii="仿宋_GB2312" w:hAnsi="仿宋_GB2312" w:eastAsia="仿宋_GB2312" w:cs="仿宋_GB2312"/>
          <w:color w:val="000000"/>
          <w:kern w:val="0"/>
          <w:sz w:val="32"/>
          <w:szCs w:val="32"/>
          <w:lang w:eastAsia="zh-CN" w:bidi="ar"/>
        </w:rPr>
        <w:t>要求各省市出台管理办法或实施细则，全面</w:t>
      </w:r>
      <w:r>
        <w:rPr>
          <w:rFonts w:hint="eastAsia" w:ascii="仿宋_GB2312" w:hAnsi="仿宋_GB2312" w:eastAsia="仿宋_GB2312" w:cs="仿宋_GB2312"/>
          <w:color w:val="000000"/>
          <w:kern w:val="0"/>
          <w:sz w:val="32"/>
          <w:szCs w:val="32"/>
          <w:lang w:bidi="ar"/>
        </w:rPr>
        <w:t>规范养老机构预收费行为，</w:t>
      </w:r>
      <w:r>
        <w:rPr>
          <w:rFonts w:hint="eastAsia" w:ascii="仿宋_GB2312" w:hAnsi="仿宋_GB2312" w:eastAsia="仿宋_GB2312" w:cs="仿宋_GB2312"/>
          <w:color w:val="000000"/>
          <w:kern w:val="0"/>
          <w:sz w:val="32"/>
          <w:szCs w:val="32"/>
          <w:lang w:eastAsia="zh-CN" w:bidi="ar"/>
        </w:rPr>
        <w:t>切实</w:t>
      </w:r>
      <w:r>
        <w:rPr>
          <w:rFonts w:hint="eastAsia" w:ascii="仿宋_GB2312" w:hAnsi="仿宋_GB2312" w:eastAsia="仿宋_GB2312" w:cs="仿宋_GB2312"/>
          <w:color w:val="000000"/>
          <w:kern w:val="0"/>
          <w:sz w:val="32"/>
          <w:szCs w:val="32"/>
          <w:lang w:bidi="ar"/>
        </w:rPr>
        <w:t>保障老年人</w:t>
      </w:r>
      <w:r>
        <w:rPr>
          <w:rFonts w:hint="eastAsia" w:ascii="仿宋_GB2312" w:hAnsi="仿宋_GB2312" w:eastAsia="仿宋_GB2312" w:cs="仿宋_GB2312"/>
          <w:color w:val="000000"/>
          <w:kern w:val="0"/>
          <w:sz w:val="32"/>
          <w:szCs w:val="32"/>
          <w:lang w:eastAsia="zh-CN" w:bidi="ar"/>
        </w:rPr>
        <w:t>的</w:t>
      </w:r>
      <w:r>
        <w:rPr>
          <w:rFonts w:hint="eastAsia" w:ascii="仿宋_GB2312" w:hAnsi="仿宋_GB2312" w:eastAsia="仿宋_GB2312" w:cs="仿宋_GB2312"/>
          <w:color w:val="000000"/>
          <w:kern w:val="0"/>
          <w:sz w:val="32"/>
          <w:szCs w:val="32"/>
          <w:lang w:bidi="ar"/>
        </w:rPr>
        <w:t>合法权益。</w:t>
      </w:r>
    </w:p>
    <w:p w14:paraId="158577D6">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为进一步巩固深化前期资金监管成果，建立健全长治长效资金监管机制，市民政局会同相关委办局以落实《指导意见》为抓手，深入基层调研、广泛听取意见、反复研究论证，在总结各区试点经验，借鉴各地方、行业经验做法的基础上，</w:t>
      </w:r>
      <w:r>
        <w:rPr>
          <w:rFonts w:hint="eastAsia" w:ascii="仿宋_GB2312" w:hAnsi="仿宋_GB2312" w:eastAsia="仿宋_GB2312" w:cs="仿宋_GB2312"/>
          <w:b w:val="0"/>
          <w:bCs/>
          <w:sz w:val="32"/>
          <w:szCs w:val="32"/>
          <w:lang w:val="en-US" w:eastAsia="zh-CN"/>
        </w:rPr>
        <w:t>研究制定了《北京市养老机构预收费管理办法（报审稿）》（以下简称《管理办法》），以期实现进一步规范养老机构预收费行为，保障服务对象合法权益和财产安全的政策目标。</w:t>
      </w:r>
    </w:p>
    <w:p w14:paraId="1706874A">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二、起草过程</w:t>
      </w:r>
    </w:p>
    <w:p w14:paraId="40C619EA">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2024年7月31日、10月18日，我局两次邀请市市场监管局、北京金融监管局、市委金融办、中国人民银行北京市分行等市级相关部门座谈交流，对《管理办法》进行修改完善。2024年8月12日、10月28日和2025年5月19日，我局三次就《管理办法》</w:t>
      </w:r>
      <w:r>
        <w:rPr>
          <w:rFonts w:hint="eastAsia" w:ascii="仿宋_GB2312" w:hAnsi="仿宋_GB2312" w:eastAsia="仿宋_GB2312" w:cs="仿宋_GB2312"/>
          <w:i w:val="0"/>
          <w:caps w:val="0"/>
          <w:color w:val="000000"/>
          <w:spacing w:val="0"/>
          <w:kern w:val="0"/>
          <w:sz w:val="32"/>
          <w:szCs w:val="32"/>
          <w:lang w:val="en-US" w:eastAsia="zh-CN" w:bidi="ar"/>
        </w:rPr>
        <w:t>正式征求市有关部门和各区政府的意见。</w:t>
      </w:r>
      <w:r>
        <w:rPr>
          <w:rFonts w:hint="eastAsia" w:ascii="仿宋_GB2312" w:hAnsi="仿宋_GB2312" w:eastAsia="仿宋_GB2312" w:cs="仿宋_GB2312"/>
          <w:color w:val="000000"/>
          <w:kern w:val="0"/>
          <w:sz w:val="32"/>
          <w:szCs w:val="32"/>
          <w:lang w:val="en-US" w:eastAsia="zh-CN" w:bidi="ar"/>
        </w:rPr>
        <w:t>2024年11月4日，我局邀请招商银行总行有关负责同志，西城、朝阳、海淀、昌平4区民政局有关负责同志，以及4家对预收费政策较为关注或预收费政策对其生产经营影响较大的养老机构参加座谈交流，听取各相关方意见建议。</w:t>
      </w:r>
    </w:p>
    <w:p w14:paraId="79EE7B19">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caps w:val="0"/>
          <w:color w:val="000000"/>
          <w:spacing w:val="0"/>
          <w:kern w:val="0"/>
          <w:sz w:val="32"/>
          <w:szCs w:val="32"/>
          <w:lang w:val="en-US" w:eastAsia="zh-CN" w:bidi="ar"/>
        </w:rPr>
        <w:t>目前，《管理办法》已通过我局局长办公会审议、市司法局合法性审查，完成</w:t>
      </w:r>
      <w:r>
        <w:rPr>
          <w:rFonts w:hint="eastAsia" w:ascii="仿宋_GB2312" w:hAnsi="仿宋_GB2312" w:eastAsia="仿宋_GB2312" w:cs="仿宋_GB2312"/>
          <w:b w:val="0"/>
          <w:bCs/>
          <w:sz w:val="32"/>
          <w:szCs w:val="32"/>
          <w:lang w:val="en-US" w:eastAsia="zh-CN"/>
        </w:rPr>
        <w:t>社会稳定风险评估、舆情风险评估、宏观政策取向一致性评估等前期工作。</w:t>
      </w:r>
    </w:p>
    <w:p w14:paraId="703C331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i w:val="0"/>
          <w:caps w:val="0"/>
          <w:color w:val="auto"/>
          <w:spacing w:val="0"/>
          <w:sz w:val="32"/>
          <w:szCs w:val="32"/>
          <w:shd w:val="clear" w:color="auto" w:fill="FFFFFF"/>
        </w:rPr>
      </w:pPr>
      <w:r>
        <w:rPr>
          <w:rFonts w:hint="eastAsia" w:ascii="黑体" w:hAnsi="黑体" w:eastAsia="黑体" w:cs="黑体"/>
          <w:b w:val="0"/>
          <w:bCs/>
          <w:i w:val="0"/>
          <w:caps w:val="0"/>
          <w:color w:val="auto"/>
          <w:spacing w:val="0"/>
          <w:sz w:val="32"/>
          <w:szCs w:val="32"/>
          <w:shd w:val="clear" w:color="auto" w:fill="FFFFFF"/>
          <w:lang w:val="en-US" w:eastAsia="zh-CN"/>
        </w:rPr>
        <w:t>三、政策内容</w:t>
      </w:r>
    </w:p>
    <w:p w14:paraId="2D29336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《管理办法》分为“总则”“预收费的收取”“资金存管”“监督管理”“附则”五章、共</w:t>
      </w:r>
      <w:r>
        <w:rPr>
          <w:rFonts w:hint="eastAsia" w:ascii="仿宋_GB2312" w:hAnsi="仿宋_GB2312" w:eastAsia="仿宋_GB2312" w:cs="仿宋_GB2312"/>
          <w:sz w:val="32"/>
          <w:szCs w:val="32"/>
          <w:lang w:val="en-US" w:eastAsia="zh-CN"/>
        </w:rPr>
        <w:t>36条。主要从四个方面强化养老机构预收费监管。</w:t>
      </w:r>
    </w:p>
    <w:p w14:paraId="14D209F3">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60" w:lineRule="exact"/>
        <w:ind w:left="0" w:leftChars="0" w:right="0" w:firstLine="640"/>
        <w:jc w:val="both"/>
        <w:textAlignment w:val="auto"/>
        <w:rPr>
          <w:rFonts w:hint="eastAsia" w:ascii="楷体_GB2312" w:hAnsi="楷体_GB2312" w:eastAsia="楷体_GB2312" w:cs="楷体_GB2312"/>
          <w:kern w:val="2"/>
          <w:sz w:val="32"/>
          <w:szCs w:val="32"/>
          <w:lang w:val="en-US" w:eastAsia="zh-CN"/>
        </w:rPr>
      </w:pPr>
      <w:r>
        <w:rPr>
          <w:rFonts w:hint="eastAsia" w:ascii="楷体_GB2312" w:hAnsi="楷体_GB2312" w:eastAsia="楷体_GB2312" w:cs="楷体_GB2312"/>
          <w:kern w:val="2"/>
          <w:sz w:val="32"/>
          <w:szCs w:val="32"/>
          <w:lang w:val="en-US" w:eastAsia="zh-CN"/>
        </w:rPr>
        <w:t>（一）明确收取规则，规范资金收取</w:t>
      </w:r>
    </w:p>
    <w:p w14:paraId="349D80D1">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kern w:val="2"/>
          <w:sz w:val="32"/>
          <w:szCs w:val="32"/>
          <w:highlight w:val="yellow"/>
          <w:lang w:val="en-US" w:eastAsia="zh-CN"/>
        </w:rPr>
      </w:pPr>
      <w:r>
        <w:rPr>
          <w:rFonts w:hint="eastAsia" w:ascii="仿宋_GB2312" w:hAnsi="仿宋_GB2312" w:eastAsia="仿宋_GB2312" w:cs="仿宋_GB2312"/>
          <w:kern w:val="2"/>
          <w:sz w:val="32"/>
          <w:szCs w:val="32"/>
          <w:lang w:val="en-US" w:eastAsia="zh-CN"/>
        </w:rPr>
        <w:t>《管理办法》适用于养老机构预收费行为的监督管理工作，预收费主要包括养老服务费、押金和会员费。《管理办法》规定，养老服务费（指床位费、服务费、膳食费以及其他费用）按最多不超过3个月收取；押金不得超过月养老服务费用</w:t>
      </w:r>
      <w:r>
        <w:rPr>
          <w:rFonts w:hint="eastAsia" w:ascii="仿宋_GB2312" w:hAnsi="仿宋_GB2312" w:eastAsia="仿宋_GB2312" w:cs="仿宋_GB2312"/>
          <w:color w:val="auto"/>
          <w:kern w:val="2"/>
          <w:sz w:val="32"/>
          <w:szCs w:val="32"/>
          <w:lang w:val="en-US" w:eastAsia="zh-CN"/>
        </w:rPr>
        <w:t>标准的4倍；不提倡、不鼓励养老机构收取会员费等，依据包容审慎原则，允许养老机构收取会员费，但是要满足相关条件（包括床位300张以上、3星级以上、提供银行保函或者购买履约保证保险等）。</w:t>
      </w:r>
    </w:p>
    <w:p w14:paraId="1F37B253">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60" w:lineRule="exact"/>
        <w:ind w:left="0" w:leftChars="0" w:right="0" w:firstLine="640"/>
        <w:jc w:val="both"/>
        <w:textAlignment w:val="auto"/>
        <w:rPr>
          <w:rFonts w:hint="eastAsia" w:ascii="楷体_GB2312" w:hAnsi="楷体_GB2312" w:eastAsia="楷体_GB2312" w:cs="楷体_GB2312"/>
          <w:kern w:val="2"/>
          <w:sz w:val="32"/>
          <w:szCs w:val="32"/>
          <w:lang w:val="en-US" w:eastAsia="zh-CN"/>
        </w:rPr>
      </w:pPr>
      <w:r>
        <w:rPr>
          <w:rFonts w:hint="eastAsia" w:ascii="楷体_GB2312" w:hAnsi="楷体_GB2312" w:eastAsia="楷体_GB2312" w:cs="楷体_GB2312"/>
          <w:kern w:val="2"/>
          <w:sz w:val="32"/>
          <w:szCs w:val="32"/>
          <w:lang w:val="en-US" w:eastAsia="zh-CN"/>
        </w:rPr>
        <w:t>（二）严格存管要求，防范资金异动</w:t>
      </w:r>
    </w:p>
    <w:p w14:paraId="174E6598">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60" w:lineRule="exact"/>
        <w:ind w:left="0" w:leftChars="0" w:right="0" w:firstLine="64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《管理办法》对“存管什么费用、怎么存管、怎么留存”等予以严格规定，防止资金挪用、滥用。《管理办法》规定，养老机构全部预收资金直接存入唯一专用存款账户，防止资金“体外循环”。要求</w:t>
      </w:r>
      <w:r>
        <w:rPr>
          <w:rFonts w:hint="eastAsia" w:ascii="仿宋_GB2312" w:hAnsi="仿宋_GB2312" w:eastAsia="仿宋_GB2312" w:cs="仿宋_GB2312"/>
          <w:i w:val="0"/>
          <w:iCs w:val="0"/>
          <w:caps w:val="0"/>
          <w:spacing w:val="0"/>
          <w:sz w:val="32"/>
          <w:szCs w:val="32"/>
          <w:highlight w:val="none"/>
          <w:shd w:val="clear" w:color="auto" w:fill="auto"/>
        </w:rPr>
        <w:t>养老机构</w:t>
      </w:r>
      <w:r>
        <w:rPr>
          <w:rFonts w:hint="eastAsia" w:ascii="仿宋_GB2312" w:hAnsi="仿宋_GB2312" w:eastAsia="仿宋_GB2312" w:cs="仿宋_GB2312"/>
          <w:i w:val="0"/>
          <w:iCs w:val="0"/>
          <w:caps w:val="0"/>
          <w:spacing w:val="0"/>
          <w:sz w:val="32"/>
          <w:szCs w:val="32"/>
          <w:highlight w:val="none"/>
          <w:shd w:val="clear" w:color="auto" w:fill="auto"/>
          <w:lang w:eastAsia="zh-CN"/>
        </w:rPr>
        <w:t>专用存款</w:t>
      </w:r>
      <w:r>
        <w:rPr>
          <w:rFonts w:hint="eastAsia" w:ascii="仿宋_GB2312" w:hAnsi="仿宋_GB2312" w:eastAsia="仿宋_GB2312" w:cs="仿宋_GB2312"/>
          <w:i w:val="0"/>
          <w:iCs w:val="0"/>
          <w:caps w:val="0"/>
          <w:spacing w:val="0"/>
          <w:sz w:val="32"/>
          <w:szCs w:val="32"/>
          <w:highlight w:val="none"/>
          <w:shd w:val="clear" w:color="auto" w:fill="auto"/>
        </w:rPr>
        <w:t>账户</w:t>
      </w:r>
      <w:r>
        <w:rPr>
          <w:rFonts w:hint="eastAsia" w:ascii="仿宋_GB2312" w:hAnsi="仿宋_GB2312" w:eastAsia="仿宋_GB2312" w:cs="仿宋_GB2312"/>
          <w:i w:val="0"/>
          <w:iCs w:val="0"/>
          <w:caps w:val="0"/>
          <w:spacing w:val="0"/>
          <w:sz w:val="32"/>
          <w:szCs w:val="32"/>
          <w:highlight w:val="none"/>
          <w:shd w:val="clear" w:color="auto" w:fill="auto"/>
          <w:lang w:eastAsia="zh-CN"/>
        </w:rPr>
        <w:t>按照星级</w:t>
      </w:r>
      <w:r>
        <w:rPr>
          <w:rFonts w:hint="eastAsia" w:ascii="仿宋_GB2312" w:hAnsi="仿宋_GB2312" w:eastAsia="仿宋_GB2312" w:cs="仿宋_GB2312"/>
          <w:i w:val="0"/>
          <w:iCs w:val="0"/>
          <w:caps w:val="0"/>
          <w:spacing w:val="0"/>
          <w:sz w:val="32"/>
          <w:szCs w:val="32"/>
          <w:highlight w:val="none"/>
          <w:shd w:val="clear" w:color="auto" w:fill="auto"/>
        </w:rPr>
        <w:t>留存风险保证金</w:t>
      </w:r>
      <w:r>
        <w:rPr>
          <w:rFonts w:hint="eastAsia" w:ascii="仿宋_GB2312" w:hAnsi="仿宋_GB2312" w:eastAsia="仿宋_GB2312" w:cs="仿宋_GB2312"/>
          <w:i w:val="0"/>
          <w:iCs w:val="0"/>
          <w:caps w:val="0"/>
          <w:spacing w:val="0"/>
          <w:sz w:val="32"/>
          <w:szCs w:val="32"/>
          <w:highlight w:val="none"/>
          <w:shd w:val="clear" w:color="auto" w:fill="auto"/>
          <w:lang w:eastAsia="zh-CN"/>
        </w:rPr>
        <w:t>（</w:t>
      </w:r>
      <w:r>
        <w:rPr>
          <w:rFonts w:hint="eastAsia" w:ascii="仿宋_GB2312" w:hAnsi="仿宋_GB2312" w:eastAsia="仿宋_GB2312" w:cs="仿宋_GB2312"/>
          <w:i w:val="0"/>
          <w:iCs w:val="0"/>
          <w:caps w:val="0"/>
          <w:spacing w:val="0"/>
          <w:sz w:val="32"/>
          <w:szCs w:val="32"/>
          <w:highlight w:val="none"/>
          <w:shd w:val="clear" w:color="auto" w:fill="auto"/>
          <w:lang w:val="en-US" w:eastAsia="zh-CN"/>
        </w:rPr>
        <w:t>30%-80%</w:t>
      </w:r>
      <w:r>
        <w:rPr>
          <w:rFonts w:hint="eastAsia" w:ascii="仿宋_GB2312" w:hAnsi="仿宋_GB2312" w:eastAsia="仿宋_GB2312" w:cs="仿宋_GB2312"/>
          <w:i w:val="0"/>
          <w:iCs w:val="0"/>
          <w:caps w:val="0"/>
          <w:spacing w:val="0"/>
          <w:sz w:val="32"/>
          <w:szCs w:val="32"/>
          <w:highlight w:val="none"/>
          <w:shd w:val="clear" w:color="auto" w:fill="auto"/>
          <w:lang w:eastAsia="zh-CN"/>
        </w:rPr>
        <w:t>），除办理退费外，不得支出。灵活设置资金异常流动情形，触发条件后及时预警或者暂停办理支出。</w:t>
      </w:r>
      <w:r>
        <w:rPr>
          <w:rFonts w:hint="eastAsia" w:ascii="仿宋_GB2312" w:hAnsi="仿宋_GB2312" w:eastAsia="仿宋_GB2312" w:cs="仿宋_GB2312"/>
          <w:sz w:val="32"/>
          <w:szCs w:val="32"/>
          <w:highlight w:val="none"/>
          <w:lang w:eastAsia="zh-CN"/>
        </w:rPr>
        <w:t>对符合服务协议约定退费条件的预收费用，</w:t>
      </w:r>
      <w:r>
        <w:rPr>
          <w:rFonts w:hint="eastAsia" w:ascii="仿宋_GB2312" w:hAnsi="仿宋_GB2312" w:eastAsia="仿宋_GB2312" w:cs="仿宋_GB2312"/>
          <w:i w:val="0"/>
          <w:iCs w:val="0"/>
          <w:caps w:val="0"/>
          <w:spacing w:val="0"/>
          <w:sz w:val="32"/>
          <w:szCs w:val="32"/>
          <w:highlight w:val="none"/>
          <w:shd w:val="clear" w:color="auto" w:fill="auto"/>
          <w:lang w:eastAsia="zh-CN"/>
        </w:rPr>
        <w:t>要求养老机构按照约定</w:t>
      </w:r>
      <w:r>
        <w:rPr>
          <w:rFonts w:hint="eastAsia" w:ascii="仿宋_GB2312" w:hAnsi="仿宋_GB2312" w:eastAsia="仿宋_GB2312" w:cs="仿宋_GB2312"/>
          <w:i w:val="0"/>
          <w:iCs w:val="0"/>
          <w:caps w:val="0"/>
          <w:spacing w:val="0"/>
          <w:sz w:val="32"/>
          <w:szCs w:val="32"/>
          <w:highlight w:val="none"/>
          <w:shd w:val="clear" w:color="auto" w:fill="auto"/>
          <w:lang w:val="en-US" w:eastAsia="zh-CN"/>
        </w:rPr>
        <w:t>一次性退还剩余费用。</w:t>
      </w:r>
    </w:p>
    <w:p w14:paraId="31669722">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60" w:lineRule="exact"/>
        <w:ind w:left="0" w:leftChars="0" w:right="0" w:firstLine="640"/>
        <w:jc w:val="both"/>
        <w:textAlignment w:val="auto"/>
        <w:rPr>
          <w:rFonts w:hint="eastAsia" w:ascii="楷体_GB2312" w:hAnsi="楷体_GB2312" w:eastAsia="楷体_GB2312" w:cs="楷体_GB2312"/>
          <w:kern w:val="2"/>
          <w:sz w:val="32"/>
          <w:szCs w:val="32"/>
          <w:lang w:val="en-US" w:eastAsia="zh-CN"/>
        </w:rPr>
      </w:pPr>
      <w:r>
        <w:rPr>
          <w:rFonts w:hint="eastAsia" w:ascii="楷体_GB2312" w:hAnsi="楷体_GB2312" w:eastAsia="楷体_GB2312" w:cs="楷体_GB2312"/>
          <w:kern w:val="2"/>
          <w:sz w:val="32"/>
          <w:szCs w:val="32"/>
          <w:lang w:val="en-US" w:eastAsia="zh-CN"/>
        </w:rPr>
        <w:t>（三）细化过渡措施，稳步消化存量</w:t>
      </w:r>
    </w:p>
    <w:p w14:paraId="3CC4396E">
      <w:pPr>
        <w:pStyle w:val="4"/>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60" w:lineRule="exact"/>
        <w:ind w:left="0" w:leftChars="0" w:right="0" w:firstLine="64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lang w:val="en-US" w:eastAsia="zh-CN"/>
        </w:rPr>
        <w:t>《管理办法》印发前已开展预收费的养老机构多长时间完成存管，存管多少资金，不满足收取会员费条件的是否要清退资金等问题，《管理办法》一一明确了过渡措施。《管理办法》规定，已开展预收费的养老机构应当在6个月内完成资金存管手续。</w:t>
      </w:r>
      <w:r>
        <w:rPr>
          <w:rFonts w:hint="eastAsia" w:ascii="仿宋_GB2312" w:hAnsi="仿宋_GB2312" w:eastAsia="仿宋_GB2312" w:cs="仿宋_GB2312"/>
          <w:sz w:val="32"/>
          <w:szCs w:val="32"/>
          <w:highlight w:val="none"/>
          <w:lang w:val="en-US" w:eastAsia="zh-CN"/>
        </w:rPr>
        <w:t>对于养老机构存量预收费，办法发布后，养老机构应当将自2023年3月10日养老服务合同网签开始后，实际收取的养老服务费、押金进行存管；养老机构已实际收取的会员费，按照办法有关规定进行存管；养老机构不具备收取会员费条件的，应按照要求对已经收取的会员费进行存管，不再收取会员费。</w:t>
      </w:r>
    </w:p>
    <w:p w14:paraId="21E9F39A">
      <w:pPr>
        <w:pStyle w:val="4"/>
        <w:keepNext w:val="0"/>
        <w:keepLines w:val="0"/>
        <w:pageBreakBefore w:val="0"/>
        <w:widowControl w:val="0"/>
        <w:numPr>
          <w:ilvl w:val="0"/>
          <w:numId w:val="1"/>
        </w:numPr>
        <w:suppressLineNumbers w:val="0"/>
        <w:kinsoku/>
        <w:wordWrap/>
        <w:overflowPunct w:val="0"/>
        <w:topLinePunct w:val="0"/>
        <w:autoSpaceDE/>
        <w:autoSpaceDN/>
        <w:bidi w:val="0"/>
        <w:adjustRightInd w:val="0"/>
        <w:snapToGrid w:val="0"/>
        <w:spacing w:before="0" w:beforeAutospacing="0" w:after="0" w:afterAutospacing="0" w:line="560" w:lineRule="exact"/>
        <w:ind w:left="0" w:leftChars="0" w:right="0" w:firstLine="640"/>
        <w:jc w:val="both"/>
        <w:textAlignment w:val="auto"/>
        <w:rPr>
          <w:rFonts w:hint="eastAsia" w:ascii="楷体_GB2312" w:hAnsi="楷体_GB2312" w:eastAsia="楷体_GB2312" w:cs="楷体_GB2312"/>
          <w:kern w:val="2"/>
          <w:sz w:val="32"/>
          <w:szCs w:val="32"/>
          <w:lang w:val="en-US" w:eastAsia="zh-CN"/>
        </w:rPr>
      </w:pPr>
      <w:r>
        <w:rPr>
          <w:rFonts w:hint="eastAsia" w:ascii="楷体_GB2312" w:hAnsi="楷体_GB2312" w:eastAsia="楷体_GB2312" w:cs="楷体_GB2312"/>
          <w:kern w:val="2"/>
          <w:sz w:val="32"/>
          <w:szCs w:val="32"/>
          <w:lang w:val="en-US" w:eastAsia="zh-CN"/>
        </w:rPr>
        <w:t>衔接合同网签，确保落实落地</w:t>
      </w:r>
    </w:p>
    <w:p w14:paraId="142F8DDD">
      <w:pPr>
        <w:pStyle w:val="4"/>
        <w:keepNext w:val="0"/>
        <w:keepLines w:val="0"/>
        <w:pageBreakBefore w:val="0"/>
        <w:widowControl w:val="0"/>
        <w:numPr>
          <w:ilvl w:val="0"/>
          <w:numId w:val="0"/>
        </w:numPr>
        <w:suppressLineNumbers w:val="0"/>
        <w:kinsoku/>
        <w:wordWrap/>
        <w:overflowPunct w:val="0"/>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rPr>
      </w:pPr>
      <w:r>
        <w:rPr>
          <w:rFonts w:hint="eastAsia" w:ascii="仿宋_GB2312" w:hAnsi="仿宋_GB2312" w:eastAsia="仿宋_GB2312" w:cs="仿宋_GB2312"/>
          <w:kern w:val="2"/>
          <w:sz w:val="32"/>
          <w:szCs w:val="32"/>
          <w:lang w:val="en-US" w:eastAsia="zh-CN"/>
        </w:rPr>
        <w:t>根据北京金融监管局报告，预付式企业接受资金监管比例低，监管账户资金余额和交易频率低相当一部分商户存在预收资金“不愿存、不尽存”的现象。《管理办法》通过创新衔接本市既有政策—合同网签，全量掌握预付式企业资金收取情况，确保养老机构预收资金“应存尽存”“应入账尽入账”。同时，《管理办法》还明确将预收费纳入“双随机、一公开”监管、信用监管等重要检查事项，通过执法检查、信用惩戒等措施督促其落实预收资金存管要求。</w:t>
      </w:r>
    </w:p>
    <w:p w14:paraId="789EAB51"/>
    <w:sectPr>
      <w:footerReference r:id="rId3" w:type="default"/>
      <w:pgSz w:w="11906" w:h="16838"/>
      <w:pgMar w:top="2098" w:right="1474" w:bottom="1984" w:left="1587" w:header="851" w:footer="119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CAB7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A63D774">
                          <w:pPr>
                            <w:pStyle w:val="2"/>
                            <w:rPr>
                              <w:rFonts w:hint="eastAsia" w:ascii="宋体" w:hAnsi="宋体" w:eastAsia="宋体" w:cs="宋体"/>
                              <w:sz w:val="28"/>
                              <w:szCs w:val="32"/>
                            </w:rPr>
                          </w:pPr>
                          <w:r>
                            <w:rPr>
                              <w:rFonts w:hint="eastAsia" w:ascii="宋体" w:hAnsi="宋体" w:eastAsia="宋体" w:cs="宋体"/>
                              <w:sz w:val="28"/>
                              <w:szCs w:val="32"/>
                            </w:rPr>
                            <w:t xml:space="preserve">— </w:t>
                          </w:r>
                          <w:r>
                            <w:rPr>
                              <w:rFonts w:hint="eastAsia" w:ascii="宋体" w:hAnsi="宋体" w:eastAsia="宋体" w:cs="宋体"/>
                              <w:sz w:val="28"/>
                              <w:szCs w:val="32"/>
                            </w:rPr>
                            <w:fldChar w:fldCharType="begin"/>
                          </w:r>
                          <w:r>
                            <w:rPr>
                              <w:rFonts w:hint="eastAsia" w:ascii="宋体" w:hAnsi="宋体" w:eastAsia="宋体" w:cs="宋体"/>
                              <w:sz w:val="28"/>
                              <w:szCs w:val="32"/>
                            </w:rPr>
                            <w:instrText xml:space="preserve"> PAGE  \* MERGEFORMAT </w:instrText>
                          </w:r>
                          <w:r>
                            <w:rPr>
                              <w:rFonts w:hint="eastAsia" w:ascii="宋体" w:hAnsi="宋体" w:eastAsia="宋体" w:cs="宋体"/>
                              <w:sz w:val="28"/>
                              <w:szCs w:val="32"/>
                            </w:rPr>
                            <w:fldChar w:fldCharType="separate"/>
                          </w:r>
                          <w:r>
                            <w:rPr>
                              <w:rFonts w:hint="eastAsia" w:ascii="宋体" w:hAnsi="宋体" w:eastAsia="宋体" w:cs="宋体"/>
                              <w:sz w:val="28"/>
                              <w:szCs w:val="32"/>
                            </w:rPr>
                            <w:t>1</w:t>
                          </w:r>
                          <w:r>
                            <w:rPr>
                              <w:rFonts w:hint="eastAsia" w:ascii="宋体" w:hAnsi="宋体" w:eastAsia="宋体" w:cs="宋体"/>
                              <w:sz w:val="28"/>
                              <w:szCs w:val="32"/>
                            </w:rPr>
                            <w:fldChar w:fldCharType="end"/>
                          </w:r>
                          <w:r>
                            <w:rPr>
                              <w:rFonts w:hint="eastAsia" w:ascii="宋体" w:hAnsi="宋体" w:eastAsia="宋体" w:cs="宋体"/>
                              <w:sz w:val="28"/>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A63D774">
                    <w:pPr>
                      <w:pStyle w:val="2"/>
                      <w:rPr>
                        <w:rFonts w:hint="eastAsia" w:ascii="宋体" w:hAnsi="宋体" w:eastAsia="宋体" w:cs="宋体"/>
                        <w:sz w:val="28"/>
                        <w:szCs w:val="32"/>
                      </w:rPr>
                    </w:pPr>
                    <w:r>
                      <w:rPr>
                        <w:rFonts w:hint="eastAsia" w:ascii="宋体" w:hAnsi="宋体" w:eastAsia="宋体" w:cs="宋体"/>
                        <w:sz w:val="28"/>
                        <w:szCs w:val="32"/>
                      </w:rPr>
                      <w:t xml:space="preserve">— </w:t>
                    </w:r>
                    <w:r>
                      <w:rPr>
                        <w:rFonts w:hint="eastAsia" w:ascii="宋体" w:hAnsi="宋体" w:eastAsia="宋体" w:cs="宋体"/>
                        <w:sz w:val="28"/>
                        <w:szCs w:val="32"/>
                      </w:rPr>
                      <w:fldChar w:fldCharType="begin"/>
                    </w:r>
                    <w:r>
                      <w:rPr>
                        <w:rFonts w:hint="eastAsia" w:ascii="宋体" w:hAnsi="宋体" w:eastAsia="宋体" w:cs="宋体"/>
                        <w:sz w:val="28"/>
                        <w:szCs w:val="32"/>
                      </w:rPr>
                      <w:instrText xml:space="preserve"> PAGE  \* MERGEFORMAT </w:instrText>
                    </w:r>
                    <w:r>
                      <w:rPr>
                        <w:rFonts w:hint="eastAsia" w:ascii="宋体" w:hAnsi="宋体" w:eastAsia="宋体" w:cs="宋体"/>
                        <w:sz w:val="28"/>
                        <w:szCs w:val="32"/>
                      </w:rPr>
                      <w:fldChar w:fldCharType="separate"/>
                    </w:r>
                    <w:r>
                      <w:rPr>
                        <w:rFonts w:hint="eastAsia" w:ascii="宋体" w:hAnsi="宋体" w:eastAsia="宋体" w:cs="宋体"/>
                        <w:sz w:val="28"/>
                        <w:szCs w:val="32"/>
                      </w:rPr>
                      <w:t>1</w:t>
                    </w:r>
                    <w:r>
                      <w:rPr>
                        <w:rFonts w:hint="eastAsia" w:ascii="宋体" w:hAnsi="宋体" w:eastAsia="宋体" w:cs="宋体"/>
                        <w:sz w:val="28"/>
                        <w:szCs w:val="32"/>
                      </w:rPr>
                      <w:fldChar w:fldCharType="end"/>
                    </w:r>
                    <w:r>
                      <w:rPr>
                        <w:rFonts w:hint="eastAsia" w:ascii="宋体" w:hAnsi="宋体" w:eastAsia="宋体" w:cs="宋体"/>
                        <w:sz w:val="28"/>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1D7ABF"/>
    <w:multiLevelType w:val="singleLevel"/>
    <w:tmpl w:val="6D1D7ABF"/>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B35E5D"/>
    <w:rsid w:val="7EB35E5D"/>
    <w:rsid w:val="99EF5AD2"/>
    <w:rsid w:val="CBE7C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2025-09-15T09:38:00Z</dcterms:created>
  <dc:creator>MoiN</dc:creator>
  <cp:lastModifiedBy>MoiN</cp:lastModifiedBy>
  <dcterms:modified xsi:type="dcterms:W3CDTF">2025-09-15T09:40:12Z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18406F7AF9B68827256EC768D875016F_41</vt:lpwstr>
  </property>
</Properties>
</file>