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86A35">
      <w:pPr>
        <w:spacing w:line="600" w:lineRule="exact"/>
        <w:ind w:firstLine="0" w:firstLineChars="0"/>
        <w:rPr>
          <w:rFonts w:hint="default" w:ascii="黑体" w:hAnsi="黑体" w:eastAsia="黑体"/>
          <w:lang w:val="en-US" w:eastAsia="zh-CN"/>
        </w:rPr>
      </w:pPr>
      <w:r>
        <w:rPr>
          <w:rFonts w:hint="eastAsia" w:ascii="黑体" w:hAnsi="黑体" w:eastAsia="黑体"/>
          <w:lang w:val="en-US" w:eastAsia="zh-CN"/>
        </w:rPr>
        <w:t>附件1：</w:t>
      </w:r>
    </w:p>
    <w:p w14:paraId="591F3A0F">
      <w:pPr>
        <w:spacing w:line="600" w:lineRule="exact"/>
        <w:ind w:firstLine="0" w:firstLineChars="0"/>
        <w:jc w:val="center"/>
        <w:rPr>
          <w:rFonts w:ascii="方正小标宋_GBK" w:eastAsia="方正小标宋_GBK"/>
          <w:sz w:val="44"/>
          <w:szCs w:val="44"/>
        </w:rPr>
      </w:pPr>
      <w:r>
        <w:rPr>
          <w:rFonts w:hint="eastAsia" w:ascii="方正小标宋_GBK" w:eastAsia="方正小标宋_GBK"/>
          <w:sz w:val="44"/>
          <w:szCs w:val="44"/>
        </w:rPr>
        <w:t>首都科技条件平台与</w:t>
      </w:r>
      <w:r>
        <w:rPr>
          <w:rFonts w:ascii="方正小标宋_GBK" w:eastAsia="方正小标宋_GBK"/>
          <w:sz w:val="44"/>
          <w:szCs w:val="44"/>
        </w:rPr>
        <w:t>科技</w:t>
      </w:r>
      <w:r>
        <w:rPr>
          <w:rFonts w:hint="eastAsia" w:ascii="方正小标宋_GBK" w:eastAsia="方正小标宋_GBK"/>
          <w:sz w:val="44"/>
          <w:szCs w:val="44"/>
        </w:rPr>
        <w:t>创新券实施办法</w:t>
      </w:r>
    </w:p>
    <w:p w14:paraId="1E0344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textAlignment w:val="baseline"/>
        <w:rPr>
          <w:rFonts w:ascii="楷体_GB2312" w:hAnsi="楷体_GB2312" w:eastAsia="楷体_GB2312" w:cs="楷体_GB2312"/>
          <w:b/>
          <w:bCs/>
        </w:rPr>
      </w:pPr>
      <w:r>
        <w:rPr>
          <w:rFonts w:hint="eastAsia" w:ascii="楷体_GB2312" w:hAnsi="楷体_GB2312" w:eastAsia="楷体_GB2312" w:cs="楷体_GB2312"/>
          <w:b/>
          <w:bCs/>
        </w:rPr>
        <w:t>（征求意见稿）</w:t>
      </w:r>
    </w:p>
    <w:p w14:paraId="7E5DBC7C">
      <w:pPr>
        <w:spacing w:line="600" w:lineRule="exact"/>
        <w:ind w:firstLine="640"/>
        <w:jc w:val="center"/>
        <w:rPr>
          <w:rFonts w:ascii="楷体_GB2312" w:hAnsi="楷体_GB2312" w:eastAsia="楷体_GB2312" w:cs="楷体_GB2312"/>
        </w:rPr>
      </w:pPr>
    </w:p>
    <w:p w14:paraId="6D14E990">
      <w:pPr>
        <w:pStyle w:val="2"/>
        <w:rPr>
          <w:rFonts w:ascii="黑体" w:hAnsi="黑体" w:eastAsia="黑体" w:cs="黑体"/>
          <w:sz w:val="32"/>
          <w:szCs w:val="32"/>
        </w:rPr>
      </w:pPr>
      <w:r>
        <w:rPr>
          <w:rFonts w:hint="eastAsia" w:ascii="黑体" w:hAnsi="黑体" w:eastAsia="黑体" w:cs="黑体"/>
          <w:sz w:val="32"/>
          <w:szCs w:val="32"/>
        </w:rPr>
        <w:t>第一章 总则</w:t>
      </w:r>
    </w:p>
    <w:p w14:paraId="565137B7">
      <w:pPr>
        <w:ind w:firstLine="640"/>
        <w:jc w:val="left"/>
      </w:pPr>
      <w:r>
        <w:rPr>
          <w:rFonts w:hint="eastAsia" w:ascii="黑体" w:eastAsia="黑体"/>
        </w:rPr>
        <w:t xml:space="preserve">第一条 </w:t>
      </w:r>
      <w:r>
        <w:rPr>
          <w:rFonts w:hint="eastAsia"/>
        </w:rPr>
        <w:t>为规范首都科技条件平台（以下简称平台）和</w:t>
      </w:r>
      <w:r>
        <w:rPr>
          <w:rFonts w:cs="仿宋_GB2312"/>
        </w:rPr>
        <w:t>首都科技创新券（以下简称创新券）</w:t>
      </w:r>
      <w:r>
        <w:rPr>
          <w:rFonts w:hint="eastAsia" w:cs="仿宋_GB2312"/>
        </w:rPr>
        <w:t>组织实施与管理，</w:t>
      </w:r>
      <w:r>
        <w:rPr>
          <w:rFonts w:hint="eastAsia"/>
        </w:rPr>
        <w:t>推</w:t>
      </w:r>
      <w:bookmarkStart w:id="5" w:name="_GoBack"/>
      <w:bookmarkEnd w:id="5"/>
      <w:r>
        <w:rPr>
          <w:rFonts w:hint="eastAsia"/>
        </w:rPr>
        <w:t>进科技资源开放共享，优化创新创业生态环境，</w:t>
      </w:r>
      <w:r>
        <w:rPr>
          <w:rFonts w:hint="eastAsia" w:cs="仿宋_GB2312"/>
        </w:rPr>
        <w:t>服务北京国际科技创新中心和中关村世界领先科技园区建设，北京市科学技术委员会、中关村科技园区管理委员会（以下简称市科委中关村管委会）根据《北京市促进科技成果转化条例》《北京市人民政府办公厅关于加强首都科技条件平台建设进一步促进重大科研基础设施和大型科研仪器向社会开放的实施意见》(京政办发〔2016〕</w:t>
      </w:r>
      <w:r>
        <w:rPr>
          <w:rFonts w:hint="eastAsia"/>
        </w:rPr>
        <w:t>34号，以下简称《实施意见》)等文件精神，</w:t>
      </w:r>
      <w:r>
        <w:rPr>
          <w:rFonts w:cs="仿宋_GB2312"/>
        </w:rPr>
        <w:t>制定本办法。</w:t>
      </w:r>
    </w:p>
    <w:p w14:paraId="04D351CF">
      <w:pPr>
        <w:ind w:firstLine="640"/>
      </w:pPr>
      <w:r>
        <w:rPr>
          <w:rFonts w:hint="eastAsia" w:ascii="黑体" w:eastAsia="黑体"/>
        </w:rPr>
        <w:t xml:space="preserve">第二条 </w:t>
      </w:r>
      <w:r>
        <w:rPr>
          <w:rFonts w:hint="eastAsia"/>
        </w:rPr>
        <w:t>平台是国家科技基础条件平台指导下的北京地方科技条件平台</w:t>
      </w:r>
      <w:r>
        <w:t>。</w:t>
      </w:r>
      <w:r>
        <w:rPr>
          <w:rFonts w:hint="eastAsia"/>
        </w:rPr>
        <w:t>通过政府部门组织，推进重大科研基础设施和大型科研仪器、</w:t>
      </w:r>
      <w:r>
        <w:rPr>
          <w:rFonts w:hint="eastAsia"/>
          <w:highlight w:val="none"/>
        </w:rPr>
        <w:t>大科学装置、</w:t>
      </w:r>
      <w:r>
        <w:rPr>
          <w:rFonts w:hint="eastAsia"/>
        </w:rPr>
        <w:t>算力设备等（</w:t>
      </w:r>
      <w:r>
        <w:rPr>
          <w:rFonts w:hint="eastAsia" w:cs="仿宋_GB2312"/>
        </w:rPr>
        <w:t>以下简称科研设施与仪器</w:t>
      </w:r>
      <w:r>
        <w:rPr>
          <w:rFonts w:hint="eastAsia"/>
        </w:rPr>
        <w:t>）向社会开放共享，提高</w:t>
      </w:r>
      <w:r>
        <w:rPr>
          <w:rFonts w:cs="仿宋_GB2312"/>
        </w:rPr>
        <w:t>科技资源</w:t>
      </w:r>
      <w:r>
        <w:rPr>
          <w:rFonts w:hint="eastAsia"/>
        </w:rPr>
        <w:t>利用效率，将</w:t>
      </w:r>
      <w:r>
        <w:rPr>
          <w:rFonts w:cs="仿宋_GB2312"/>
        </w:rPr>
        <w:t>科技资源</w:t>
      </w:r>
      <w:r>
        <w:rPr>
          <w:rFonts w:hint="eastAsia"/>
        </w:rPr>
        <w:t>优势转化为创新发展优势。</w:t>
      </w:r>
    </w:p>
    <w:p w14:paraId="39F61C03">
      <w:pPr>
        <w:ind w:firstLine="640"/>
        <w:rPr>
          <w:rFonts w:cs="仿宋_GB2312"/>
        </w:rPr>
      </w:pPr>
      <w:r>
        <w:rPr>
          <w:rFonts w:hint="eastAsia" w:ascii="黑体" w:eastAsia="黑体"/>
        </w:rPr>
        <w:t xml:space="preserve">第三条 </w:t>
      </w:r>
      <w:r>
        <w:rPr>
          <w:rFonts w:hint="eastAsia" w:cs="仿宋_GB2312"/>
        </w:rPr>
        <w:t>创新券是</w:t>
      </w:r>
      <w:r>
        <w:rPr>
          <w:rFonts w:hint="eastAsia"/>
        </w:rPr>
        <w:t>市科委中关村管委会</w:t>
      </w:r>
      <w:r>
        <w:rPr>
          <w:rFonts w:hint="eastAsia" w:cs="仿宋_GB2312"/>
        </w:rPr>
        <w:t>发放的</w:t>
      </w:r>
      <w:r>
        <w:rPr>
          <w:rFonts w:hint="eastAsia"/>
        </w:rPr>
        <w:t>免费</w:t>
      </w:r>
      <w:r>
        <w:rPr>
          <w:rFonts w:hint="eastAsia" w:cs="仿宋_GB2312"/>
        </w:rPr>
        <w:t>权益凭证，主要用于支持北京地区高精尖产业</w:t>
      </w:r>
      <w:r>
        <w:rPr>
          <w:rFonts w:cs="仿宋_GB2312"/>
        </w:rPr>
        <w:t>领域</w:t>
      </w:r>
      <w:r>
        <w:rPr>
          <w:rFonts w:hint="eastAsia" w:cs="仿宋_GB2312"/>
        </w:rPr>
        <w:t>的</w:t>
      </w:r>
      <w:r>
        <w:rPr>
          <w:rFonts w:cs="仿宋_GB2312"/>
        </w:rPr>
        <w:t>科技</w:t>
      </w:r>
      <w:r>
        <w:rPr>
          <w:rFonts w:hint="eastAsia" w:cs="仿宋_GB2312"/>
        </w:rPr>
        <w:t>型</w:t>
      </w:r>
      <w:r>
        <w:rPr>
          <w:rFonts w:cs="仿宋_GB2312"/>
        </w:rPr>
        <w:t>中</w:t>
      </w:r>
      <w:r>
        <w:rPr>
          <w:rFonts w:hint="eastAsia" w:cs="仿宋_GB2312"/>
        </w:rPr>
        <w:t>小微企业和创业团队，充分利用平台开放的科研设施与仪器开展</w:t>
      </w:r>
      <w:r>
        <w:rPr>
          <w:rFonts w:hint="eastAsia"/>
          <w:kern w:val="0"/>
        </w:rPr>
        <w:t>具有较高技术含量的</w:t>
      </w:r>
      <w:r>
        <w:rPr>
          <w:rFonts w:hint="eastAsia" w:cs="仿宋_GB2312"/>
        </w:rPr>
        <w:t>研发活动。</w:t>
      </w:r>
    </w:p>
    <w:p w14:paraId="319D6034">
      <w:pPr>
        <w:ind w:firstLine="640"/>
        <w:rPr>
          <w:rFonts w:cs="仿宋_GB2312"/>
        </w:rPr>
      </w:pPr>
      <w:r>
        <w:rPr>
          <w:rFonts w:hint="eastAsia" w:ascii="黑体" w:eastAsia="黑体"/>
        </w:rPr>
        <w:t xml:space="preserve">第四条 </w:t>
      </w:r>
      <w:r>
        <w:rPr>
          <w:rFonts w:hint="eastAsia"/>
        </w:rPr>
        <w:t>平台与创新券支持资金来源于市财政科技经费</w:t>
      </w:r>
      <w:r>
        <w:rPr>
          <w:rFonts w:hint="eastAsia" w:cs="仿宋_GB2312"/>
        </w:rPr>
        <w:t>，使用和管理遵守国家有关法律法规和财务规章制度，遵循</w:t>
      </w:r>
      <w:r>
        <w:rPr>
          <w:rFonts w:cs="仿宋_GB2312"/>
        </w:rPr>
        <w:t>据</w:t>
      </w:r>
      <w:r>
        <w:rPr>
          <w:rFonts w:hint="eastAsia" w:cs="仿宋_GB2312"/>
        </w:rPr>
        <w:t>实申</w:t>
      </w:r>
      <w:r>
        <w:rPr>
          <w:rFonts w:hint="eastAsia" w:cs="仿宋_GB2312"/>
          <w:spacing w:val="-11"/>
        </w:rPr>
        <w:t>请、公正受理、择优支持、科学管理、公开透明、专款专用的原则</w:t>
      </w:r>
      <w:r>
        <w:rPr>
          <w:rFonts w:hint="eastAsia" w:cs="仿宋_GB2312"/>
        </w:rPr>
        <w:t>。</w:t>
      </w:r>
    </w:p>
    <w:p w14:paraId="7D807ECF">
      <w:pPr>
        <w:pStyle w:val="2"/>
        <w:keepNext w:val="0"/>
        <w:keepLines w:val="0"/>
        <w:rPr>
          <w:rFonts w:ascii="黑体" w:hAnsi="黑体" w:eastAsia="黑体" w:cs="黑体"/>
          <w:sz w:val="32"/>
          <w:szCs w:val="32"/>
        </w:rPr>
      </w:pPr>
      <w:r>
        <w:rPr>
          <w:rFonts w:hint="eastAsia" w:ascii="黑体" w:hAnsi="黑体" w:eastAsia="黑体" w:cs="黑体"/>
          <w:sz w:val="32"/>
          <w:szCs w:val="32"/>
        </w:rPr>
        <w:t>第二章 支持</w:t>
      </w:r>
      <w:r>
        <w:rPr>
          <w:rFonts w:hint="eastAsia" w:ascii="黑体" w:hAnsi="黑体" w:eastAsia="黑体" w:cs="黑体"/>
          <w:kern w:val="0"/>
          <w:sz w:val="32"/>
          <w:szCs w:val="32"/>
        </w:rPr>
        <w:t>对象</w:t>
      </w:r>
      <w:r>
        <w:rPr>
          <w:rFonts w:hint="eastAsia" w:ascii="黑体" w:hAnsi="黑体" w:eastAsia="黑体" w:cs="黑体"/>
          <w:sz w:val="32"/>
          <w:szCs w:val="32"/>
        </w:rPr>
        <w:t>和条件</w:t>
      </w:r>
    </w:p>
    <w:p w14:paraId="458DB5D2">
      <w:pPr>
        <w:adjustRightInd w:val="0"/>
        <w:snapToGrid w:val="0"/>
        <w:ind w:firstLine="640"/>
        <w:rPr>
          <w:rFonts w:ascii="黑体"/>
        </w:rPr>
      </w:pPr>
      <w:r>
        <w:rPr>
          <w:rFonts w:hint="eastAsia" w:ascii="黑体" w:eastAsia="黑体"/>
        </w:rPr>
        <w:t xml:space="preserve">第五条 </w:t>
      </w:r>
      <w:r>
        <w:rPr>
          <w:rFonts w:hint="eastAsia"/>
        </w:rPr>
        <w:t>开放单位是指通过平台向社会开放共享自身拥有的</w:t>
      </w:r>
      <w:r>
        <w:rPr>
          <w:rFonts w:hint="eastAsia" w:cs="仿宋_GB2312"/>
        </w:rPr>
        <w:t>科研设施与仪器</w:t>
      </w:r>
      <w:r>
        <w:rPr>
          <w:rFonts w:hint="eastAsia"/>
        </w:rPr>
        <w:t>的北京地区高等学校、科研院所、企业及其他</w:t>
      </w:r>
      <w:r>
        <w:rPr>
          <w:rFonts w:hint="eastAsia" w:cs="仿宋_GB2312"/>
        </w:rPr>
        <w:t>科研设施与仪器</w:t>
      </w:r>
      <w:r>
        <w:rPr>
          <w:rFonts w:hint="eastAsia"/>
        </w:rPr>
        <w:t>拥有单位，为企业提供分析、测试、检验、研发等服务。开放单位包括市属开放单位和在京开放单位。</w:t>
      </w:r>
    </w:p>
    <w:p w14:paraId="68852569">
      <w:pPr>
        <w:adjustRightInd w:val="0"/>
        <w:snapToGrid w:val="0"/>
        <w:ind w:firstLine="640"/>
      </w:pPr>
      <w:r>
        <w:rPr>
          <w:rFonts w:hint="eastAsia"/>
        </w:rPr>
        <w:t>拥有《实施意见》规定科研设施与仪器的北京市属高等学校、科研院所等单位，应按照</w:t>
      </w:r>
      <w:r>
        <w:t>要求</w:t>
      </w:r>
      <w:r>
        <w:rPr>
          <w:rFonts w:hint="eastAsia"/>
        </w:rPr>
        <w:t>将符合条件的科研设施与仪器纳入平台，成为市属开放单位。</w:t>
      </w:r>
    </w:p>
    <w:p w14:paraId="56F90B1B">
      <w:pPr>
        <w:adjustRightInd w:val="0"/>
        <w:snapToGrid w:val="0"/>
        <w:ind w:firstLine="640"/>
      </w:pPr>
      <w:r>
        <w:rPr>
          <w:rFonts w:hint="eastAsia"/>
        </w:rPr>
        <w:t>鼓励中央在京高等学校、科研院所和在北京地区注册的各类企业等单位通过平台向社会开放共享科研设施与仪器。符合相关条件的，经提出申请、公示等程序后成为在京开放单位。一般应同时满足以下条件：</w:t>
      </w:r>
    </w:p>
    <w:p w14:paraId="2B2BDC1B">
      <w:pPr>
        <w:adjustRightInd w:val="0"/>
        <w:snapToGrid w:val="0"/>
        <w:ind w:firstLine="640"/>
      </w:pPr>
      <w:r>
        <w:rPr>
          <w:rFonts w:hint="eastAsia"/>
        </w:rPr>
        <w:t>（一）在北京地区注册成立，具有独立法人资格</w:t>
      </w:r>
      <w:r>
        <w:t>。</w:t>
      </w:r>
    </w:p>
    <w:p w14:paraId="4CA7D4B8">
      <w:pPr>
        <w:adjustRightInd w:val="0"/>
        <w:snapToGrid w:val="0"/>
        <w:ind w:firstLine="640"/>
      </w:pPr>
      <w:r>
        <w:rPr>
          <w:rFonts w:hint="eastAsia"/>
        </w:rPr>
        <w:t>（二）拥有一定量符合条件的、可对外开放服务的科研设施与仪器，有较强加入平台开放共享</w:t>
      </w:r>
      <w:r>
        <w:t>意愿。</w:t>
      </w:r>
    </w:p>
    <w:p w14:paraId="5D9879AC">
      <w:pPr>
        <w:adjustRightInd w:val="0"/>
        <w:snapToGrid w:val="0"/>
        <w:ind w:firstLine="640"/>
      </w:pPr>
      <w:r>
        <w:rPr>
          <w:rFonts w:hint="eastAsia"/>
        </w:rPr>
        <w:t>（三）具有稳定的科研设施与仪器专业服务团队、良好的对外服务基础和较高的对外服务水平。</w:t>
      </w:r>
    </w:p>
    <w:p w14:paraId="3D80ABBA">
      <w:pPr>
        <w:adjustRightInd w:val="0"/>
        <w:snapToGrid w:val="0"/>
        <w:ind w:firstLine="640"/>
      </w:pPr>
      <w:r>
        <w:rPr>
          <w:rFonts w:hint="eastAsia"/>
        </w:rPr>
        <w:t>（四）能够对接服务企业创新需求，具备支撑和服务高精尖产业发展、“三城一区”及城市副中心等重点区域发展的能力。</w:t>
      </w:r>
    </w:p>
    <w:p w14:paraId="0C48DC29">
      <w:pPr>
        <w:adjustRightInd w:val="0"/>
        <w:snapToGrid w:val="0"/>
        <w:ind w:firstLine="640"/>
      </w:pPr>
      <w:r>
        <w:rPr>
          <w:rFonts w:hint="eastAsia"/>
        </w:rPr>
        <w:t>（五）按照要求开展创新券相关工作，制定明确的服务内容、服务规范及收费标准。</w:t>
      </w:r>
    </w:p>
    <w:p w14:paraId="6232BF59">
      <w:pPr>
        <w:ind w:firstLine="596"/>
        <w:rPr>
          <w:rFonts w:cs="仿宋_GB2312"/>
          <w:spacing w:val="-11"/>
        </w:rPr>
      </w:pPr>
      <w:r>
        <w:rPr>
          <w:rFonts w:hint="eastAsia"/>
          <w:spacing w:val="-11"/>
        </w:rPr>
        <w:t>（六）</w:t>
      </w:r>
      <w:r>
        <w:rPr>
          <w:spacing w:val="-11"/>
        </w:rPr>
        <w:t>具有健全的财务机构</w:t>
      </w:r>
      <w:r>
        <w:rPr>
          <w:rFonts w:hint="eastAsia"/>
          <w:spacing w:val="-11"/>
        </w:rPr>
        <w:t>和管理制度</w:t>
      </w:r>
      <w:r>
        <w:rPr>
          <w:spacing w:val="-11"/>
        </w:rPr>
        <w:t>，</w:t>
      </w:r>
      <w:r>
        <w:rPr>
          <w:rFonts w:cs="仿宋_GB2312"/>
          <w:spacing w:val="-11"/>
        </w:rPr>
        <w:t>近3年无不良</w:t>
      </w:r>
      <w:r>
        <w:rPr>
          <w:rFonts w:hint="eastAsia" w:cs="仿宋_GB2312"/>
          <w:spacing w:val="-11"/>
        </w:rPr>
        <w:t>诚信记录。</w:t>
      </w:r>
    </w:p>
    <w:p w14:paraId="4FE3AAD9">
      <w:pPr>
        <w:adjustRightInd w:val="0"/>
        <w:snapToGrid w:val="0"/>
        <w:ind w:firstLine="640"/>
      </w:pPr>
      <w:r>
        <w:rPr>
          <w:rFonts w:hint="eastAsia"/>
        </w:rPr>
        <w:t>不再继续参与平台和创新券工作的在京</w:t>
      </w:r>
      <w:r>
        <w:rPr>
          <w:rFonts w:hint="eastAsia" w:cs="仿宋_GB2312"/>
        </w:rPr>
        <w:t>开放单位</w:t>
      </w:r>
      <w:r>
        <w:rPr>
          <w:rFonts w:hint="eastAsia"/>
        </w:rPr>
        <w:t>，须有正当退出理由并及时提交退出申请。</w:t>
      </w:r>
    </w:p>
    <w:p w14:paraId="6C1E27C9">
      <w:pPr>
        <w:ind w:firstLine="640"/>
        <w:rPr>
          <w:kern w:val="0"/>
        </w:rPr>
      </w:pPr>
      <w:r>
        <w:rPr>
          <w:rFonts w:hint="eastAsia" w:ascii="黑体" w:eastAsia="黑体"/>
        </w:rPr>
        <w:t xml:space="preserve">第六条 </w:t>
      </w:r>
      <w:r>
        <w:rPr>
          <w:rFonts w:hint="eastAsia" w:cs="仿宋_GB2312"/>
        </w:rPr>
        <w:t>申领单位是指通过创新券支持的北京地区高精尖产业</w:t>
      </w:r>
      <w:r>
        <w:rPr>
          <w:rFonts w:cs="仿宋_GB2312"/>
        </w:rPr>
        <w:t>领域科技</w:t>
      </w:r>
      <w:r>
        <w:rPr>
          <w:rFonts w:hint="eastAsia" w:cs="仿宋_GB2312"/>
        </w:rPr>
        <w:t>型</w:t>
      </w:r>
      <w:r>
        <w:rPr>
          <w:rFonts w:cs="仿宋_GB2312"/>
        </w:rPr>
        <w:t>中</w:t>
      </w:r>
      <w:r>
        <w:rPr>
          <w:rFonts w:hint="eastAsia" w:cs="仿宋_GB2312"/>
        </w:rPr>
        <w:t>小微企业和创业团队。通过平台购买</w:t>
      </w:r>
      <w:r>
        <w:rPr>
          <w:rFonts w:hint="eastAsia"/>
          <w:kern w:val="0"/>
        </w:rPr>
        <w:t>开放单位基于</w:t>
      </w:r>
      <w:r>
        <w:rPr>
          <w:rFonts w:hint="eastAsia" w:cs="仿宋_GB2312"/>
        </w:rPr>
        <w:t>科研设施与仪器开展</w:t>
      </w:r>
      <w:r>
        <w:rPr>
          <w:kern w:val="0"/>
        </w:rPr>
        <w:t>的</w:t>
      </w:r>
      <w:r>
        <w:rPr>
          <w:rFonts w:hint="eastAsia"/>
          <w:kern w:val="0"/>
        </w:rPr>
        <w:t>分析、测试、检验、研发等</w:t>
      </w:r>
      <w:r>
        <w:rPr>
          <w:kern w:val="0"/>
        </w:rPr>
        <w:t>专业</w:t>
      </w:r>
      <w:r>
        <w:rPr>
          <w:rFonts w:hint="eastAsia"/>
          <w:kern w:val="0"/>
        </w:rPr>
        <w:t>服务</w:t>
      </w:r>
      <w:r>
        <w:rPr>
          <w:kern w:val="0"/>
        </w:rPr>
        <w:t>，以及租用开放单位</w:t>
      </w:r>
      <w:r>
        <w:rPr>
          <w:rFonts w:hint="eastAsia"/>
          <w:kern w:val="0"/>
        </w:rPr>
        <w:t>的</w:t>
      </w:r>
      <w:r>
        <w:rPr>
          <w:kern w:val="0"/>
        </w:rPr>
        <w:t>算力</w:t>
      </w:r>
      <w:r>
        <w:rPr>
          <w:rFonts w:hint="eastAsia"/>
          <w:kern w:val="0"/>
        </w:rPr>
        <w:t>设备</w:t>
      </w:r>
      <w:r>
        <w:rPr>
          <w:kern w:val="0"/>
        </w:rPr>
        <w:t>开展人工智能大模型训练。</w:t>
      </w:r>
      <w:r>
        <w:rPr>
          <w:rFonts w:hint="eastAsia"/>
          <w:kern w:val="0"/>
        </w:rPr>
        <w:t>按照法律法规或者强制性标准要求必须开展的强制检测和法定检测等其他商业活动，不纳入创新券支持范围。</w:t>
      </w:r>
    </w:p>
    <w:p w14:paraId="5BE94BDE">
      <w:pPr>
        <w:adjustRightInd w:val="0"/>
        <w:snapToGrid w:val="0"/>
        <w:ind w:firstLine="640"/>
      </w:pPr>
      <w:r>
        <w:rPr>
          <w:rFonts w:hint="eastAsia"/>
        </w:rPr>
        <w:t>（一）中小微企业在领取创新券时，须同时满足以下条件：</w:t>
      </w:r>
    </w:p>
    <w:p w14:paraId="20107B9C">
      <w:pPr>
        <w:ind w:firstLine="640"/>
      </w:pPr>
      <w:r>
        <w:rPr>
          <w:rFonts w:hint="eastAsia"/>
        </w:rPr>
        <w:t>1. 在北京地区注册成立的科技型中小微企业，</w:t>
      </w:r>
      <w:r>
        <w:rPr>
          <w:rFonts w:hint="eastAsia" w:cs="仿宋_GB2312"/>
        </w:rPr>
        <w:t>职工总数不超过500人，年销售收入不超过2亿元，资产总额不超过2亿元</w:t>
      </w:r>
      <w:r>
        <w:rPr>
          <w:rFonts w:hint="eastAsia"/>
        </w:rPr>
        <w:t>，具有健全的财务机构和管理制度，无在惩戒期的严重失信记录。</w:t>
      </w:r>
    </w:p>
    <w:p w14:paraId="3362E218">
      <w:pPr>
        <w:ind w:firstLine="640"/>
      </w:pPr>
      <w:r>
        <w:rPr>
          <w:rFonts w:hint="eastAsia"/>
        </w:rPr>
        <w:t>2.主营业务方向符合医药健康、新材料、人工智能、</w:t>
      </w:r>
      <w:r>
        <w:rPr>
          <w:rFonts w:hint="eastAsia"/>
          <w:highlight w:val="none"/>
        </w:rPr>
        <w:t>智能制造、</w:t>
      </w:r>
      <w:r>
        <w:rPr>
          <w:rFonts w:hint="eastAsia"/>
        </w:rPr>
        <w:t>科技服务业等高精尖产业领域。</w:t>
      </w:r>
    </w:p>
    <w:p w14:paraId="73888510">
      <w:pPr>
        <w:ind w:firstLine="640"/>
      </w:pPr>
      <w:r>
        <w:rPr>
          <w:rFonts w:hint="eastAsia"/>
          <w:kern w:val="0"/>
        </w:rPr>
        <w:t>（二）创业团队</w:t>
      </w:r>
      <w:r>
        <w:rPr>
          <w:rFonts w:hint="eastAsia"/>
        </w:rPr>
        <w:t>在领取创新券时，</w:t>
      </w:r>
      <w:r>
        <w:rPr>
          <w:rFonts w:hint="eastAsia"/>
          <w:kern w:val="0"/>
        </w:rPr>
        <w:t>须</w:t>
      </w:r>
      <w:r>
        <w:rPr>
          <w:rFonts w:hint="eastAsia"/>
        </w:rPr>
        <w:t>同时</w:t>
      </w:r>
      <w:r>
        <w:rPr>
          <w:rFonts w:hint="eastAsia"/>
          <w:kern w:val="0"/>
        </w:rPr>
        <w:t>满足以下条件：</w:t>
      </w:r>
    </w:p>
    <w:p w14:paraId="5765A88D">
      <w:pPr>
        <w:ind w:firstLine="640"/>
      </w:pPr>
      <w:r>
        <w:rPr>
          <w:rFonts w:hint="eastAsia"/>
          <w:kern w:val="0"/>
        </w:rPr>
        <w:t>1.不具备法人资格</w:t>
      </w:r>
      <w:r>
        <w:rPr>
          <w:rFonts w:hint="eastAsia"/>
        </w:rPr>
        <w:t>，还未注册企业，主要成员应为北京地区在校学生。</w:t>
      </w:r>
    </w:p>
    <w:p w14:paraId="72001F3B">
      <w:pPr>
        <w:ind w:firstLine="640"/>
      </w:pPr>
      <w:r>
        <w:t>2</w:t>
      </w:r>
      <w:r>
        <w:rPr>
          <w:rFonts w:hint="eastAsia"/>
        </w:rPr>
        <w:t>.申请创新券支持的项目须已开展产品研发及转化所需的测试或研发工作（不包括创业策划阶段项目）。</w:t>
      </w:r>
    </w:p>
    <w:p w14:paraId="09BB1DDD">
      <w:pPr>
        <w:pStyle w:val="2"/>
        <w:keepNext w:val="0"/>
        <w:keepLines w:val="0"/>
        <w:rPr>
          <w:rFonts w:ascii="黑体" w:hAnsi="黑体" w:eastAsia="黑体" w:cs="黑体"/>
          <w:sz w:val="32"/>
          <w:szCs w:val="32"/>
        </w:rPr>
      </w:pPr>
      <w:r>
        <w:rPr>
          <w:rFonts w:hint="eastAsia" w:ascii="黑体" w:hAnsi="黑体" w:eastAsia="黑体" w:cs="黑体"/>
          <w:sz w:val="32"/>
          <w:szCs w:val="32"/>
        </w:rPr>
        <w:t>第三章 各方职责</w:t>
      </w:r>
    </w:p>
    <w:p w14:paraId="6A754B79">
      <w:pPr>
        <w:ind w:firstLine="640"/>
      </w:pPr>
      <w:r>
        <w:rPr>
          <w:rFonts w:hint="eastAsia" w:ascii="黑体" w:eastAsia="黑体"/>
        </w:rPr>
        <w:t xml:space="preserve">第七条 </w:t>
      </w:r>
      <w:r>
        <w:rPr>
          <w:rFonts w:hint="eastAsia"/>
        </w:rPr>
        <w:t>市科委中关村管委会主要负责平台与创新券的政策制定、</w:t>
      </w:r>
      <w:r>
        <w:t>组织实施</w:t>
      </w:r>
      <w:r>
        <w:rPr>
          <w:rFonts w:hint="eastAsia"/>
        </w:rPr>
        <w:t>、绩效评价</w:t>
      </w:r>
      <w:r>
        <w:t>、监督管理</w:t>
      </w:r>
      <w:r>
        <w:rPr>
          <w:rFonts w:hint="eastAsia"/>
        </w:rPr>
        <w:t>等工作，研究确定政策实施过程中的有关重大事项。</w:t>
      </w:r>
    </w:p>
    <w:p w14:paraId="30DD56E5">
      <w:pPr>
        <w:ind w:firstLine="640"/>
        <w:rPr>
          <w:rFonts w:cs="仿宋_GB2312"/>
        </w:rPr>
      </w:pPr>
      <w:r>
        <w:rPr>
          <w:rFonts w:hint="eastAsia" w:ascii="黑体" w:eastAsia="黑体"/>
        </w:rPr>
        <w:t xml:space="preserve">第八条 </w:t>
      </w:r>
      <w:r>
        <w:rPr>
          <w:rFonts w:hint="eastAsia"/>
        </w:rPr>
        <w:t>开放单位主要职责：</w:t>
      </w:r>
    </w:p>
    <w:p w14:paraId="365B6549">
      <w:pPr>
        <w:ind w:firstLine="640"/>
      </w:pPr>
      <w:r>
        <w:rPr>
          <w:rFonts w:hint="eastAsia"/>
        </w:rPr>
        <w:t>（一）整合</w:t>
      </w:r>
      <w:r>
        <w:rPr>
          <w:rFonts w:hint="eastAsia" w:cs="仿宋_GB2312"/>
        </w:rPr>
        <w:t>科研设施与仪器，梳理相应的科技服务情况，</w:t>
      </w:r>
      <w:r>
        <w:rPr>
          <w:rFonts w:hint="eastAsia"/>
        </w:rPr>
        <w:t>挖掘企业创新需求，开展京内外供需对接活动，推进</w:t>
      </w:r>
      <w:r>
        <w:rPr>
          <w:rFonts w:hint="eastAsia" w:cs="仿宋_GB2312"/>
        </w:rPr>
        <w:t>科研设施与仪器</w:t>
      </w:r>
      <w:r>
        <w:rPr>
          <w:rFonts w:hint="eastAsia"/>
        </w:rPr>
        <w:t>向社会开放共享，并参加平台年度绩效考核（当年加入平台的开放单位次年参加绩效考核）。</w:t>
      </w:r>
    </w:p>
    <w:p w14:paraId="6B49700B">
      <w:pPr>
        <w:ind w:firstLine="640"/>
        <w:rPr>
          <w:kern w:val="0"/>
        </w:rPr>
      </w:pPr>
      <w:r>
        <w:rPr>
          <w:rFonts w:hint="eastAsia" w:cs="仿宋_GB2312"/>
        </w:rPr>
        <w:t>（二）确认申领单位信息和创新券合作项目信息，核实是否满足创新券使用和兑现要求，为申领单位提供创新服务</w:t>
      </w:r>
      <w:r>
        <w:rPr>
          <w:rFonts w:hint="eastAsia"/>
          <w:kern w:val="0"/>
        </w:rPr>
        <w:t>。</w:t>
      </w:r>
    </w:p>
    <w:p w14:paraId="7B5C3D9E">
      <w:pPr>
        <w:ind w:firstLine="640"/>
      </w:pPr>
      <w:r>
        <w:rPr>
          <w:rFonts w:hint="eastAsia"/>
          <w:kern w:val="0"/>
        </w:rPr>
        <w:t>（三）组织</w:t>
      </w:r>
      <w:r>
        <w:rPr>
          <w:rFonts w:hint="eastAsia"/>
        </w:rPr>
        <w:t>开展本单位的创新券项目兑现工作，如因自身原因导致创新券无法兑现，将承担由此产生的全部责任。</w:t>
      </w:r>
    </w:p>
    <w:p w14:paraId="1CB4DEB2">
      <w:pPr>
        <w:ind w:firstLine="640"/>
      </w:pPr>
      <w:r>
        <w:rPr>
          <w:rFonts w:hint="eastAsia"/>
        </w:rPr>
        <w:t>（四）</w:t>
      </w:r>
      <w:r>
        <w:rPr>
          <w:rFonts w:hint="eastAsia"/>
          <w:kern w:val="0"/>
        </w:rPr>
        <w:t>维护</w:t>
      </w:r>
      <w:r>
        <w:rPr>
          <w:rFonts w:hint="eastAsia" w:cs="仿宋_GB2312"/>
        </w:rPr>
        <w:t>申领单位</w:t>
      </w:r>
      <w:r>
        <w:rPr>
          <w:rFonts w:hint="eastAsia"/>
          <w:kern w:val="0"/>
        </w:rPr>
        <w:t>的商业机密及合法权益，对</w:t>
      </w:r>
      <w:r>
        <w:rPr>
          <w:rFonts w:hint="eastAsia" w:cs="仿宋_GB2312"/>
        </w:rPr>
        <w:t>申领单位</w:t>
      </w:r>
      <w:r>
        <w:rPr>
          <w:rFonts w:hint="eastAsia"/>
          <w:kern w:val="0"/>
        </w:rPr>
        <w:t>提交的注册资料、科研活动内容等相关信息严格保密。</w:t>
      </w:r>
    </w:p>
    <w:p w14:paraId="61D015B9">
      <w:pPr>
        <w:ind w:firstLine="640"/>
        <w:rPr>
          <w:rFonts w:cs="仿宋_GB2312"/>
        </w:rPr>
      </w:pPr>
      <w:r>
        <w:rPr>
          <w:rFonts w:hint="eastAsia" w:ascii="黑体" w:eastAsia="黑体"/>
        </w:rPr>
        <w:t>第九条</w:t>
      </w:r>
      <w:r>
        <w:rPr>
          <w:rFonts w:hint="eastAsia"/>
        </w:rPr>
        <w:t xml:space="preserve"> 开放单位可根据自身情况安排主责部门，或委托授权专业服务机构代表其对外运营服务开放的科研设施与仪器。专业服务机构</w:t>
      </w:r>
      <w:r>
        <w:rPr>
          <w:rFonts w:hint="eastAsia" w:cs="仿宋_GB2312"/>
        </w:rPr>
        <w:t>须为本体系内具有独立法人资格的机构，同时具备资源整合、需求挖掘、供需对接以及市场化运营等专业服务能力。</w:t>
      </w:r>
    </w:p>
    <w:p w14:paraId="06DE49DB">
      <w:pPr>
        <w:ind w:firstLine="640"/>
        <w:rPr>
          <w:rFonts w:cs="仿宋_GB2312"/>
        </w:rPr>
      </w:pPr>
      <w:r>
        <w:rPr>
          <w:rFonts w:hint="eastAsia"/>
        </w:rPr>
        <w:t>采取委托授权专业服务机构形式的开放单位，由主责部门负责指导、监督专业服务机构开展平台和创新券相关工作，研究确定实施过程中的有关重大事项等；专业服务机构代表开放单位参加平台年度绩效考核(</w:t>
      </w:r>
      <w:bookmarkStart w:id="0" w:name="_Hlk198723802"/>
      <w:r>
        <w:rPr>
          <w:rFonts w:hint="eastAsia" w:cs="Arial"/>
        </w:rPr>
        <w:t>多家开放单位授权同一家专业服务机构的，可由专业服务机构汇总所有开放单位共享情况统一参加绩效考核</w:t>
      </w:r>
      <w:bookmarkEnd w:id="0"/>
      <w:r>
        <w:t>)</w:t>
      </w:r>
      <w:r>
        <w:rPr>
          <w:rFonts w:hint="eastAsia"/>
        </w:rPr>
        <w:t>，并具体承担资源梳理、供需对接等平台和创新券日常工作。</w:t>
      </w:r>
    </w:p>
    <w:p w14:paraId="18C3FC66">
      <w:pPr>
        <w:ind w:firstLine="640"/>
      </w:pPr>
      <w:r>
        <w:rPr>
          <w:rFonts w:hint="eastAsia" w:ascii="黑体" w:eastAsia="黑体"/>
        </w:rPr>
        <w:t xml:space="preserve">第十条 </w:t>
      </w:r>
      <w:r>
        <w:rPr>
          <w:rFonts w:hint="eastAsia"/>
        </w:rPr>
        <w:t>申领单位主要职责：</w:t>
      </w:r>
    </w:p>
    <w:p w14:paraId="31B6A47B">
      <w:pPr>
        <w:ind w:firstLine="640"/>
      </w:pPr>
      <w:r>
        <w:rPr>
          <w:rFonts w:hint="eastAsia"/>
        </w:rPr>
        <w:t>（一）充分了解创新券支持对象及条件、支持内容和方式、组织实施程序等相关要求，确认符合相关条件的基础上，按要求提交申领材料并自主领取创新券，须保证申领材料的所有内容真实、合</w:t>
      </w:r>
      <w:r>
        <w:t>规</w:t>
      </w:r>
      <w:r>
        <w:rPr>
          <w:rFonts w:hint="eastAsia"/>
        </w:rPr>
        <w:t>、准确。</w:t>
      </w:r>
    </w:p>
    <w:p w14:paraId="46D0CAD7">
      <w:pPr>
        <w:ind w:firstLine="640"/>
      </w:pPr>
      <w:r>
        <w:rPr>
          <w:rFonts w:hint="eastAsia"/>
        </w:rPr>
        <w:t>（二）确保开展的项目符合创新券支持条件，且合作单位与内容均在公布的开放单位服务事项目录范围内。</w:t>
      </w:r>
    </w:p>
    <w:p w14:paraId="530270DF">
      <w:pPr>
        <w:ind w:firstLine="640"/>
        <w:rPr>
          <w:rFonts w:cs="仿宋_GB2312"/>
        </w:rPr>
      </w:pPr>
      <w:r>
        <w:rPr>
          <w:rFonts w:hint="eastAsia"/>
        </w:rPr>
        <w:t>（三）配合开展创新券兑现工作，如因自身原因导致创新券无法兑现，将承担由此产生的全部责任。</w:t>
      </w:r>
    </w:p>
    <w:p w14:paraId="1FB101E4">
      <w:pPr>
        <w:pStyle w:val="2"/>
        <w:keepNext w:val="0"/>
        <w:keepLines w:val="0"/>
        <w:rPr>
          <w:rFonts w:ascii="黑体" w:hAnsi="黑体" w:eastAsia="黑体" w:cs="黑体"/>
          <w:sz w:val="32"/>
          <w:szCs w:val="32"/>
        </w:rPr>
      </w:pPr>
      <w:r>
        <w:rPr>
          <w:rFonts w:hint="eastAsia" w:ascii="黑体" w:hAnsi="黑体" w:eastAsia="黑体" w:cs="黑体"/>
          <w:sz w:val="32"/>
          <w:szCs w:val="32"/>
        </w:rPr>
        <w:t>第四章</w:t>
      </w:r>
      <w:bookmarkStart w:id="1" w:name="_Hlk116745517"/>
      <w:r>
        <w:rPr>
          <w:rFonts w:hint="eastAsia" w:ascii="黑体" w:hAnsi="黑体" w:eastAsia="黑体" w:cs="黑体"/>
          <w:sz w:val="32"/>
          <w:szCs w:val="32"/>
        </w:rPr>
        <w:t xml:space="preserve"> 考核标准和支持方式</w:t>
      </w:r>
      <w:bookmarkEnd w:id="1"/>
    </w:p>
    <w:p w14:paraId="64A24A5D">
      <w:pPr>
        <w:ind w:firstLine="640"/>
      </w:pPr>
      <w:bookmarkStart w:id="2" w:name="_Hlk106734680"/>
      <w:r>
        <w:rPr>
          <w:rFonts w:hint="eastAsia" w:ascii="黑体" w:eastAsia="黑体"/>
        </w:rPr>
        <w:t xml:space="preserve">第十一条 </w:t>
      </w:r>
      <w:r>
        <w:rPr>
          <w:rFonts w:hint="eastAsia"/>
        </w:rPr>
        <w:t>市科委中关村管委会每年对开放单位（委托授权的专业服务机构）向社会开放共享科研设施与仪器的情况进行绩效考核，</w:t>
      </w:r>
      <w:bookmarkEnd w:id="2"/>
      <w:r>
        <w:rPr>
          <w:rFonts w:hint="eastAsia"/>
        </w:rPr>
        <w:t>以科研设施与仪器的运行情况、开放制度建设情况、开放</w:t>
      </w:r>
      <w:r>
        <w:rPr>
          <w:rFonts w:hint="eastAsia" w:cs="仿宋_GB2312"/>
        </w:rPr>
        <w:t>程度</w:t>
      </w:r>
      <w:r>
        <w:rPr>
          <w:rFonts w:hint="eastAsia"/>
        </w:rPr>
        <w:t>、创新券实施情况及开放效果等作为主要绩效考核内容，</w:t>
      </w:r>
      <w:r>
        <w:rPr>
          <w:rFonts w:hint="eastAsia" w:cs="Arial"/>
        </w:rPr>
        <w:t>根据绩效考核结果采取后补助方式择优支持。</w:t>
      </w:r>
    </w:p>
    <w:p w14:paraId="410BB703">
      <w:pPr>
        <w:ind w:firstLine="640"/>
      </w:pPr>
      <w:r>
        <w:rPr>
          <w:rFonts w:hint="eastAsia" w:cs="Arial"/>
        </w:rPr>
        <w:t>以分析、测试、检验、研发服务为主业（上年度以上服务收入占营业收入6</w:t>
      </w:r>
      <w:r>
        <w:rPr>
          <w:rFonts w:cs="Arial"/>
        </w:rPr>
        <w:t>0%</w:t>
      </w:r>
      <w:r>
        <w:rPr>
          <w:rFonts w:hint="eastAsia" w:cs="Arial"/>
        </w:rPr>
        <w:t>及以上）的企业类开放单位原则上不纳入平台绩效考核补助资金支持范围。</w:t>
      </w:r>
    </w:p>
    <w:p w14:paraId="7978D723">
      <w:pPr>
        <w:ind w:firstLine="640"/>
        <w:rPr>
          <w:rFonts w:cs="Arial"/>
        </w:rPr>
      </w:pPr>
      <w:r>
        <w:rPr>
          <w:rFonts w:hint="eastAsia" w:ascii="黑体" w:eastAsia="黑体"/>
        </w:rPr>
        <w:t>第十二条</w:t>
      </w:r>
      <w:r>
        <w:rPr>
          <w:rFonts w:hint="eastAsia"/>
        </w:rPr>
        <w:t xml:space="preserve"> 市科委中关村管委会根据每年申报总体情况，对参评单位按照开放科研设施与仪器价值量分为Ⅰ、Ⅱ</w:t>
      </w:r>
      <w:r>
        <w:rPr>
          <w:rFonts w:hint="eastAsia" w:cs="Arial"/>
        </w:rPr>
        <w:t>两类进行绩效考核。开放科研设施与仪器价值量大于或等于参评单位价值量平均值的为</w:t>
      </w:r>
      <w:r>
        <w:rPr>
          <w:rFonts w:hint="eastAsia"/>
        </w:rPr>
        <w:t>Ⅰ</w:t>
      </w:r>
      <w:r>
        <w:rPr>
          <w:rFonts w:hint="eastAsia" w:cs="Arial"/>
        </w:rPr>
        <w:t>类单位，小于平均值的为</w:t>
      </w:r>
      <w:r>
        <w:rPr>
          <w:rFonts w:hint="eastAsia"/>
        </w:rPr>
        <w:t>Ⅱ</w:t>
      </w:r>
      <w:r>
        <w:rPr>
          <w:rFonts w:hint="eastAsia" w:cs="Arial"/>
        </w:rPr>
        <w:t>类单位</w:t>
      </w:r>
      <w:bookmarkStart w:id="3" w:name="_Hlk106735082"/>
      <w:r>
        <w:rPr>
          <w:rFonts w:hint="eastAsia" w:cs="Arial"/>
        </w:rPr>
        <w:t>。</w:t>
      </w:r>
    </w:p>
    <w:p w14:paraId="2BE24CE2">
      <w:pPr>
        <w:ind w:firstLine="640"/>
      </w:pPr>
      <w:r>
        <w:rPr>
          <w:rFonts w:hint="eastAsia" w:cs="Arial"/>
        </w:rPr>
        <w:t>（一）资金支持标准。对</w:t>
      </w:r>
      <w:r>
        <w:rPr>
          <w:rFonts w:hint="eastAsia"/>
        </w:rPr>
        <w:t>Ⅰ</w:t>
      </w:r>
      <w:r>
        <w:t>类单位，考核结果为优秀、良好的，分别给予</w:t>
      </w:r>
      <w:r>
        <w:rPr>
          <w:rFonts w:hint="eastAsia"/>
        </w:rPr>
        <w:t>最高</w:t>
      </w:r>
      <w:r>
        <w:t>不超过100万元、60万元资金支持；对</w:t>
      </w:r>
      <w:r>
        <w:rPr>
          <w:rFonts w:hint="eastAsia"/>
        </w:rPr>
        <w:t>Ⅱ</w:t>
      </w:r>
      <w:r>
        <w:t>类单位，考核结果为优秀、良好的，分别给予</w:t>
      </w:r>
      <w:r>
        <w:rPr>
          <w:rFonts w:hint="eastAsia"/>
        </w:rPr>
        <w:t>最高</w:t>
      </w:r>
      <w:r>
        <w:t>不超过80万元、40万元资金支持。</w:t>
      </w:r>
      <w:bookmarkEnd w:id="3"/>
      <w:r>
        <w:t>对</w:t>
      </w:r>
      <w:r>
        <w:rPr>
          <w:rFonts w:hint="eastAsia"/>
        </w:rPr>
        <w:t>Ⅰ、Ⅱ两类</w:t>
      </w:r>
      <w:r>
        <w:t>单位考核结果为合格、不合格的，不予资金支持。</w:t>
      </w:r>
    </w:p>
    <w:p w14:paraId="23AC349F">
      <w:pPr>
        <w:ind w:firstLine="640"/>
      </w:pPr>
      <w:r>
        <w:rPr>
          <w:rFonts w:hint="eastAsia"/>
        </w:rPr>
        <w:t>（二）保留或退出机制。当年考核结果为合格及以上的，可继续参与平台和创新券工作；考核结果为不合格的，不可接收创新券。对于市属开放单位，考核结果为不合格的（逾期未提交绩效考核材料视同考核结果不合格），在网上予以公布，并作为主管部门与市财政局是否批准新购置科研设施与仪器的重要参考依据；对于在京开放单位，逾期未提交绩效考核材料或连续3年考核结果为不合格的，取消其开放单位资格，不再参与平台和创新券工作，3年内不能再次申请加入平台。</w:t>
      </w:r>
    </w:p>
    <w:p w14:paraId="206B8C48">
      <w:pPr>
        <w:ind w:firstLine="640"/>
        <w:rPr>
          <w:kern w:val="0"/>
        </w:rPr>
      </w:pPr>
      <w:r>
        <w:rPr>
          <w:rFonts w:hint="eastAsia" w:eastAsia="黑体"/>
        </w:rPr>
        <w:t xml:space="preserve">第十三条 </w:t>
      </w:r>
      <w:r>
        <w:rPr>
          <w:rFonts w:hint="eastAsia"/>
          <w:kern w:val="0"/>
        </w:rPr>
        <w:t>创新券</w:t>
      </w:r>
      <w:r>
        <w:rPr>
          <w:rFonts w:hint="eastAsia" w:cs="仿宋_GB2312"/>
        </w:rPr>
        <w:t>采用电子券形式，</w:t>
      </w:r>
      <w:r>
        <w:rPr>
          <w:rFonts w:hint="eastAsia"/>
          <w:kern w:val="0"/>
        </w:rPr>
        <w:t>分期在网上发放，每期的总额度发完即止，单张最高限额为</w:t>
      </w:r>
      <w:r>
        <w:rPr>
          <w:kern w:val="0"/>
        </w:rPr>
        <w:t>5万元</w:t>
      </w:r>
      <w:r>
        <w:rPr>
          <w:rFonts w:hint="eastAsia"/>
          <w:kern w:val="0"/>
        </w:rPr>
        <w:t>，具体领取额度由申领单位按需自行确定。</w:t>
      </w:r>
    </w:p>
    <w:p w14:paraId="58F17BCC">
      <w:pPr>
        <w:ind w:firstLine="640"/>
      </w:pPr>
      <w:r>
        <w:rPr>
          <w:rFonts w:hint="eastAsia"/>
          <w:kern w:val="0"/>
        </w:rPr>
        <w:t>（一）符合以下条件之一的企业，</w:t>
      </w:r>
      <w:r>
        <w:rPr>
          <w:rFonts w:hint="eastAsia"/>
        </w:rPr>
        <w:t>每年可使用的创新券</w:t>
      </w:r>
      <w:r>
        <w:rPr>
          <w:rFonts w:hint="eastAsia"/>
          <w:kern w:val="0"/>
        </w:rPr>
        <w:t>额度最高</w:t>
      </w:r>
      <w:r>
        <w:rPr>
          <w:rFonts w:hint="eastAsia"/>
        </w:rPr>
        <w:t>不超过</w:t>
      </w:r>
      <w:r>
        <w:t>5</w:t>
      </w:r>
      <w:r>
        <w:rPr>
          <w:rFonts w:hint="eastAsia"/>
        </w:rPr>
        <w:t>0万元：</w:t>
      </w:r>
    </w:p>
    <w:p w14:paraId="4327328D">
      <w:pPr>
        <w:ind w:firstLine="640"/>
      </w:pPr>
      <w:r>
        <w:rPr>
          <w:rFonts w:hint="eastAsia"/>
          <w:kern w:val="0"/>
        </w:rPr>
        <w:t>1.</w:t>
      </w:r>
      <w:r>
        <w:rPr>
          <w:rFonts w:hint="eastAsia"/>
        </w:rPr>
        <w:t>获得国家、中关村高新技术企业认定的企业。</w:t>
      </w:r>
    </w:p>
    <w:p w14:paraId="51CB2536">
      <w:pPr>
        <w:ind w:firstLine="640"/>
      </w:pPr>
      <w:r>
        <w:rPr>
          <w:rFonts w:hint="eastAsia"/>
        </w:rPr>
        <w:t>2.通过科技型中小企业评价入库并在有效期内的企业。</w:t>
      </w:r>
    </w:p>
    <w:p w14:paraId="795F6839">
      <w:pPr>
        <w:ind w:firstLine="640"/>
      </w:pPr>
      <w:r>
        <w:rPr>
          <w:rFonts w:hint="eastAsia"/>
        </w:rPr>
        <w:t>3.规模以上科技服务业企业。</w:t>
      </w:r>
    </w:p>
    <w:p w14:paraId="5C2E4A37">
      <w:pPr>
        <w:ind w:firstLine="640"/>
      </w:pPr>
      <w:r>
        <w:rPr>
          <w:rFonts w:hint="eastAsia"/>
        </w:rPr>
        <w:t>（二）其他科技型中小微企业及创业团队每年可使用的创新券额度最高不超过</w:t>
      </w:r>
      <w:r>
        <w:t>2</w:t>
      </w:r>
      <w:r>
        <w:rPr>
          <w:rFonts w:hint="eastAsia"/>
        </w:rPr>
        <w:t>0万元。</w:t>
      </w:r>
    </w:p>
    <w:p w14:paraId="76E21564">
      <w:pPr>
        <w:ind w:firstLine="640"/>
        <w:rPr>
          <w:rFonts w:cs="仿宋_GB2312"/>
        </w:rPr>
      </w:pPr>
      <w:r>
        <w:rPr>
          <w:rFonts w:hint="eastAsia"/>
        </w:rPr>
        <w:t>使用创新券支付额不得超过同一服务合同实际发生金额的50%，申领单位同期享受创新券补贴的项目数不得超过2项（执行期满的项目不计入统计范围）。</w:t>
      </w:r>
      <w:r>
        <w:rPr>
          <w:rFonts w:hint="eastAsia"/>
          <w:kern w:val="0"/>
        </w:rPr>
        <w:t>已获得过市级财政科技资金支持的项目，创新券不再重复支持。</w:t>
      </w:r>
    </w:p>
    <w:p w14:paraId="5A5B8F5E">
      <w:pPr>
        <w:ind w:firstLine="640"/>
        <w:rPr>
          <w:kern w:val="0"/>
        </w:rPr>
      </w:pPr>
      <w:r>
        <w:rPr>
          <w:rFonts w:hint="eastAsia" w:eastAsia="黑体"/>
        </w:rPr>
        <w:t xml:space="preserve">第十四条 </w:t>
      </w:r>
      <w:r>
        <w:rPr>
          <w:rFonts w:hint="eastAsia"/>
          <w:kern w:val="0"/>
        </w:rPr>
        <w:t>平台绩效考核后补助资金和创新券服务收入</w:t>
      </w:r>
      <w:r>
        <w:rPr>
          <w:kern w:val="0"/>
        </w:rPr>
        <w:t>，</w:t>
      </w:r>
      <w:r>
        <w:rPr>
          <w:rFonts w:hint="eastAsia"/>
          <w:kern w:val="0"/>
        </w:rPr>
        <w:t>纳入开放单位（委托授权的专业服务机构）预算统一管理，可用于补助相关实验人员及辅助管理人员的绩效激励、人员培训、实验室建设和运行、</w:t>
      </w:r>
      <w:r>
        <w:rPr>
          <w:rFonts w:hint="eastAsia" w:cs="仿宋_GB2312"/>
        </w:rPr>
        <w:t>科研设施与仪器</w:t>
      </w:r>
      <w:r>
        <w:rPr>
          <w:rFonts w:hint="eastAsia"/>
          <w:kern w:val="0"/>
        </w:rPr>
        <w:t>及测试方法研发等促进开放共享服务的相关工作。科研设施与仪器开放共享服务收入中扣除相关成本费用后的结余部分，可按照不低于70%的比例用于提供开放共享服务人员的绩效奖励。该绩效奖励一次性计入本单位工资总额，但不受当年本单位工资总额限制，不纳入本单位工资总额基数</w:t>
      </w:r>
      <w:r>
        <w:rPr>
          <w:kern w:val="0"/>
        </w:rPr>
        <w:t>。</w:t>
      </w:r>
    </w:p>
    <w:p w14:paraId="0597F4AD">
      <w:pPr>
        <w:pStyle w:val="2"/>
        <w:keepNext w:val="0"/>
        <w:keepLines w:val="0"/>
        <w:rPr>
          <w:rFonts w:ascii="黑体" w:hAnsi="黑体" w:eastAsia="黑体" w:cs="黑体"/>
          <w:sz w:val="32"/>
          <w:szCs w:val="32"/>
        </w:rPr>
      </w:pPr>
      <w:r>
        <w:rPr>
          <w:rFonts w:hint="eastAsia" w:ascii="黑体" w:hAnsi="黑体" w:eastAsia="黑体" w:cs="黑体"/>
          <w:sz w:val="32"/>
          <w:szCs w:val="32"/>
        </w:rPr>
        <w:t>第五章 组织实施程序</w:t>
      </w:r>
    </w:p>
    <w:p w14:paraId="31923710">
      <w:pPr>
        <w:ind w:firstLine="640"/>
      </w:pPr>
      <w:bookmarkStart w:id="4" w:name="_Hlk106735785"/>
      <w:r>
        <w:rPr>
          <w:rFonts w:hint="eastAsia" w:eastAsia="黑体"/>
        </w:rPr>
        <w:t xml:space="preserve">第十五条 </w:t>
      </w:r>
      <w:r>
        <w:rPr>
          <w:rFonts w:hint="eastAsia"/>
        </w:rPr>
        <w:t>平台绩效考核组织实施程序：</w:t>
      </w:r>
    </w:p>
    <w:p w14:paraId="51572CB7">
      <w:pPr>
        <w:ind w:firstLine="640"/>
        <w:rPr>
          <w:kern w:val="0"/>
        </w:rPr>
      </w:pPr>
      <w:r>
        <w:rPr>
          <w:rFonts w:hint="eastAsia"/>
        </w:rPr>
        <w:t>（一）发布通</w:t>
      </w:r>
      <w:r>
        <w:rPr>
          <w:rFonts w:hint="eastAsia"/>
          <w:kern w:val="0"/>
        </w:rPr>
        <w:t>知。市科委中关村管委会发布开展平台绩效考核通知，明确申报要求、支持范围、申报材料等。</w:t>
      </w:r>
    </w:p>
    <w:p w14:paraId="185B4266">
      <w:pPr>
        <w:ind w:firstLine="640"/>
        <w:rPr>
          <w:kern w:val="0"/>
        </w:rPr>
      </w:pPr>
      <w:r>
        <w:rPr>
          <w:rFonts w:hint="eastAsia"/>
          <w:kern w:val="0"/>
        </w:rPr>
        <w:t>（二）组织申报。市科委中关村管委会组织开放单位（委托授权的专业服务机构）填报专项申报书及相关附件材料。</w:t>
      </w:r>
    </w:p>
    <w:p w14:paraId="000EF556">
      <w:pPr>
        <w:ind w:firstLine="640"/>
        <w:rPr>
          <w:kern w:val="0"/>
        </w:rPr>
      </w:pPr>
      <w:r>
        <w:rPr>
          <w:rFonts w:hint="eastAsia"/>
          <w:kern w:val="0"/>
        </w:rPr>
        <w:t>（三）组织评审。市科委中关村管委会组织专家进行评审，根据专家评审意见，形成初步绩效考核结果，同时专家组根据审评情况抽取一定比例的开放单位形成实地核查名单。</w:t>
      </w:r>
    </w:p>
    <w:p w14:paraId="58E69325">
      <w:pPr>
        <w:ind w:firstLine="640"/>
        <w:rPr>
          <w:kern w:val="0"/>
        </w:rPr>
      </w:pPr>
      <w:r>
        <w:rPr>
          <w:rFonts w:hint="eastAsia"/>
          <w:kern w:val="0"/>
        </w:rPr>
        <w:t>（四）实地核查。市科委中关村管委会组织专家开展实地核查，重点对申报材料的真实性和开放共享服务的效果等进行核实。根据初步绩效考核结果和实地核查结果，形成绩效考核结果。</w:t>
      </w:r>
    </w:p>
    <w:p w14:paraId="20A7E768">
      <w:pPr>
        <w:ind w:firstLine="640"/>
      </w:pPr>
      <w:r>
        <w:rPr>
          <w:rFonts w:hint="eastAsia"/>
          <w:kern w:val="0"/>
        </w:rPr>
        <w:t>（五）拨付经费。市科委中关村管委会根据绩效考核结果形</w:t>
      </w:r>
      <w:r>
        <w:rPr>
          <w:rFonts w:hint="eastAsia"/>
        </w:rPr>
        <w:t>成支持方案，按照程序通过</w:t>
      </w:r>
      <w:r>
        <w:t>决策</w:t>
      </w:r>
      <w:r>
        <w:rPr>
          <w:rFonts w:hint="eastAsia"/>
        </w:rPr>
        <w:t>并公示</w:t>
      </w:r>
      <w:r>
        <w:t>5</w:t>
      </w:r>
      <w:r>
        <w:rPr>
          <w:rFonts w:hint="eastAsia"/>
        </w:rPr>
        <w:t>个工作日后，拨付后补助资金。</w:t>
      </w:r>
    </w:p>
    <w:p w14:paraId="646556A6">
      <w:pPr>
        <w:ind w:firstLine="640"/>
      </w:pPr>
      <w:r>
        <w:rPr>
          <w:rFonts w:hint="eastAsia" w:eastAsia="黑体"/>
        </w:rPr>
        <w:t xml:space="preserve">第十六条 </w:t>
      </w:r>
      <w:r>
        <w:rPr>
          <w:rFonts w:hint="eastAsia"/>
        </w:rPr>
        <w:t>创新券申领、使用和</w:t>
      </w:r>
      <w:r>
        <w:rPr>
          <w:rFonts w:hint="eastAsia"/>
          <w:kern w:val="0"/>
        </w:rPr>
        <w:t>兑现</w:t>
      </w:r>
      <w:r>
        <w:rPr>
          <w:rFonts w:hint="eastAsia"/>
        </w:rPr>
        <w:t>组织实施程序：</w:t>
      </w:r>
    </w:p>
    <w:p w14:paraId="1EB9FE4A">
      <w:pPr>
        <w:ind w:firstLine="640"/>
        <w:rPr>
          <w:kern w:val="0"/>
        </w:rPr>
      </w:pPr>
      <w:r>
        <w:rPr>
          <w:rFonts w:hint="eastAsia"/>
          <w:kern w:val="0"/>
        </w:rPr>
        <w:t>（一）网上领取。创新券按期发放，申领单位基于</w:t>
      </w:r>
      <w:r>
        <w:rPr>
          <w:kern w:val="0"/>
        </w:rPr>
        <w:t>诚实</w:t>
      </w:r>
      <w:r>
        <w:rPr>
          <w:rFonts w:hint="eastAsia"/>
          <w:kern w:val="0"/>
        </w:rPr>
        <w:t>信用</w:t>
      </w:r>
      <w:r>
        <w:rPr>
          <w:kern w:val="0"/>
        </w:rPr>
        <w:t>原则</w:t>
      </w:r>
      <w:r>
        <w:rPr>
          <w:rFonts w:hint="eastAsia"/>
          <w:kern w:val="0"/>
        </w:rPr>
        <w:t>确认自身符合条件后，在网上自主点击领取创新券。</w:t>
      </w:r>
    </w:p>
    <w:p w14:paraId="605D2A82">
      <w:pPr>
        <w:ind w:firstLine="640"/>
        <w:rPr>
          <w:kern w:val="0"/>
        </w:rPr>
      </w:pPr>
      <w:r>
        <w:rPr>
          <w:rFonts w:hint="eastAsia"/>
          <w:kern w:val="0"/>
        </w:rPr>
        <w:t>（二）使用登记。</w:t>
      </w:r>
      <w:r>
        <w:rPr>
          <w:kern w:val="0"/>
        </w:rPr>
        <w:t>申领单位登录网站，根据</w:t>
      </w:r>
      <w:r>
        <w:rPr>
          <w:rFonts w:hint="eastAsia"/>
          <w:kern w:val="0"/>
        </w:rPr>
        <w:t>公布</w:t>
      </w:r>
      <w:r>
        <w:rPr>
          <w:kern w:val="0"/>
        </w:rPr>
        <w:t>的服务</w:t>
      </w:r>
      <w:r>
        <w:rPr>
          <w:rFonts w:hint="eastAsia"/>
          <w:kern w:val="0"/>
        </w:rPr>
        <w:t>事项目录</w:t>
      </w:r>
      <w:r>
        <w:rPr>
          <w:kern w:val="0"/>
        </w:rPr>
        <w:t>，按需进行</w:t>
      </w:r>
      <w:r>
        <w:rPr>
          <w:rFonts w:hint="eastAsia"/>
          <w:kern w:val="0"/>
        </w:rPr>
        <w:t>筛选</w:t>
      </w:r>
      <w:r>
        <w:rPr>
          <w:kern w:val="0"/>
        </w:rPr>
        <w:t>及对接，提出合作项目信息。</w:t>
      </w:r>
      <w:r>
        <w:rPr>
          <w:rFonts w:hint="eastAsia"/>
          <w:kern w:val="0"/>
        </w:rPr>
        <w:t>开放单位（委托授权的专业服务机构）审核确认申领单位及项目信息后，与申领单位签订创新券服务合同</w:t>
      </w:r>
      <w:r>
        <w:rPr>
          <w:kern w:val="0"/>
        </w:rPr>
        <w:t>，并</w:t>
      </w:r>
      <w:r>
        <w:rPr>
          <w:rFonts w:hint="eastAsia"/>
          <w:kern w:val="0"/>
        </w:rPr>
        <w:t>及时在网站上登记对应的合同内容及金额。申领的创新券须在</w:t>
      </w:r>
      <w:r>
        <w:rPr>
          <w:kern w:val="0"/>
        </w:rPr>
        <w:t>15日</w:t>
      </w:r>
      <w:r>
        <w:rPr>
          <w:rFonts w:hint="eastAsia"/>
          <w:kern w:val="0"/>
        </w:rPr>
        <w:t>内完成科研活动登记，已登记使用的创新券有效期最长为</w:t>
      </w:r>
      <w:r>
        <w:rPr>
          <w:kern w:val="0"/>
        </w:rPr>
        <w:t>3</w:t>
      </w:r>
      <w:r>
        <w:rPr>
          <w:rFonts w:hint="eastAsia"/>
          <w:kern w:val="0"/>
        </w:rPr>
        <w:t>个月，逾期自动作废。</w:t>
      </w:r>
    </w:p>
    <w:p w14:paraId="71349DF5">
      <w:pPr>
        <w:ind w:firstLine="640"/>
        <w:rPr>
          <w:kern w:val="0"/>
        </w:rPr>
      </w:pPr>
      <w:r>
        <w:rPr>
          <w:rFonts w:hint="eastAsia"/>
          <w:kern w:val="0"/>
        </w:rPr>
        <w:t>（三）申请兑现。创新券服务合同到期后</w:t>
      </w:r>
      <w:r>
        <w:rPr>
          <w:kern w:val="0"/>
        </w:rPr>
        <w:t>1个月内，开放单位</w:t>
      </w:r>
      <w:r>
        <w:rPr>
          <w:rFonts w:hint="eastAsia"/>
          <w:kern w:val="0"/>
        </w:rPr>
        <w:t>（委托授权的专业服务机构）须</w:t>
      </w:r>
      <w:r>
        <w:rPr>
          <w:kern w:val="0"/>
        </w:rPr>
        <w:t>在线提交</w:t>
      </w:r>
      <w:r>
        <w:rPr>
          <w:rFonts w:hint="eastAsia"/>
          <w:kern w:val="0"/>
        </w:rPr>
        <w:t>相关证明材料申请兑现</w:t>
      </w:r>
      <w:r>
        <w:rPr>
          <w:kern w:val="0"/>
        </w:rPr>
        <w:t>，</w:t>
      </w:r>
      <w:r>
        <w:rPr>
          <w:rFonts w:hint="eastAsia"/>
          <w:kern w:val="0"/>
        </w:rPr>
        <w:t>逾期自动作废，</w:t>
      </w:r>
      <w:r>
        <w:rPr>
          <w:kern w:val="0"/>
        </w:rPr>
        <w:t>不计入当年</w:t>
      </w:r>
      <w:r>
        <w:rPr>
          <w:rFonts w:hint="eastAsia"/>
          <w:kern w:val="0"/>
        </w:rPr>
        <w:t>使用</w:t>
      </w:r>
      <w:r>
        <w:rPr>
          <w:kern w:val="0"/>
        </w:rPr>
        <w:t>额度。</w:t>
      </w:r>
    </w:p>
    <w:p w14:paraId="0A9CACF4">
      <w:pPr>
        <w:ind w:firstLine="640"/>
        <w:rPr>
          <w:kern w:val="0"/>
        </w:rPr>
      </w:pPr>
      <w:r>
        <w:rPr>
          <w:rFonts w:hint="eastAsia"/>
          <w:kern w:val="0"/>
        </w:rPr>
        <w:t>（四）组织评审。市科委中关村管委会组织专家进行兑现</w:t>
      </w:r>
      <w:r>
        <w:rPr>
          <w:kern w:val="0"/>
        </w:rPr>
        <w:t>评审</w:t>
      </w:r>
      <w:r>
        <w:rPr>
          <w:rFonts w:hint="eastAsia"/>
          <w:kern w:val="0"/>
        </w:rPr>
        <w:t>，并对存疑项目组织专家实地核查或现场答辩会，根据专家评审意见，汇总形成</w:t>
      </w:r>
      <w:r>
        <w:rPr>
          <w:rFonts w:hint="eastAsia"/>
        </w:rPr>
        <w:t>创新券项目兑现评审结果</w:t>
      </w:r>
      <w:r>
        <w:rPr>
          <w:rFonts w:hint="eastAsia"/>
          <w:kern w:val="0"/>
        </w:rPr>
        <w:t>。</w:t>
      </w:r>
    </w:p>
    <w:p w14:paraId="37A3C450">
      <w:pPr>
        <w:ind w:firstLine="640"/>
      </w:pPr>
      <w:r>
        <w:rPr>
          <w:rFonts w:hint="eastAsia"/>
          <w:kern w:val="0"/>
        </w:rPr>
        <w:t>（五）拨付经费。</w:t>
      </w:r>
      <w:r>
        <w:rPr>
          <w:rFonts w:hint="eastAsia"/>
        </w:rPr>
        <w:t>按照程序通过</w:t>
      </w:r>
      <w:r>
        <w:t>决策</w:t>
      </w:r>
      <w:r>
        <w:rPr>
          <w:rFonts w:hint="eastAsia"/>
        </w:rPr>
        <w:t>并公示</w:t>
      </w:r>
      <w:r>
        <w:t>5</w:t>
      </w:r>
      <w:r>
        <w:rPr>
          <w:rFonts w:hint="eastAsia"/>
        </w:rPr>
        <w:t>个工作日后</w:t>
      </w:r>
      <w:r>
        <w:rPr>
          <w:rFonts w:hint="eastAsia"/>
          <w:kern w:val="0"/>
        </w:rPr>
        <w:t>，</w:t>
      </w:r>
      <w:r>
        <w:rPr>
          <w:rFonts w:hint="eastAsia"/>
        </w:rPr>
        <w:t>拨付后补助资金。</w:t>
      </w:r>
      <w:r>
        <w:rPr>
          <w:rFonts w:hint="eastAsia"/>
          <w:kern w:val="0"/>
        </w:rPr>
        <w:t>市科委中关村管委会每年前三季度分期</w:t>
      </w:r>
      <w:r>
        <w:rPr>
          <w:kern w:val="0"/>
        </w:rPr>
        <w:t>进行创新券资金</w:t>
      </w:r>
      <w:r>
        <w:rPr>
          <w:rFonts w:hint="eastAsia"/>
          <w:kern w:val="0"/>
        </w:rPr>
        <w:t>兑现拨款，第四季度可滚动到下一年度进行支持。</w:t>
      </w:r>
    </w:p>
    <w:bookmarkEnd w:id="4"/>
    <w:p w14:paraId="20AF0955">
      <w:pPr>
        <w:pStyle w:val="2"/>
        <w:keepNext w:val="0"/>
        <w:keepLines w:val="0"/>
        <w:rPr>
          <w:rFonts w:ascii="黑体" w:hAnsi="黑体" w:eastAsia="黑体" w:cs="黑体"/>
          <w:sz w:val="32"/>
          <w:szCs w:val="32"/>
        </w:rPr>
      </w:pPr>
      <w:r>
        <w:rPr>
          <w:rFonts w:hint="eastAsia" w:ascii="黑体" w:hAnsi="黑体" w:eastAsia="黑体" w:cs="黑体"/>
          <w:sz w:val="32"/>
          <w:szCs w:val="32"/>
        </w:rPr>
        <w:t>第六章 监督管理</w:t>
      </w:r>
    </w:p>
    <w:p w14:paraId="7605B44D">
      <w:pPr>
        <w:ind w:firstLine="640"/>
        <w:rPr>
          <w:kern w:val="0"/>
        </w:rPr>
      </w:pPr>
      <w:r>
        <w:rPr>
          <w:rFonts w:hint="eastAsia" w:eastAsia="黑体"/>
        </w:rPr>
        <w:t xml:space="preserve"> 第十七条 </w:t>
      </w:r>
      <w:r>
        <w:rPr>
          <w:rFonts w:hint="eastAsia"/>
          <w:kern w:val="0"/>
        </w:rPr>
        <w:t>开放单位、委托授权的专业服务机构和申领单位应积极配合市科委中关村管委会的监督、管理和服务。在参与平台和创新券工作过程中，不得存在提供虚假信息，编报虚假预算、</w:t>
      </w:r>
      <w:r>
        <w:rPr>
          <w:rFonts w:hint="eastAsia"/>
          <w:bCs/>
        </w:rPr>
        <w:t>套取财政资金，截留、挤占、挪用财政经费，提供虚假财务会计信息、虚列支出，</w:t>
      </w:r>
      <w:r>
        <w:rPr>
          <w:bCs/>
        </w:rPr>
        <w:t>转让、买卖、赠送和重复使用创新券，对外泄漏申领单位注册资料、科研活动内容、商业机密等相关信息，</w:t>
      </w:r>
      <w:r>
        <w:rPr>
          <w:rFonts w:hint="eastAsia"/>
          <w:bCs/>
        </w:rPr>
        <w:t>以及其他违反国家法律法规及相关规章制度的行为。</w:t>
      </w:r>
    </w:p>
    <w:p w14:paraId="53E2F78A">
      <w:pPr>
        <w:ind w:firstLine="640"/>
        <w:rPr>
          <w:bCs/>
        </w:rPr>
      </w:pPr>
      <w:r>
        <w:rPr>
          <w:rFonts w:hint="eastAsia" w:eastAsia="黑体"/>
        </w:rPr>
        <w:t xml:space="preserve">第十八条 </w:t>
      </w:r>
      <w:r>
        <w:rPr>
          <w:rFonts w:hint="eastAsia"/>
          <w:kern w:val="0"/>
        </w:rPr>
        <w:t>对于拒不配合监督管理或</w:t>
      </w:r>
      <w:r>
        <w:rPr>
          <w:kern w:val="0"/>
        </w:rPr>
        <w:t>经查实</w:t>
      </w:r>
      <w:r>
        <w:rPr>
          <w:rFonts w:hint="eastAsia"/>
          <w:kern w:val="0"/>
        </w:rPr>
        <w:t>有本办法第十七条</w:t>
      </w:r>
      <w:r>
        <w:rPr>
          <w:rFonts w:hint="eastAsia"/>
          <w:bCs/>
        </w:rPr>
        <w:t>行为之一</w:t>
      </w:r>
      <w:r>
        <w:rPr>
          <w:kern w:val="0"/>
        </w:rPr>
        <w:t>的，</w:t>
      </w:r>
      <w:r>
        <w:rPr>
          <w:rFonts w:hint="eastAsia"/>
          <w:bCs/>
        </w:rPr>
        <w:t>视情节轻重采取暂停资金拨付、追回已拨付资金、</w:t>
      </w:r>
      <w:r>
        <w:rPr>
          <w:rFonts w:hint="eastAsia"/>
          <w:kern w:val="0"/>
        </w:rPr>
        <w:t>取消其</w:t>
      </w:r>
      <w:r>
        <w:rPr>
          <w:rFonts w:hint="eastAsia"/>
          <w:bCs/>
        </w:rPr>
        <w:t>3年内参加平台与创新券专项经费申报资格</w:t>
      </w:r>
      <w:r>
        <w:rPr>
          <w:rFonts w:hint="eastAsia"/>
          <w:kern w:val="0"/>
        </w:rPr>
        <w:t>、</w:t>
      </w:r>
      <w:r>
        <w:rPr>
          <w:kern w:val="0"/>
        </w:rPr>
        <w:t>从</w:t>
      </w:r>
      <w:r>
        <w:rPr>
          <w:rFonts w:hint="eastAsia"/>
          <w:bCs/>
        </w:rPr>
        <w:t>平台开放单位中除名等措施，</w:t>
      </w:r>
      <w:r>
        <w:rPr>
          <w:rFonts w:hint="eastAsia"/>
          <w:kern w:val="0"/>
        </w:rPr>
        <w:t>并按照本市科技信用管理有关规定进行记录。</w:t>
      </w:r>
      <w:r>
        <w:rPr>
          <w:rFonts w:hint="eastAsia"/>
          <w:bCs/>
        </w:rPr>
        <w:t>涉嫌违法犯罪的，</w:t>
      </w:r>
      <w:r>
        <w:rPr>
          <w:rFonts w:hint="eastAsia" w:cs="仿宋_GB2312"/>
        </w:rPr>
        <w:t>移交</w:t>
      </w:r>
      <w:r>
        <w:rPr>
          <w:rFonts w:hint="eastAsia"/>
          <w:bCs/>
        </w:rPr>
        <w:t>司法机关依法处理。</w:t>
      </w:r>
    </w:p>
    <w:p w14:paraId="453F55DB">
      <w:pPr>
        <w:ind w:firstLine="640"/>
        <w:rPr>
          <w:kern w:val="0"/>
        </w:rPr>
      </w:pPr>
      <w:r>
        <w:rPr>
          <w:rFonts w:hint="eastAsia" w:eastAsia="黑体"/>
        </w:rPr>
        <w:t xml:space="preserve">第十九条 </w:t>
      </w:r>
      <w:r>
        <w:rPr>
          <w:rFonts w:hint="eastAsia"/>
          <w:kern w:val="0"/>
        </w:rPr>
        <w:t>市科委中关村管委会通过开展随机抽查</w:t>
      </w:r>
      <w:r>
        <w:rPr>
          <w:kern w:val="0"/>
        </w:rPr>
        <w:t>、</w:t>
      </w:r>
      <w:r>
        <w:rPr>
          <w:rFonts w:hint="eastAsia"/>
          <w:kern w:val="0"/>
        </w:rPr>
        <w:t>工作自查等方式，</w:t>
      </w:r>
      <w:r>
        <w:rPr>
          <w:kern w:val="0"/>
        </w:rPr>
        <w:t>加强</w:t>
      </w:r>
      <w:r>
        <w:rPr>
          <w:rFonts w:hint="eastAsia"/>
          <w:kern w:val="0"/>
        </w:rPr>
        <w:t>对平台和创新券专项组织、实施及绩效等方面的监督管理。平台绩效考核和创新券兑现全程接受社会监督，确保资金使用依法合规。</w:t>
      </w:r>
    </w:p>
    <w:p w14:paraId="29CD7B8A">
      <w:pPr>
        <w:pStyle w:val="2"/>
        <w:keepNext w:val="0"/>
        <w:keepLines w:val="0"/>
        <w:rPr>
          <w:rFonts w:ascii="黑体" w:hAnsi="黑体" w:eastAsia="黑体" w:cs="黑体"/>
          <w:sz w:val="32"/>
          <w:szCs w:val="32"/>
        </w:rPr>
      </w:pPr>
      <w:r>
        <w:rPr>
          <w:rFonts w:hint="eastAsia" w:ascii="黑体" w:hAnsi="黑体" w:eastAsia="黑体" w:cs="黑体"/>
          <w:sz w:val="32"/>
          <w:szCs w:val="32"/>
        </w:rPr>
        <w:t>第七章 附则</w:t>
      </w:r>
    </w:p>
    <w:p w14:paraId="4B0933D3">
      <w:pPr>
        <w:ind w:firstLine="640"/>
        <w:rPr>
          <w:kern w:val="0"/>
        </w:rPr>
      </w:pPr>
      <w:r>
        <w:rPr>
          <w:rFonts w:hint="eastAsia" w:eastAsia="黑体"/>
        </w:rPr>
        <w:t xml:space="preserve">第二十条 </w:t>
      </w:r>
      <w:r>
        <w:rPr>
          <w:kern w:val="0"/>
        </w:rPr>
        <w:t>本市与天津市、河北省持续深化京津冀跨区域科研设施与仪器开放共享</w:t>
      </w:r>
      <w:r>
        <w:rPr>
          <w:rFonts w:hint="eastAsia"/>
          <w:kern w:val="0"/>
        </w:rPr>
        <w:t>，</w:t>
      </w:r>
      <w:r>
        <w:rPr>
          <w:kern w:val="0"/>
        </w:rPr>
        <w:t>加强创新券合作，做好</w:t>
      </w:r>
      <w:r>
        <w:rPr>
          <w:rFonts w:hint="eastAsia"/>
          <w:kern w:val="0"/>
        </w:rPr>
        <w:t>创新券服务提供机构</w:t>
      </w:r>
      <w:r>
        <w:rPr>
          <w:kern w:val="0"/>
        </w:rPr>
        <w:t>互认衔接，并研究探索积极有效举措，以更好服务三地</w:t>
      </w:r>
      <w:r>
        <w:rPr>
          <w:rFonts w:hint="eastAsia"/>
          <w:kern w:val="0"/>
        </w:rPr>
        <w:t>企业创新</w:t>
      </w:r>
      <w:r>
        <w:rPr>
          <w:kern w:val="0"/>
        </w:rPr>
        <w:t>需求</w:t>
      </w:r>
      <w:r>
        <w:rPr>
          <w:rFonts w:hint="eastAsia"/>
          <w:kern w:val="0"/>
        </w:rPr>
        <w:t>，</w:t>
      </w:r>
      <w:r>
        <w:rPr>
          <w:kern w:val="0"/>
        </w:rPr>
        <w:t>提升创新能力。</w:t>
      </w:r>
    </w:p>
    <w:p w14:paraId="3B160590">
      <w:pPr>
        <w:ind w:firstLine="640"/>
        <w:rPr>
          <w:rFonts w:eastAsia="黑体"/>
        </w:rPr>
      </w:pPr>
      <w:r>
        <w:rPr>
          <w:rFonts w:hint="eastAsia" w:eastAsia="黑体"/>
        </w:rPr>
        <w:t xml:space="preserve">第二十一条 </w:t>
      </w:r>
      <w:r>
        <w:rPr>
          <w:rFonts w:hint="eastAsia"/>
          <w:kern w:val="0"/>
        </w:rPr>
        <w:t>本办法由市科委中关村管委会负责解释。</w:t>
      </w:r>
    </w:p>
    <w:p w14:paraId="56E02BF8">
      <w:pPr>
        <w:ind w:firstLine="640"/>
      </w:pPr>
      <w:r>
        <w:rPr>
          <w:rFonts w:hint="eastAsia" w:eastAsia="黑体"/>
        </w:rPr>
        <w:t xml:space="preserve">第二十二条 </w:t>
      </w:r>
      <w:r>
        <w:rPr>
          <w:rFonts w:hint="eastAsia"/>
          <w:kern w:val="0"/>
        </w:rPr>
        <w:t>本办法自</w:t>
      </w:r>
      <w:r>
        <w:rPr>
          <w:kern w:val="0"/>
        </w:rPr>
        <w:t>2025年*月*日起施行</w:t>
      </w:r>
      <w:r>
        <w:rPr>
          <w:rFonts w:hint="eastAsia"/>
          <w:kern w:val="0"/>
        </w:rPr>
        <w:t>。施行之日起，《首都科技条件平台与科技创新券实施办法（修订版）》（京科发〔</w:t>
      </w:r>
      <w:r>
        <w:rPr>
          <w:kern w:val="0"/>
        </w:rPr>
        <w:t>2023〕16号）废止。</w:t>
      </w:r>
      <w:r>
        <w:rPr>
          <w:rFonts w:hint="eastAsia"/>
          <w:kern w:val="0"/>
        </w:rPr>
        <w:t>市科委中关村管委会原有关文件与本办法不一致的，以本办法为准。</w:t>
      </w:r>
    </w:p>
    <w:p w14:paraId="7103ADF2">
      <w:pPr>
        <w:ind w:right="960" w:firstLine="640"/>
        <w:jc w:val="left"/>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13094"/>
    </w:sdtPr>
    <w:sdtContent>
      <w:p w14:paraId="33191753">
        <w:pPr>
          <w:pStyle w:val="6"/>
          <w:ind w:firstLine="360"/>
          <w:jc w:val="center"/>
        </w:pPr>
        <w:r>
          <w:fldChar w:fldCharType="begin"/>
        </w:r>
        <w:r>
          <w:instrText xml:space="preserve"> PAGE   \* MERGEFORMAT </w:instrText>
        </w:r>
        <w:r>
          <w:fldChar w:fldCharType="separate"/>
        </w:r>
        <w:r>
          <w:rPr>
            <w:lang w:val="zh-CN"/>
          </w:rPr>
          <w:t>7</w:t>
        </w:r>
        <w:r>
          <w:rPr>
            <w:lang w:val="zh-CN"/>
          </w:rPr>
          <w:fldChar w:fldCharType="end"/>
        </w:r>
      </w:p>
    </w:sdtContent>
  </w:sdt>
  <w:p w14:paraId="64A08A51">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B6286">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9493">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6B02">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DE22F">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C5D3B">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37467A"/>
    <w:rsid w:val="000034CF"/>
    <w:rsid w:val="00010922"/>
    <w:rsid w:val="0001226B"/>
    <w:rsid w:val="00014289"/>
    <w:rsid w:val="0002495C"/>
    <w:rsid w:val="00025889"/>
    <w:rsid w:val="00031252"/>
    <w:rsid w:val="000327DA"/>
    <w:rsid w:val="00034162"/>
    <w:rsid w:val="00045DC1"/>
    <w:rsid w:val="000518A0"/>
    <w:rsid w:val="0005265C"/>
    <w:rsid w:val="00075A0C"/>
    <w:rsid w:val="00081D35"/>
    <w:rsid w:val="000825BC"/>
    <w:rsid w:val="00085AC6"/>
    <w:rsid w:val="000866E1"/>
    <w:rsid w:val="000928A4"/>
    <w:rsid w:val="000A3A45"/>
    <w:rsid w:val="000A6448"/>
    <w:rsid w:val="000B36F9"/>
    <w:rsid w:val="000B5084"/>
    <w:rsid w:val="000B7A49"/>
    <w:rsid w:val="000C12D3"/>
    <w:rsid w:val="000C1459"/>
    <w:rsid w:val="000C2BA6"/>
    <w:rsid w:val="000D06DD"/>
    <w:rsid w:val="000D5697"/>
    <w:rsid w:val="000D7527"/>
    <w:rsid w:val="000E08CC"/>
    <w:rsid w:val="000E0E5A"/>
    <w:rsid w:val="000E1A66"/>
    <w:rsid w:val="000E543C"/>
    <w:rsid w:val="000E59D2"/>
    <w:rsid w:val="000E7B1C"/>
    <w:rsid w:val="000F09D3"/>
    <w:rsid w:val="000F52CC"/>
    <w:rsid w:val="00102AD8"/>
    <w:rsid w:val="001055AD"/>
    <w:rsid w:val="00105688"/>
    <w:rsid w:val="0011509E"/>
    <w:rsid w:val="001209D3"/>
    <w:rsid w:val="00121C7E"/>
    <w:rsid w:val="0012642E"/>
    <w:rsid w:val="001274C2"/>
    <w:rsid w:val="00130564"/>
    <w:rsid w:val="001372F9"/>
    <w:rsid w:val="00144E5C"/>
    <w:rsid w:val="00153446"/>
    <w:rsid w:val="00166253"/>
    <w:rsid w:val="001766B7"/>
    <w:rsid w:val="00176759"/>
    <w:rsid w:val="001806AE"/>
    <w:rsid w:val="001839D5"/>
    <w:rsid w:val="001871CE"/>
    <w:rsid w:val="0018799B"/>
    <w:rsid w:val="001924B4"/>
    <w:rsid w:val="00194571"/>
    <w:rsid w:val="001A1FDB"/>
    <w:rsid w:val="001A52C8"/>
    <w:rsid w:val="001A78B8"/>
    <w:rsid w:val="001C7B6B"/>
    <w:rsid w:val="001D6383"/>
    <w:rsid w:val="001E70E7"/>
    <w:rsid w:val="001F1AD9"/>
    <w:rsid w:val="001F75DB"/>
    <w:rsid w:val="00200D41"/>
    <w:rsid w:val="002029A9"/>
    <w:rsid w:val="002039F2"/>
    <w:rsid w:val="00204123"/>
    <w:rsid w:val="00204E4A"/>
    <w:rsid w:val="002056AA"/>
    <w:rsid w:val="00207626"/>
    <w:rsid w:val="00207EA5"/>
    <w:rsid w:val="002157FF"/>
    <w:rsid w:val="00225DC2"/>
    <w:rsid w:val="00240369"/>
    <w:rsid w:val="0025184D"/>
    <w:rsid w:val="0025349D"/>
    <w:rsid w:val="00260ADA"/>
    <w:rsid w:val="0026234C"/>
    <w:rsid w:val="00265838"/>
    <w:rsid w:val="00265C40"/>
    <w:rsid w:val="00266A36"/>
    <w:rsid w:val="00283609"/>
    <w:rsid w:val="00283D30"/>
    <w:rsid w:val="00284C0D"/>
    <w:rsid w:val="002872F0"/>
    <w:rsid w:val="0029171A"/>
    <w:rsid w:val="002929F6"/>
    <w:rsid w:val="002A147A"/>
    <w:rsid w:val="002A6CAF"/>
    <w:rsid w:val="002B0619"/>
    <w:rsid w:val="002B0E10"/>
    <w:rsid w:val="002B4712"/>
    <w:rsid w:val="002B5365"/>
    <w:rsid w:val="002B664A"/>
    <w:rsid w:val="002C0CE0"/>
    <w:rsid w:val="002D045F"/>
    <w:rsid w:val="002D2F68"/>
    <w:rsid w:val="002D3923"/>
    <w:rsid w:val="002D4E4C"/>
    <w:rsid w:val="002E0001"/>
    <w:rsid w:val="002E1D83"/>
    <w:rsid w:val="002E4029"/>
    <w:rsid w:val="002E7F28"/>
    <w:rsid w:val="002F07AD"/>
    <w:rsid w:val="002F2CFF"/>
    <w:rsid w:val="002F363D"/>
    <w:rsid w:val="003231A1"/>
    <w:rsid w:val="00325354"/>
    <w:rsid w:val="00330CB0"/>
    <w:rsid w:val="00350C89"/>
    <w:rsid w:val="0035282C"/>
    <w:rsid w:val="0035678D"/>
    <w:rsid w:val="00356FBC"/>
    <w:rsid w:val="003630EB"/>
    <w:rsid w:val="00373B03"/>
    <w:rsid w:val="0037467A"/>
    <w:rsid w:val="003866B1"/>
    <w:rsid w:val="00392562"/>
    <w:rsid w:val="003A1A35"/>
    <w:rsid w:val="003A2B2C"/>
    <w:rsid w:val="003A3060"/>
    <w:rsid w:val="003A36EF"/>
    <w:rsid w:val="003A5CDF"/>
    <w:rsid w:val="003B511D"/>
    <w:rsid w:val="003B5150"/>
    <w:rsid w:val="003D5A26"/>
    <w:rsid w:val="003E4581"/>
    <w:rsid w:val="003E7C72"/>
    <w:rsid w:val="003F74E5"/>
    <w:rsid w:val="00402F86"/>
    <w:rsid w:val="0040303D"/>
    <w:rsid w:val="004107FF"/>
    <w:rsid w:val="004123B3"/>
    <w:rsid w:val="004158EF"/>
    <w:rsid w:val="00416AB8"/>
    <w:rsid w:val="004257B2"/>
    <w:rsid w:val="00432160"/>
    <w:rsid w:val="00442599"/>
    <w:rsid w:val="0044458A"/>
    <w:rsid w:val="0044480D"/>
    <w:rsid w:val="00447854"/>
    <w:rsid w:val="00455A16"/>
    <w:rsid w:val="0045690A"/>
    <w:rsid w:val="00460694"/>
    <w:rsid w:val="00463720"/>
    <w:rsid w:val="00467E50"/>
    <w:rsid w:val="0047575C"/>
    <w:rsid w:val="0048024E"/>
    <w:rsid w:val="00484277"/>
    <w:rsid w:val="004953EE"/>
    <w:rsid w:val="00496BD8"/>
    <w:rsid w:val="004A5E85"/>
    <w:rsid w:val="004B592A"/>
    <w:rsid w:val="004C4494"/>
    <w:rsid w:val="004C4943"/>
    <w:rsid w:val="004C533F"/>
    <w:rsid w:val="004D0100"/>
    <w:rsid w:val="004D5AED"/>
    <w:rsid w:val="004F2006"/>
    <w:rsid w:val="0050035F"/>
    <w:rsid w:val="00500FBF"/>
    <w:rsid w:val="00502F4B"/>
    <w:rsid w:val="005157F1"/>
    <w:rsid w:val="00534C73"/>
    <w:rsid w:val="00535A1E"/>
    <w:rsid w:val="005538E4"/>
    <w:rsid w:val="00555B3B"/>
    <w:rsid w:val="00556CDF"/>
    <w:rsid w:val="005572E6"/>
    <w:rsid w:val="0056140A"/>
    <w:rsid w:val="00564FAE"/>
    <w:rsid w:val="005650C8"/>
    <w:rsid w:val="00574D41"/>
    <w:rsid w:val="00590237"/>
    <w:rsid w:val="00590F73"/>
    <w:rsid w:val="0059183E"/>
    <w:rsid w:val="005A1C1E"/>
    <w:rsid w:val="005A50A7"/>
    <w:rsid w:val="005B646F"/>
    <w:rsid w:val="005C0EB2"/>
    <w:rsid w:val="005C29EA"/>
    <w:rsid w:val="005C2FC5"/>
    <w:rsid w:val="005C5E39"/>
    <w:rsid w:val="005C7A68"/>
    <w:rsid w:val="005C7C07"/>
    <w:rsid w:val="005D1094"/>
    <w:rsid w:val="005E0130"/>
    <w:rsid w:val="005E0DFC"/>
    <w:rsid w:val="005E124E"/>
    <w:rsid w:val="005E27C5"/>
    <w:rsid w:val="005E6133"/>
    <w:rsid w:val="005E6FC3"/>
    <w:rsid w:val="005F2A3B"/>
    <w:rsid w:val="005F4A02"/>
    <w:rsid w:val="00610547"/>
    <w:rsid w:val="006138F7"/>
    <w:rsid w:val="00624D14"/>
    <w:rsid w:val="0062669D"/>
    <w:rsid w:val="00632225"/>
    <w:rsid w:val="00640097"/>
    <w:rsid w:val="0064647C"/>
    <w:rsid w:val="00647142"/>
    <w:rsid w:val="00650398"/>
    <w:rsid w:val="00651BFC"/>
    <w:rsid w:val="00655A5A"/>
    <w:rsid w:val="006605FE"/>
    <w:rsid w:val="00664345"/>
    <w:rsid w:val="00671438"/>
    <w:rsid w:val="00683E76"/>
    <w:rsid w:val="0068799E"/>
    <w:rsid w:val="006A05B3"/>
    <w:rsid w:val="006A10A7"/>
    <w:rsid w:val="006B0EBC"/>
    <w:rsid w:val="006B1B18"/>
    <w:rsid w:val="006B2522"/>
    <w:rsid w:val="006B2D8E"/>
    <w:rsid w:val="006C1522"/>
    <w:rsid w:val="006C2368"/>
    <w:rsid w:val="006C610A"/>
    <w:rsid w:val="006D2A10"/>
    <w:rsid w:val="006D5380"/>
    <w:rsid w:val="006E3956"/>
    <w:rsid w:val="006F0FD5"/>
    <w:rsid w:val="006F44B4"/>
    <w:rsid w:val="006F6FED"/>
    <w:rsid w:val="00715F95"/>
    <w:rsid w:val="0072492D"/>
    <w:rsid w:val="007355EF"/>
    <w:rsid w:val="007366FF"/>
    <w:rsid w:val="00750B90"/>
    <w:rsid w:val="00750E6E"/>
    <w:rsid w:val="00753504"/>
    <w:rsid w:val="007605EC"/>
    <w:rsid w:val="0076463B"/>
    <w:rsid w:val="007663E1"/>
    <w:rsid w:val="007835A3"/>
    <w:rsid w:val="00786F69"/>
    <w:rsid w:val="007920E9"/>
    <w:rsid w:val="00795867"/>
    <w:rsid w:val="007959C8"/>
    <w:rsid w:val="00795A77"/>
    <w:rsid w:val="00795D9F"/>
    <w:rsid w:val="007A56F6"/>
    <w:rsid w:val="007B1B29"/>
    <w:rsid w:val="007B29F0"/>
    <w:rsid w:val="007C0682"/>
    <w:rsid w:val="007C4271"/>
    <w:rsid w:val="007C5123"/>
    <w:rsid w:val="007C5A5E"/>
    <w:rsid w:val="007C5B23"/>
    <w:rsid w:val="007D098A"/>
    <w:rsid w:val="007D2EBC"/>
    <w:rsid w:val="007D5513"/>
    <w:rsid w:val="007D64CD"/>
    <w:rsid w:val="007E3F93"/>
    <w:rsid w:val="007F0BE7"/>
    <w:rsid w:val="007F32B8"/>
    <w:rsid w:val="007F39C2"/>
    <w:rsid w:val="007F514E"/>
    <w:rsid w:val="007F570A"/>
    <w:rsid w:val="0080175E"/>
    <w:rsid w:val="00806C11"/>
    <w:rsid w:val="008074E8"/>
    <w:rsid w:val="008135C0"/>
    <w:rsid w:val="00813D62"/>
    <w:rsid w:val="008171EC"/>
    <w:rsid w:val="008201D1"/>
    <w:rsid w:val="008268DB"/>
    <w:rsid w:val="00835196"/>
    <w:rsid w:val="00842883"/>
    <w:rsid w:val="00847F33"/>
    <w:rsid w:val="00862C78"/>
    <w:rsid w:val="00884F0B"/>
    <w:rsid w:val="00887C94"/>
    <w:rsid w:val="008940ED"/>
    <w:rsid w:val="008A48B7"/>
    <w:rsid w:val="008B4530"/>
    <w:rsid w:val="008C3AAE"/>
    <w:rsid w:val="008D6E88"/>
    <w:rsid w:val="008E0E1F"/>
    <w:rsid w:val="008E5169"/>
    <w:rsid w:val="008F6675"/>
    <w:rsid w:val="00906EB9"/>
    <w:rsid w:val="009106AB"/>
    <w:rsid w:val="00910E99"/>
    <w:rsid w:val="00911F13"/>
    <w:rsid w:val="00913049"/>
    <w:rsid w:val="00913C52"/>
    <w:rsid w:val="0092410E"/>
    <w:rsid w:val="00926388"/>
    <w:rsid w:val="0093075A"/>
    <w:rsid w:val="00933B74"/>
    <w:rsid w:val="0093470A"/>
    <w:rsid w:val="00936979"/>
    <w:rsid w:val="00941A96"/>
    <w:rsid w:val="00944585"/>
    <w:rsid w:val="009446AA"/>
    <w:rsid w:val="00945B98"/>
    <w:rsid w:val="00946956"/>
    <w:rsid w:val="00952332"/>
    <w:rsid w:val="00956168"/>
    <w:rsid w:val="009568B3"/>
    <w:rsid w:val="0096136D"/>
    <w:rsid w:val="00961FE8"/>
    <w:rsid w:val="0096513C"/>
    <w:rsid w:val="00965D36"/>
    <w:rsid w:val="00967FBD"/>
    <w:rsid w:val="00973BEF"/>
    <w:rsid w:val="00981AF7"/>
    <w:rsid w:val="00983078"/>
    <w:rsid w:val="0098360D"/>
    <w:rsid w:val="00985993"/>
    <w:rsid w:val="009922E1"/>
    <w:rsid w:val="009949DB"/>
    <w:rsid w:val="0099775C"/>
    <w:rsid w:val="009A1305"/>
    <w:rsid w:val="009A1ABF"/>
    <w:rsid w:val="009A4B60"/>
    <w:rsid w:val="009A78F3"/>
    <w:rsid w:val="009C22C9"/>
    <w:rsid w:val="009D1F01"/>
    <w:rsid w:val="009D6528"/>
    <w:rsid w:val="009E129F"/>
    <w:rsid w:val="009E34D8"/>
    <w:rsid w:val="009F58AD"/>
    <w:rsid w:val="00A00294"/>
    <w:rsid w:val="00A00E7B"/>
    <w:rsid w:val="00A01C29"/>
    <w:rsid w:val="00A05F07"/>
    <w:rsid w:val="00A108BB"/>
    <w:rsid w:val="00A20A2D"/>
    <w:rsid w:val="00A2686D"/>
    <w:rsid w:val="00A33F13"/>
    <w:rsid w:val="00A44F73"/>
    <w:rsid w:val="00A46093"/>
    <w:rsid w:val="00A603D6"/>
    <w:rsid w:val="00A7785D"/>
    <w:rsid w:val="00A84DBC"/>
    <w:rsid w:val="00A918D3"/>
    <w:rsid w:val="00A97F47"/>
    <w:rsid w:val="00AA2DA0"/>
    <w:rsid w:val="00AA2E91"/>
    <w:rsid w:val="00AA35DC"/>
    <w:rsid w:val="00AB336E"/>
    <w:rsid w:val="00AB70D0"/>
    <w:rsid w:val="00AC42F7"/>
    <w:rsid w:val="00AC7DC8"/>
    <w:rsid w:val="00AD4E1B"/>
    <w:rsid w:val="00AE0FFF"/>
    <w:rsid w:val="00AE3F5B"/>
    <w:rsid w:val="00AE489D"/>
    <w:rsid w:val="00AF0F47"/>
    <w:rsid w:val="00AF1571"/>
    <w:rsid w:val="00AF317F"/>
    <w:rsid w:val="00B00DDB"/>
    <w:rsid w:val="00B1055E"/>
    <w:rsid w:val="00B11A67"/>
    <w:rsid w:val="00B177CB"/>
    <w:rsid w:val="00B2502A"/>
    <w:rsid w:val="00B264B7"/>
    <w:rsid w:val="00B34BD1"/>
    <w:rsid w:val="00B3774D"/>
    <w:rsid w:val="00B40A6D"/>
    <w:rsid w:val="00B42EC9"/>
    <w:rsid w:val="00B51FA2"/>
    <w:rsid w:val="00B525B8"/>
    <w:rsid w:val="00B54CC8"/>
    <w:rsid w:val="00B61A85"/>
    <w:rsid w:val="00B63EA4"/>
    <w:rsid w:val="00B75E52"/>
    <w:rsid w:val="00B815FA"/>
    <w:rsid w:val="00B82D2A"/>
    <w:rsid w:val="00B830CB"/>
    <w:rsid w:val="00B871F4"/>
    <w:rsid w:val="00B93C17"/>
    <w:rsid w:val="00B93D7D"/>
    <w:rsid w:val="00B96AF2"/>
    <w:rsid w:val="00BA176E"/>
    <w:rsid w:val="00BB16AD"/>
    <w:rsid w:val="00BC04C4"/>
    <w:rsid w:val="00BD1A9A"/>
    <w:rsid w:val="00BF6B2C"/>
    <w:rsid w:val="00C043DA"/>
    <w:rsid w:val="00C130BC"/>
    <w:rsid w:val="00C2004D"/>
    <w:rsid w:val="00C22E9F"/>
    <w:rsid w:val="00C24234"/>
    <w:rsid w:val="00C246E5"/>
    <w:rsid w:val="00C2556F"/>
    <w:rsid w:val="00C37DF7"/>
    <w:rsid w:val="00C43A5F"/>
    <w:rsid w:val="00C51F70"/>
    <w:rsid w:val="00C54BBD"/>
    <w:rsid w:val="00C625CC"/>
    <w:rsid w:val="00C63D46"/>
    <w:rsid w:val="00C7377F"/>
    <w:rsid w:val="00C765FA"/>
    <w:rsid w:val="00C775BE"/>
    <w:rsid w:val="00C86D62"/>
    <w:rsid w:val="00C96CC1"/>
    <w:rsid w:val="00C972EA"/>
    <w:rsid w:val="00C9767F"/>
    <w:rsid w:val="00CB424A"/>
    <w:rsid w:val="00CB5BA9"/>
    <w:rsid w:val="00CC64CF"/>
    <w:rsid w:val="00CD179B"/>
    <w:rsid w:val="00CD43C1"/>
    <w:rsid w:val="00CD5AED"/>
    <w:rsid w:val="00CE7630"/>
    <w:rsid w:val="00CE7B28"/>
    <w:rsid w:val="00CF292A"/>
    <w:rsid w:val="00D01209"/>
    <w:rsid w:val="00D021D3"/>
    <w:rsid w:val="00D035FC"/>
    <w:rsid w:val="00D074CA"/>
    <w:rsid w:val="00D132DC"/>
    <w:rsid w:val="00D15659"/>
    <w:rsid w:val="00D24B2C"/>
    <w:rsid w:val="00D2753D"/>
    <w:rsid w:val="00D31889"/>
    <w:rsid w:val="00D40B21"/>
    <w:rsid w:val="00D53772"/>
    <w:rsid w:val="00D54158"/>
    <w:rsid w:val="00D55AA5"/>
    <w:rsid w:val="00D57B0B"/>
    <w:rsid w:val="00D625DF"/>
    <w:rsid w:val="00D638EF"/>
    <w:rsid w:val="00D6548B"/>
    <w:rsid w:val="00D666D4"/>
    <w:rsid w:val="00D74EE1"/>
    <w:rsid w:val="00D7546F"/>
    <w:rsid w:val="00D83FBA"/>
    <w:rsid w:val="00D850C0"/>
    <w:rsid w:val="00D859BB"/>
    <w:rsid w:val="00D90748"/>
    <w:rsid w:val="00D92317"/>
    <w:rsid w:val="00D96742"/>
    <w:rsid w:val="00DB2CBD"/>
    <w:rsid w:val="00DB48BA"/>
    <w:rsid w:val="00DC3869"/>
    <w:rsid w:val="00DE0B5F"/>
    <w:rsid w:val="00DE4405"/>
    <w:rsid w:val="00DF0855"/>
    <w:rsid w:val="00E07715"/>
    <w:rsid w:val="00E10B30"/>
    <w:rsid w:val="00E170D2"/>
    <w:rsid w:val="00E17BD1"/>
    <w:rsid w:val="00E24E8D"/>
    <w:rsid w:val="00E2535C"/>
    <w:rsid w:val="00E2763A"/>
    <w:rsid w:val="00E35DB2"/>
    <w:rsid w:val="00E415D4"/>
    <w:rsid w:val="00E4497C"/>
    <w:rsid w:val="00E47EE8"/>
    <w:rsid w:val="00E54E53"/>
    <w:rsid w:val="00E624CA"/>
    <w:rsid w:val="00E848CA"/>
    <w:rsid w:val="00E85833"/>
    <w:rsid w:val="00E865D4"/>
    <w:rsid w:val="00E90AEE"/>
    <w:rsid w:val="00E93EAE"/>
    <w:rsid w:val="00E966ED"/>
    <w:rsid w:val="00EA6E2A"/>
    <w:rsid w:val="00EB060C"/>
    <w:rsid w:val="00EC7D52"/>
    <w:rsid w:val="00ED105A"/>
    <w:rsid w:val="00ED6EFD"/>
    <w:rsid w:val="00EE14CC"/>
    <w:rsid w:val="00EE25D6"/>
    <w:rsid w:val="00EE45B9"/>
    <w:rsid w:val="00EF1517"/>
    <w:rsid w:val="00EF40A1"/>
    <w:rsid w:val="00EF5FDD"/>
    <w:rsid w:val="00F106A8"/>
    <w:rsid w:val="00F30831"/>
    <w:rsid w:val="00F37F10"/>
    <w:rsid w:val="00F42E18"/>
    <w:rsid w:val="00F43BE3"/>
    <w:rsid w:val="00F45434"/>
    <w:rsid w:val="00F51464"/>
    <w:rsid w:val="00F64698"/>
    <w:rsid w:val="00F8150E"/>
    <w:rsid w:val="00F81B80"/>
    <w:rsid w:val="00F90A0E"/>
    <w:rsid w:val="00FA4F91"/>
    <w:rsid w:val="00FB7D90"/>
    <w:rsid w:val="00FC076B"/>
    <w:rsid w:val="00FC2026"/>
    <w:rsid w:val="00FC226C"/>
    <w:rsid w:val="00FC2284"/>
    <w:rsid w:val="00FC5182"/>
    <w:rsid w:val="00FD23D2"/>
    <w:rsid w:val="00FE3528"/>
    <w:rsid w:val="00FE5E09"/>
    <w:rsid w:val="00FE7566"/>
    <w:rsid w:val="00FF307C"/>
    <w:rsid w:val="00FF59E9"/>
    <w:rsid w:val="01352349"/>
    <w:rsid w:val="02182ED7"/>
    <w:rsid w:val="031E451D"/>
    <w:rsid w:val="04203641"/>
    <w:rsid w:val="04730F20"/>
    <w:rsid w:val="07054C8A"/>
    <w:rsid w:val="079E79DA"/>
    <w:rsid w:val="094C3466"/>
    <w:rsid w:val="095F763D"/>
    <w:rsid w:val="0CE44695"/>
    <w:rsid w:val="0D314E4D"/>
    <w:rsid w:val="0F5A207F"/>
    <w:rsid w:val="101F18D4"/>
    <w:rsid w:val="133B07D3"/>
    <w:rsid w:val="13EC5F71"/>
    <w:rsid w:val="14373691"/>
    <w:rsid w:val="15001CD4"/>
    <w:rsid w:val="159F14ED"/>
    <w:rsid w:val="18D70F9E"/>
    <w:rsid w:val="1A8962C8"/>
    <w:rsid w:val="1B5E1503"/>
    <w:rsid w:val="1C7B2C32"/>
    <w:rsid w:val="200E478A"/>
    <w:rsid w:val="20472BA6"/>
    <w:rsid w:val="20B66BBF"/>
    <w:rsid w:val="24F344ED"/>
    <w:rsid w:val="2540783F"/>
    <w:rsid w:val="25EA683C"/>
    <w:rsid w:val="261C6242"/>
    <w:rsid w:val="26822B98"/>
    <w:rsid w:val="273A72C8"/>
    <w:rsid w:val="27851377"/>
    <w:rsid w:val="27C070A1"/>
    <w:rsid w:val="2BEC0BF4"/>
    <w:rsid w:val="2BF43BD0"/>
    <w:rsid w:val="2CED647E"/>
    <w:rsid w:val="2DEE4968"/>
    <w:rsid w:val="2E0C5980"/>
    <w:rsid w:val="30204B81"/>
    <w:rsid w:val="30297EDA"/>
    <w:rsid w:val="338B4E4B"/>
    <w:rsid w:val="34983880"/>
    <w:rsid w:val="375B253A"/>
    <w:rsid w:val="3D696D70"/>
    <w:rsid w:val="3DC65F30"/>
    <w:rsid w:val="3E630A5B"/>
    <w:rsid w:val="3F8769CB"/>
    <w:rsid w:val="3FC54A10"/>
    <w:rsid w:val="40CD665F"/>
    <w:rsid w:val="416074D3"/>
    <w:rsid w:val="418C2076"/>
    <w:rsid w:val="41C8474B"/>
    <w:rsid w:val="428611BC"/>
    <w:rsid w:val="43E55CD4"/>
    <w:rsid w:val="478C4766"/>
    <w:rsid w:val="48824C4F"/>
    <w:rsid w:val="49F07F53"/>
    <w:rsid w:val="4AE20F59"/>
    <w:rsid w:val="4DD03C33"/>
    <w:rsid w:val="4FD51FF0"/>
    <w:rsid w:val="505B3C87"/>
    <w:rsid w:val="51E7698D"/>
    <w:rsid w:val="521C2FA3"/>
    <w:rsid w:val="539D0FFC"/>
    <w:rsid w:val="561623FF"/>
    <w:rsid w:val="56C8194B"/>
    <w:rsid w:val="58B42629"/>
    <w:rsid w:val="58F272EA"/>
    <w:rsid w:val="5A8244FA"/>
    <w:rsid w:val="5C74195C"/>
    <w:rsid w:val="5CF95F59"/>
    <w:rsid w:val="5DB70023"/>
    <w:rsid w:val="5E806923"/>
    <w:rsid w:val="61792711"/>
    <w:rsid w:val="640B10C9"/>
    <w:rsid w:val="64DB6CED"/>
    <w:rsid w:val="658D2777"/>
    <w:rsid w:val="65AE61B0"/>
    <w:rsid w:val="65D01B2D"/>
    <w:rsid w:val="66FF03ED"/>
    <w:rsid w:val="675D7E8D"/>
    <w:rsid w:val="676E14FE"/>
    <w:rsid w:val="6B1D1F48"/>
    <w:rsid w:val="6BD732BE"/>
    <w:rsid w:val="6C273240"/>
    <w:rsid w:val="6C3423CB"/>
    <w:rsid w:val="6D392803"/>
    <w:rsid w:val="6DA85831"/>
    <w:rsid w:val="70F33611"/>
    <w:rsid w:val="712B2E87"/>
    <w:rsid w:val="71A5490B"/>
    <w:rsid w:val="71D4000C"/>
    <w:rsid w:val="720C6738"/>
    <w:rsid w:val="74A72748"/>
    <w:rsid w:val="74AD7F2E"/>
    <w:rsid w:val="75471B82"/>
    <w:rsid w:val="75ED300A"/>
    <w:rsid w:val="761C6D8F"/>
    <w:rsid w:val="79844DCA"/>
    <w:rsid w:val="7B8D3DD2"/>
    <w:rsid w:val="7CEE4D2F"/>
    <w:rsid w:val="7D797974"/>
    <w:rsid w:val="7DCA5DA3"/>
    <w:rsid w:val="7E7E09BD"/>
    <w:rsid w:val="7F285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theme="minorBidi"/>
      <w:kern w:val="2"/>
      <w:sz w:val="32"/>
      <w:szCs w:val="32"/>
      <w:lang w:val="en-US" w:eastAsia="zh-CN" w:bidi="ar-SA"/>
    </w:rPr>
  </w:style>
  <w:style w:type="paragraph" w:styleId="2">
    <w:name w:val="heading 1"/>
    <w:basedOn w:val="1"/>
    <w:next w:val="1"/>
    <w:link w:val="16"/>
    <w:qFormat/>
    <w:uiPriority w:val="0"/>
    <w:pPr>
      <w:keepNext/>
      <w:keepLines/>
      <w:ind w:firstLine="0" w:firstLineChars="0"/>
      <w:jc w:val="center"/>
      <w:outlineLvl w:val="0"/>
    </w:pPr>
    <w:rPr>
      <w:rFonts w:eastAsia="方正小标宋_GBK"/>
      <w:bCs/>
      <w:kern w:val="44"/>
      <w:sz w:val="44"/>
      <w:szCs w:val="44"/>
    </w:rPr>
  </w:style>
  <w:style w:type="paragraph" w:styleId="3">
    <w:name w:val="heading 2"/>
    <w:basedOn w:val="1"/>
    <w:next w:val="1"/>
    <w:link w:val="17"/>
    <w:semiHidden/>
    <w:unhideWhenUsed/>
    <w:qFormat/>
    <w:uiPriority w:val="9"/>
    <w:pPr>
      <w:keepNext/>
      <w:keepLines/>
      <w:outlineLvl w:val="1"/>
    </w:pPr>
    <w:rPr>
      <w:rFonts w:eastAsia="黑体" w:asciiTheme="majorHAnsi" w:hAnsiTheme="majorHAnsi" w:cstheme="majorBidi"/>
      <w:bCs/>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alloon Text"/>
    <w:basedOn w:val="1"/>
    <w:link w:val="19"/>
    <w:semiHidden/>
    <w:unhideWhenUsed/>
    <w:qFormat/>
    <w:uiPriority w:val="99"/>
    <w:pPr>
      <w:spacing w:line="240" w:lineRule="auto"/>
    </w:pPr>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19" w:line="240" w:lineRule="auto"/>
      <w:ind w:firstLine="420" w:firstLineChars="0"/>
    </w:pPr>
    <w:rPr>
      <w:rFonts w:ascii="宋体" w:hAnsi="宋体" w:eastAsia="宋体" w:cs="宋体"/>
      <w:kern w:val="0"/>
      <w:sz w:val="20"/>
      <w:szCs w:val="20"/>
    </w:rPr>
  </w:style>
  <w:style w:type="paragraph" w:styleId="9">
    <w:name w:val="Title"/>
    <w:basedOn w:val="1"/>
    <w:next w:val="1"/>
    <w:link w:val="18"/>
    <w:qFormat/>
    <w:uiPriority w:val="10"/>
    <w:pPr>
      <w:jc w:val="center"/>
      <w:outlineLvl w:val="0"/>
    </w:pPr>
    <w:rPr>
      <w:rFonts w:eastAsia="楷体_GB2312" w:asciiTheme="majorHAnsi" w:hAnsiTheme="majorHAnsi" w:cstheme="majorBidi"/>
      <w:bCs/>
    </w:rPr>
  </w:style>
  <w:style w:type="paragraph" w:styleId="10">
    <w:name w:val="annotation subject"/>
    <w:basedOn w:val="4"/>
    <w:next w:val="4"/>
    <w:link w:val="21"/>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semiHidden/>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标题 1 字符"/>
    <w:basedOn w:val="12"/>
    <w:link w:val="2"/>
    <w:qFormat/>
    <w:uiPriority w:val="9"/>
    <w:rPr>
      <w:rFonts w:eastAsia="方正小标宋_GBK"/>
      <w:bCs/>
      <w:kern w:val="44"/>
      <w:sz w:val="44"/>
      <w:szCs w:val="44"/>
    </w:rPr>
  </w:style>
  <w:style w:type="character" w:customStyle="1" w:styleId="17">
    <w:name w:val="标题 2 字符"/>
    <w:basedOn w:val="12"/>
    <w:link w:val="3"/>
    <w:semiHidden/>
    <w:qFormat/>
    <w:uiPriority w:val="9"/>
    <w:rPr>
      <w:rFonts w:eastAsia="黑体" w:asciiTheme="majorHAnsi" w:hAnsiTheme="majorHAnsi" w:cstheme="majorBidi"/>
      <w:bCs/>
      <w:sz w:val="32"/>
      <w:szCs w:val="32"/>
    </w:rPr>
  </w:style>
  <w:style w:type="character" w:customStyle="1" w:styleId="18">
    <w:name w:val="标题 字符"/>
    <w:basedOn w:val="12"/>
    <w:link w:val="9"/>
    <w:qFormat/>
    <w:uiPriority w:val="10"/>
    <w:rPr>
      <w:rFonts w:eastAsia="楷体_GB2312" w:asciiTheme="majorHAnsi" w:hAnsiTheme="majorHAnsi" w:cstheme="majorBidi"/>
      <w:bCs/>
      <w:sz w:val="32"/>
      <w:szCs w:val="32"/>
    </w:rPr>
  </w:style>
  <w:style w:type="character" w:customStyle="1" w:styleId="19">
    <w:name w:val="批注框文本 字符"/>
    <w:basedOn w:val="12"/>
    <w:link w:val="5"/>
    <w:semiHidden/>
    <w:qFormat/>
    <w:uiPriority w:val="99"/>
    <w:rPr>
      <w:rFonts w:ascii="仿宋_GB2312" w:hAnsi="仿宋_GB2312" w:eastAsia="仿宋_GB2312"/>
      <w:sz w:val="18"/>
      <w:szCs w:val="18"/>
    </w:rPr>
  </w:style>
  <w:style w:type="character" w:customStyle="1" w:styleId="20">
    <w:name w:val="批注文字 字符"/>
    <w:basedOn w:val="12"/>
    <w:link w:val="4"/>
    <w:semiHidden/>
    <w:qFormat/>
    <w:uiPriority w:val="99"/>
    <w:rPr>
      <w:rFonts w:ascii="仿宋_GB2312" w:hAnsi="仿宋_GB2312" w:eastAsia="仿宋_GB2312"/>
      <w:sz w:val="32"/>
      <w:szCs w:val="32"/>
    </w:rPr>
  </w:style>
  <w:style w:type="character" w:customStyle="1" w:styleId="21">
    <w:name w:val="批注主题 字符"/>
    <w:basedOn w:val="20"/>
    <w:link w:val="10"/>
    <w:semiHidden/>
    <w:qFormat/>
    <w:uiPriority w:val="99"/>
    <w:rPr>
      <w:rFonts w:ascii="仿宋_GB2312" w:hAnsi="仿宋_GB2312" w:eastAsia="仿宋_GB2312"/>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575D7-4A33-4190-9E68-F251BCF593E8}">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4886</Words>
  <Characters>4920</Characters>
  <Lines>35</Lines>
  <Paragraphs>10</Paragraphs>
  <TotalTime>29</TotalTime>
  <ScaleCrop>false</ScaleCrop>
  <LinksUpToDate>false</LinksUpToDate>
  <CharactersWithSpaces>4951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2025-03-12T01:16:00Z</dcterms:created>
  <dc:creator>L.G Mars</dc:creator>
  <cp:lastModifiedBy>biubiubiu</cp:lastModifiedBy>
  <cp:lastPrinted>2025-03-26T02:24:00Z</cp:lastPrinted>
  <dcterms:modified xsi:type="dcterms:W3CDTF">2025-08-11T07:50:10Z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eyJoZGlkIjoiY2VmY2FlMDY5ODlkMDk5YmEyNGY2OTIxYzE4NTAwNTIiLCJ1c2VySWQiOiI2MDQ3NTgzMzYifQ==</vt:lpwstr>
  </property>
  <property fmtid="{D5CDD505-2E9C-101B-9397-08002B2CF9AE}" pid="3" name="KSOProductBuildVer">
    <vt:lpwstr>2052-12.1.0.21915</vt:lpwstr>
  </property>
  <property fmtid="{D5CDD505-2E9C-101B-9397-08002B2CF9AE}" pid="4" name="ICV">
    <vt:lpwstr>D6ECDDBACB944E7AB3E30311239B3E85_12</vt:lpwstr>
  </property>
</Properties>
</file>