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color w:val="auto"/>
                <w:sz w:val="21"/>
                <w:szCs w:val="21"/>
              </w:rPr>
            </w:pPr>
            <w:bookmarkStart w:id="538" w:name="_GoBack"/>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 xml:space="preserve"> </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hint="eastAsia"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r>
              <w:rPr>
                <w:color w:val="auto"/>
              </w:rPr>
              <w:fldChar w:fldCharType="begin">
                <w:ffData>
                  <w:name w:val="c1"/>
                  <w:enabled/>
                  <w:calcOnExit w:val="0"/>
                  <w:textInput>
                    <w:maxLength w:val="8"/>
                  </w:textInput>
                </w:ffData>
              </w:fldChar>
            </w:r>
            <w:bookmarkStart w:id="3" w:name="c1"/>
            <w:r>
              <w:rPr>
                <w:color w:val="auto"/>
              </w:rPr>
              <w:instrText xml:space="preserve"> FORMTEXT </w:instrText>
            </w:r>
            <w:r>
              <w:rPr>
                <w:color w:val="auto"/>
              </w:rPr>
              <w:fldChar w:fldCharType="separate"/>
            </w:r>
            <w:r>
              <w:rPr>
                <w:color w:val="auto"/>
              </w:rPr>
              <w:t>     </w:t>
            </w:r>
            <w:r>
              <w:rPr>
                <w:color w:val="auto"/>
              </w:rPr>
              <w:fldChar w:fldCharType="end"/>
            </w:r>
            <w:bookmarkEnd w:id="3"/>
          </w:p>
        </w:tc>
      </w:tr>
    </w:tbl>
    <w:p>
      <w:pPr>
        <w:pStyle w:val="54"/>
        <w:framePr w:w="9639" w:h="624" w:hRule="exact" w:hSpace="181" w:vSpace="181" w:wrap="around" w:hAnchor="page" w:x="1305" w:y="2269"/>
        <w:rPr>
          <w:rFonts w:hint="eastAsia"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ascii="黑体" w:eastAsia="黑体"/>
          <w:b w:val="0"/>
          <w:color w:val="auto"/>
          <w:w w:val="100"/>
          <w:sz w:val="48"/>
        </w:rPr>
        <w:t>     </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pPr>
        <w:pStyle w:val="199"/>
        <w:rPr>
          <w:color w:val="auto"/>
          <w:lang w:val="fr-FR"/>
        </w:rPr>
      </w:pPr>
      <w:r>
        <w:rPr>
          <w:color w:val="auto"/>
          <w:lang w:val="fr-FR"/>
        </w:rPr>
        <w:t>DB</w:t>
      </w:r>
      <w:r>
        <w:rPr>
          <w:color w:val="auto"/>
          <w:sz w:val="15"/>
          <w:szCs w:val="15"/>
          <w:lang w:val="fr-FR"/>
        </w:rPr>
        <w:t xml:space="preserve"> </w:t>
      </w:r>
      <w:r>
        <w:rPr>
          <w:color w:val="auto"/>
        </w:rPr>
        <w:fldChar w:fldCharType="begin">
          <w:ffData>
            <w:name w:val="文字1"/>
            <w:enabled/>
            <w:calcOnExit w:val="0"/>
            <w:textInput>
              <w:default w:val="XX/T"/>
            </w:textInput>
          </w:ffData>
        </w:fldChar>
      </w:r>
      <w:bookmarkStart w:id="5" w:name="文字1"/>
      <w:r>
        <w:rPr>
          <w:color w:val="auto"/>
          <w:lang w:val="fr-FR"/>
        </w:rPr>
        <w:instrText xml:space="preserve"> FORMTEXT </w:instrText>
      </w:r>
      <w:r>
        <w:rPr>
          <w:color w:val="auto"/>
        </w:rPr>
        <w:fldChar w:fldCharType="separate"/>
      </w:r>
      <w:r>
        <w:rPr>
          <w:color w:val="auto"/>
          <w:lang w:val="fr-FR"/>
        </w:rPr>
        <w:t>XX/T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pPr>
        <w:pStyle w:val="200"/>
        <w:rPr>
          <w:rFonts w:hint="eastAsia"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pPr>
        <w:spacing w:line="240" w:lineRule="auto"/>
        <w:rPr>
          <w:rFonts w:hint="eastAsia"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hint="eastAsia" w:ascii="黑体" w:hAnsi="黑体" w:eastAsia="黑体"/>
          <w:b w:val="0"/>
          <w:bCs w:val="0"/>
          <w:color w:val="auto"/>
          <w:w w:val="100"/>
        </w:rPr>
      </w:pPr>
    </w:p>
    <w:p>
      <w:pPr>
        <w:pStyle w:val="201"/>
        <w:framePr w:h="6974" w:hRule="exact" w:wrap="around" w:x="1419" w:anchorLock="1"/>
        <w:rPr>
          <w:rFonts w:hint="eastAsia"/>
          <w:color w:val="auto"/>
        </w:rPr>
      </w:pPr>
      <w:r>
        <w:rPr>
          <w:rFonts w:hint="eastAsia"/>
          <w:color w:val="auto"/>
        </w:rPr>
        <w:fldChar w:fldCharType="begin">
          <w:ffData>
            <w:name w:val="CSTD_NAME"/>
            <w:enabled/>
            <w:calcOnExit w:val="0"/>
            <w:textInput>
              <w:default w:val="城市轨道交通自动售检票系统技术规范  第8部分：检测"/>
            </w:textInput>
          </w:ffData>
        </w:fldChar>
      </w:r>
      <w:bookmarkStart w:id="9" w:name="CSTD_NAME"/>
      <w:r>
        <w:rPr>
          <w:rFonts w:hint="eastAsia"/>
          <w:color w:val="auto"/>
        </w:rPr>
        <w:instrText xml:space="preserve"> FORMTEXT </w:instrText>
      </w:r>
      <w:r>
        <w:rPr>
          <w:rFonts w:hint="eastAsia"/>
          <w:color w:val="auto"/>
        </w:rPr>
        <w:fldChar w:fldCharType="separate"/>
      </w:r>
      <w:r>
        <w:rPr>
          <w:rFonts w:hint="eastAsia"/>
          <w:color w:val="auto"/>
        </w:rPr>
        <w:t>城市轨道交通自动售检票系统技术规范  第8部分：检测</w:t>
      </w:r>
      <w:r>
        <w:rPr>
          <w:rFonts w:hint="eastAsia"/>
          <w:color w:val="auto"/>
        </w:rPr>
        <w:fldChar w:fldCharType="end"/>
      </w:r>
      <w:bookmarkEnd w:id="9"/>
    </w:p>
    <w:p>
      <w:pPr>
        <w:framePr w:w="9639" w:h="6974" w:hRule="exact" w:wrap="around" w:vAnchor="page" w:hAnchor="page" w:x="1419" w:y="6408" w:anchorLock="1"/>
        <w:ind w:left="-1418"/>
        <w:rPr>
          <w:color w:val="auto"/>
        </w:rPr>
      </w:pPr>
    </w:p>
    <w:p>
      <w:pPr>
        <w:pStyle w:val="129"/>
        <w:framePr w:w="9639" w:h="6974" w:hRule="exact" w:wrap="around" w:vAnchor="page" w:hAnchor="page" w:x="1419" w:y="6408" w:anchorLock="1"/>
        <w:textAlignment w:val="bottom"/>
        <w:rPr>
          <w:rFonts w:hint="eastAsia" w:ascii="黑体" w:hAnsi="黑体" w:eastAsia="黑体"/>
          <w:color w:val="auto"/>
          <w:szCs w:val="28"/>
        </w:rPr>
      </w:pPr>
      <w:r>
        <w:rPr>
          <w:rFonts w:hint="eastAsia" w:ascii="黑体" w:hAnsi="黑体" w:eastAsia="黑体"/>
          <w:color w:val="auto"/>
          <w:szCs w:val="28"/>
        </w:rPr>
        <w:fldChar w:fldCharType="begin">
          <w:ffData>
            <w:name w:val="ESTD_NAME"/>
            <w:enabled/>
            <w:calcOnExit w:val="0"/>
            <w:textInput>
              <w:default w:val="Technical specification for automatic fare collection system                    of urban rail transit —                                               Part 8 : Inspection"/>
            </w:textInput>
          </w:ffData>
        </w:fldChar>
      </w:r>
      <w:bookmarkStart w:id="10" w:name="ESTD_NAME"/>
      <w:r>
        <w:rPr>
          <w:rFonts w:hint="eastAsia" w:ascii="黑体" w:hAnsi="黑体" w:eastAsia="黑体"/>
          <w:color w:val="auto"/>
          <w:szCs w:val="28"/>
        </w:rPr>
        <w:instrText xml:space="preserve"> FORMTEXT </w:instrText>
      </w:r>
      <w:r>
        <w:rPr>
          <w:rFonts w:hint="eastAsia" w:ascii="黑体" w:hAnsi="黑体" w:eastAsia="黑体"/>
          <w:color w:val="auto"/>
          <w:szCs w:val="28"/>
        </w:rPr>
        <w:fldChar w:fldCharType="separate"/>
      </w:r>
      <w:r>
        <w:rPr>
          <w:rFonts w:hint="eastAsia" w:ascii="黑体" w:hAnsi="黑体" w:eastAsia="黑体"/>
          <w:color w:val="auto"/>
          <w:szCs w:val="28"/>
        </w:rPr>
        <w:t>Technical specification for automatic fare collection system                    of urban rail transit —                                               Part 8 : Inspection</w:t>
      </w:r>
      <w:r>
        <w:rPr>
          <w:rFonts w:hint="eastAsia" w:ascii="黑体" w:hAnsi="黑体" w:eastAsia="黑体"/>
          <w:color w:val="auto"/>
          <w:szCs w:val="28"/>
        </w:rPr>
        <w:fldChar w:fldCharType="end"/>
      </w:r>
      <w:bookmarkEnd w:id="10"/>
    </w:p>
    <w:p>
      <w:pPr>
        <w:framePr w:w="9639" w:h="6974" w:hRule="exact" w:wrap="around" w:vAnchor="page" w:hAnchor="page" w:x="1419" w:y="6408" w:anchorLock="1"/>
        <w:spacing w:line="760" w:lineRule="exact"/>
        <w:ind w:left="-1418"/>
        <w:rPr>
          <w:color w:val="auto"/>
        </w:rPr>
      </w:pPr>
    </w:p>
    <w:p>
      <w:pPr>
        <w:pStyle w:val="129"/>
        <w:framePr w:w="9639" w:h="6974" w:hRule="exact" w:wrap="around" w:vAnchor="page" w:hAnchor="page" w:x="1419" w:y="6408" w:anchorLock="1"/>
        <w:textAlignment w:val="bottom"/>
        <w:rPr>
          <w:rFonts w:eastAsia="黑体"/>
          <w:color w:val="auto"/>
          <w:szCs w:val="28"/>
        </w:rPr>
      </w:pPr>
    </w:p>
    <w:p>
      <w:pPr>
        <w:pStyle w:val="129"/>
        <w:framePr w:w="9639" w:h="6974" w:hRule="exact" w:wrap="around" w:vAnchor="page" w:hAnchor="page" w:x="1419" w:y="6408" w:anchorLock="1"/>
        <w:spacing w:before="440" w:after="160"/>
        <w:textAlignment w:val="bottom"/>
        <w:rPr>
          <w:color w:val="auto"/>
          <w:sz w:val="24"/>
          <w:szCs w:val="28"/>
        </w:rPr>
      </w:pPr>
      <w:r>
        <w:rPr>
          <w:rFonts w:hint="eastAsia"/>
          <w:color w:val="auto"/>
          <w:sz w:val="24"/>
          <w:szCs w:val="28"/>
        </w:rPr>
        <w:t>（征求意见稿）</w:t>
      </w:r>
      <w:r>
        <w:rPr>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pPr>
        <w:pStyle w:val="129"/>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pPr>
        <w:pStyle w:val="129"/>
        <w:framePr w:w="9639" w:h="6974" w:hRule="exact" w:wrap="around" w:vAnchor="page" w:hAnchor="page" w:x="1419" w:y="6408" w:anchorLock="1"/>
        <w:spacing w:before="720" w:beforeLines="300" w:after="72"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pPr>
        <w:pStyle w:val="197"/>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pPr>
        <w:pStyle w:val="198"/>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pPr>
        <w:pStyle w:val="155"/>
        <w:framePr w:h="584" w:hRule="exact" w:hSpace="181" w:vSpace="181" w:wrap="around" w:y="15027"/>
        <w:rPr>
          <w:rFonts w:hint="eastAsia"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北京市市场监督管理局</w:t>
      </w:r>
      <w:r>
        <w:rPr>
          <w:rFonts w:hAnsi="黑体"/>
          <w:color w:val="auto"/>
          <w:w w:val="100"/>
          <w:sz w:val="28"/>
        </w:rPr>
        <w:fldChar w:fldCharType="end"/>
      </w:r>
      <w:bookmarkEnd w:id="20"/>
      <w:r>
        <w:rPr>
          <w:rFonts w:ascii="Times New Roman"/>
          <w:color w:val="auto"/>
          <w:w w:val="100"/>
          <w:sz w:val="28"/>
        </w:rPr>
        <w:t>  </w:t>
      </w:r>
      <w:r>
        <w:rPr>
          <w:rStyle w:val="233"/>
          <w:rFonts w:hint="eastAsia" w:hAnsi="黑体"/>
          <w:color w:val="auto"/>
          <w:position w:val="0"/>
        </w:rPr>
        <w:t>发</w:t>
      </w:r>
      <w:r>
        <w:rPr>
          <w:rStyle w:val="233"/>
          <w:rFonts w:hint="eastAsia" w:hAnsi="黑体"/>
          <w:color w:val="auto"/>
          <w:spacing w:val="0"/>
          <w:position w:val="0"/>
        </w:rPr>
        <w:t>布</w:t>
      </w:r>
    </w:p>
    <w:p>
      <w:pPr>
        <w:rPr>
          <w:rFonts w:hint="eastAsia"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5"/>
        <w:spacing w:after="468"/>
        <w:rPr>
          <w:color w:val="auto"/>
        </w:rPr>
      </w:pPr>
      <w:bookmarkStart w:id="21" w:name="BookMark1"/>
      <w:bookmarkStart w:id="22" w:name="_Toc203208994"/>
      <w:bookmarkStart w:id="23" w:name="_Toc193447443"/>
      <w:bookmarkStart w:id="24" w:name="_Toc193356592"/>
      <w:r>
        <w:rPr>
          <w:rFonts w:hint="eastAsia"/>
          <w:color w:val="auto"/>
          <w:spacing w:val="320"/>
        </w:rPr>
        <w:t>目</w:t>
      </w:r>
      <w:r>
        <w:rPr>
          <w:rFonts w:hint="eastAsia"/>
          <w:color w:val="auto"/>
        </w:rPr>
        <w:t>次</w:t>
      </w:r>
    </w:p>
    <w:p>
      <w:pPr>
        <w:pStyle w:val="21"/>
        <w:tabs>
          <w:tab w:val="right" w:leader="dot" w:pos="9354"/>
        </w:tabs>
        <w:rPr>
          <w:color w:val="auto"/>
        </w:rPr>
      </w:pPr>
      <w:r>
        <w:rPr>
          <w:color w:val="auto"/>
        </w:rPr>
        <w:fldChar w:fldCharType="begin"/>
      </w:r>
      <w:r>
        <w:rPr>
          <w:color w:val="auto"/>
        </w:rPr>
        <w:instrText xml:space="preserve"> TOC \o "1-1" \h \t "标准文件_一级条标题,2,标准文件_附录一级条标题,2," </w:instrText>
      </w:r>
      <w:r>
        <w:rPr>
          <w:color w:val="auto"/>
        </w:rPr>
        <w:fldChar w:fldCharType="separate"/>
      </w:r>
      <w:r>
        <w:rPr>
          <w:color w:val="auto"/>
        </w:rPr>
        <w:fldChar w:fldCharType="begin"/>
      </w:r>
      <w:r>
        <w:rPr>
          <w:color w:val="auto"/>
        </w:rPr>
        <w:instrText xml:space="preserve"> HYPERLINK \l _Toc18375 </w:instrText>
      </w:r>
      <w:r>
        <w:rPr>
          <w:color w:val="auto"/>
        </w:rPr>
        <w:fldChar w:fldCharType="separate"/>
      </w:r>
      <w:r>
        <w:rPr>
          <w:rFonts w:hint="eastAsia"/>
          <w:color w:val="auto"/>
          <w:spacing w:val="320"/>
        </w:rPr>
        <w:t>前</w:t>
      </w:r>
      <w:r>
        <w:rPr>
          <w:rFonts w:hint="eastAsia"/>
          <w:color w:val="auto"/>
        </w:rPr>
        <w:t>言</w:t>
      </w:r>
      <w:r>
        <w:rPr>
          <w:color w:val="auto"/>
        </w:rPr>
        <w:tab/>
      </w:r>
      <w:r>
        <w:rPr>
          <w:color w:val="auto"/>
        </w:rPr>
        <w:fldChar w:fldCharType="begin"/>
      </w:r>
      <w:r>
        <w:rPr>
          <w:color w:val="auto"/>
        </w:rPr>
        <w:instrText xml:space="preserve"> PAGEREF _Toc18375 \h </w:instrText>
      </w:r>
      <w:r>
        <w:rPr>
          <w:color w:val="auto"/>
        </w:rPr>
        <w:fldChar w:fldCharType="separate"/>
      </w:r>
      <w:r>
        <w:rPr>
          <w:color w:val="auto"/>
        </w:rPr>
        <w:t>III</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_Toc27251 </w:instrText>
      </w:r>
      <w:r>
        <w:rPr>
          <w:color w:val="auto"/>
        </w:rPr>
        <w:fldChar w:fldCharType="separate"/>
      </w:r>
      <w:r>
        <w:rPr>
          <w:rFonts w:hint="eastAsia"/>
          <w:color w:val="auto"/>
          <w:spacing w:val="320"/>
        </w:rPr>
        <w:t>引</w:t>
      </w:r>
      <w:r>
        <w:rPr>
          <w:rFonts w:hint="eastAsia"/>
          <w:color w:val="auto"/>
        </w:rPr>
        <w:t>言</w:t>
      </w:r>
      <w:r>
        <w:rPr>
          <w:color w:val="auto"/>
        </w:rPr>
        <w:tab/>
      </w:r>
      <w:r>
        <w:rPr>
          <w:color w:val="auto"/>
        </w:rPr>
        <w:fldChar w:fldCharType="begin"/>
      </w:r>
      <w:r>
        <w:rPr>
          <w:color w:val="auto"/>
        </w:rPr>
        <w:instrText xml:space="preserve"> PAGEREF _Toc27251 \h </w:instrText>
      </w:r>
      <w:r>
        <w:rPr>
          <w:color w:val="auto"/>
        </w:rPr>
        <w:fldChar w:fldCharType="separate"/>
      </w:r>
      <w:r>
        <w:rPr>
          <w:color w:val="auto"/>
        </w:rPr>
        <w:t>IV</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_Toc14853 </w:instrText>
      </w:r>
      <w:r>
        <w:rPr>
          <w:color w:val="auto"/>
        </w:rPr>
        <w:fldChar w:fldCharType="separate"/>
      </w:r>
      <w:r>
        <w:rPr>
          <w:rFonts w:hint="eastAsia" w:ascii="黑体" w:eastAsia="黑体"/>
          <w:i w:val="0"/>
          <w:color w:val="auto"/>
        </w:rPr>
        <w:t xml:space="preserve">1 </w:t>
      </w:r>
      <w:r>
        <w:rPr>
          <w:rFonts w:hint="eastAsia"/>
          <w:color w:val="auto"/>
        </w:rPr>
        <w:t>范围</w:t>
      </w:r>
      <w:r>
        <w:rPr>
          <w:color w:val="auto"/>
        </w:rPr>
        <w:tab/>
      </w:r>
      <w:r>
        <w:rPr>
          <w:color w:val="auto"/>
        </w:rPr>
        <w:fldChar w:fldCharType="begin"/>
      </w:r>
      <w:r>
        <w:rPr>
          <w:color w:val="auto"/>
        </w:rPr>
        <w:instrText xml:space="preserve"> PAGEREF _Toc14853 \h </w:instrText>
      </w:r>
      <w:r>
        <w:rPr>
          <w:color w:val="auto"/>
        </w:rPr>
        <w:fldChar w:fldCharType="separate"/>
      </w:r>
      <w:r>
        <w:rPr>
          <w:color w:val="auto"/>
        </w:rPr>
        <w:t>5</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_Toc20482 </w:instrText>
      </w:r>
      <w:r>
        <w:rPr>
          <w:color w:val="auto"/>
        </w:rPr>
        <w:fldChar w:fldCharType="separate"/>
      </w:r>
      <w:r>
        <w:rPr>
          <w:rFonts w:hint="eastAsia" w:ascii="黑体" w:eastAsia="黑体"/>
          <w:i w:val="0"/>
          <w:color w:val="auto"/>
        </w:rPr>
        <w:t xml:space="preserve">2 </w:t>
      </w:r>
      <w:r>
        <w:rPr>
          <w:rFonts w:hint="eastAsia"/>
          <w:color w:val="auto"/>
        </w:rPr>
        <w:t>规范性引用文件</w:t>
      </w:r>
      <w:r>
        <w:rPr>
          <w:color w:val="auto"/>
        </w:rPr>
        <w:tab/>
      </w:r>
      <w:r>
        <w:rPr>
          <w:color w:val="auto"/>
        </w:rPr>
        <w:fldChar w:fldCharType="begin"/>
      </w:r>
      <w:r>
        <w:rPr>
          <w:color w:val="auto"/>
        </w:rPr>
        <w:instrText xml:space="preserve"> PAGEREF _Toc20482 \h </w:instrText>
      </w:r>
      <w:r>
        <w:rPr>
          <w:color w:val="auto"/>
        </w:rPr>
        <w:fldChar w:fldCharType="separate"/>
      </w:r>
      <w:r>
        <w:rPr>
          <w:color w:val="auto"/>
        </w:rPr>
        <w:t>5</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_Toc15777 </w:instrText>
      </w:r>
      <w:r>
        <w:rPr>
          <w:color w:val="auto"/>
        </w:rPr>
        <w:fldChar w:fldCharType="separate"/>
      </w:r>
      <w:r>
        <w:rPr>
          <w:rFonts w:hint="eastAsia" w:ascii="黑体" w:eastAsia="黑体"/>
          <w:i w:val="0"/>
          <w:color w:val="auto"/>
        </w:rPr>
        <w:t xml:space="preserve">3 </w:t>
      </w:r>
      <w:r>
        <w:rPr>
          <w:rFonts w:hint="eastAsia"/>
          <w:color w:val="auto"/>
          <w:szCs w:val="21"/>
        </w:rPr>
        <w:t>术语和定义</w:t>
      </w:r>
      <w:r>
        <w:rPr>
          <w:color w:val="auto"/>
        </w:rPr>
        <w:tab/>
      </w:r>
      <w:r>
        <w:rPr>
          <w:color w:val="auto"/>
        </w:rPr>
        <w:fldChar w:fldCharType="begin"/>
      </w:r>
      <w:r>
        <w:rPr>
          <w:color w:val="auto"/>
        </w:rPr>
        <w:instrText xml:space="preserve"> PAGEREF _Toc15777 \h </w:instrText>
      </w:r>
      <w:r>
        <w:rPr>
          <w:color w:val="auto"/>
        </w:rPr>
        <w:fldChar w:fldCharType="separate"/>
      </w:r>
      <w:r>
        <w:rPr>
          <w:color w:val="auto"/>
        </w:rPr>
        <w:t>5</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_Toc27892 </w:instrText>
      </w:r>
      <w:r>
        <w:rPr>
          <w:color w:val="auto"/>
        </w:rPr>
        <w:fldChar w:fldCharType="separate"/>
      </w:r>
      <w:r>
        <w:rPr>
          <w:rFonts w:hint="eastAsia" w:ascii="黑体" w:eastAsia="黑体"/>
          <w:i w:val="0"/>
          <w:color w:val="auto"/>
        </w:rPr>
        <w:t xml:space="preserve">4 </w:t>
      </w:r>
      <w:r>
        <w:rPr>
          <w:rFonts w:hint="eastAsia"/>
          <w:color w:val="auto"/>
        </w:rPr>
        <w:t>缩略语</w:t>
      </w:r>
      <w:r>
        <w:rPr>
          <w:color w:val="auto"/>
        </w:rPr>
        <w:tab/>
      </w:r>
      <w:r>
        <w:rPr>
          <w:color w:val="auto"/>
        </w:rPr>
        <w:fldChar w:fldCharType="begin"/>
      </w:r>
      <w:r>
        <w:rPr>
          <w:color w:val="auto"/>
        </w:rPr>
        <w:instrText xml:space="preserve"> PAGEREF _Toc27892 \h </w:instrText>
      </w:r>
      <w:r>
        <w:rPr>
          <w:color w:val="auto"/>
        </w:rPr>
        <w:fldChar w:fldCharType="separate"/>
      </w:r>
      <w:r>
        <w:rPr>
          <w:color w:val="auto"/>
        </w:rPr>
        <w:t>6</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_Toc8600 </w:instrText>
      </w:r>
      <w:r>
        <w:rPr>
          <w:color w:val="auto"/>
        </w:rPr>
        <w:fldChar w:fldCharType="separate"/>
      </w:r>
      <w:r>
        <w:rPr>
          <w:rFonts w:hint="eastAsia" w:ascii="黑体" w:eastAsia="黑体"/>
          <w:i w:val="0"/>
          <w:color w:val="auto"/>
        </w:rPr>
        <w:t xml:space="preserve">5 </w:t>
      </w:r>
      <w:r>
        <w:rPr>
          <w:rFonts w:hint="eastAsia"/>
          <w:color w:val="auto"/>
        </w:rPr>
        <w:t>基本要求</w:t>
      </w:r>
      <w:r>
        <w:rPr>
          <w:color w:val="auto"/>
        </w:rPr>
        <w:tab/>
      </w:r>
      <w:r>
        <w:rPr>
          <w:color w:val="auto"/>
        </w:rPr>
        <w:fldChar w:fldCharType="begin"/>
      </w:r>
      <w:r>
        <w:rPr>
          <w:color w:val="auto"/>
        </w:rPr>
        <w:instrText xml:space="preserve"> PAGEREF _Toc8600 \h </w:instrText>
      </w:r>
      <w:r>
        <w:rPr>
          <w:color w:val="auto"/>
        </w:rPr>
        <w:fldChar w:fldCharType="separate"/>
      </w:r>
      <w:r>
        <w:rPr>
          <w:color w:val="auto"/>
        </w:rPr>
        <w:t>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_Toc31301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color w:val="auto"/>
        </w:rPr>
        <w:t>一般要求</w:t>
      </w:r>
      <w:r>
        <w:rPr>
          <w:color w:val="auto"/>
        </w:rPr>
        <w:tab/>
      </w:r>
      <w:r>
        <w:rPr>
          <w:color w:val="auto"/>
        </w:rPr>
        <w:fldChar w:fldCharType="begin"/>
      </w:r>
      <w:r>
        <w:rPr>
          <w:color w:val="auto"/>
        </w:rPr>
        <w:instrText xml:space="preserve"> PAGEREF _Toc31301 \h </w:instrText>
      </w:r>
      <w:r>
        <w:rPr>
          <w:color w:val="auto"/>
        </w:rPr>
        <w:fldChar w:fldCharType="separate"/>
      </w:r>
      <w:r>
        <w:rPr>
          <w:color w:val="auto"/>
        </w:rPr>
        <w:t>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_Toc4386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color w:val="auto"/>
        </w:rPr>
        <w:t>检测条件</w:t>
      </w:r>
      <w:r>
        <w:rPr>
          <w:color w:val="auto"/>
        </w:rPr>
        <w:tab/>
      </w:r>
      <w:r>
        <w:rPr>
          <w:color w:val="auto"/>
        </w:rPr>
        <w:fldChar w:fldCharType="begin"/>
      </w:r>
      <w:r>
        <w:rPr>
          <w:color w:val="auto"/>
        </w:rPr>
        <w:instrText xml:space="preserve"> PAGEREF _Toc4386 \h </w:instrText>
      </w:r>
      <w:r>
        <w:rPr>
          <w:color w:val="auto"/>
        </w:rPr>
        <w:fldChar w:fldCharType="separate"/>
      </w:r>
      <w:r>
        <w:rPr>
          <w:color w:val="auto"/>
        </w:rPr>
        <w:t>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_Toc7121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color w:val="auto"/>
        </w:rPr>
        <w:t>检测分类</w:t>
      </w:r>
      <w:r>
        <w:rPr>
          <w:color w:val="auto"/>
        </w:rPr>
        <w:tab/>
      </w:r>
      <w:r>
        <w:rPr>
          <w:color w:val="auto"/>
        </w:rPr>
        <w:fldChar w:fldCharType="begin"/>
      </w:r>
      <w:r>
        <w:rPr>
          <w:color w:val="auto"/>
        </w:rPr>
        <w:instrText xml:space="preserve"> PAGEREF _Toc7121 \h </w:instrText>
      </w:r>
      <w:r>
        <w:rPr>
          <w:color w:val="auto"/>
        </w:rPr>
        <w:fldChar w:fldCharType="separate"/>
      </w:r>
      <w:r>
        <w:rPr>
          <w:color w:val="auto"/>
        </w:rPr>
        <w:t>7</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_Toc14373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color w:val="auto"/>
        </w:rPr>
        <w:t>入围检测要求</w:t>
      </w:r>
      <w:r>
        <w:rPr>
          <w:color w:val="auto"/>
        </w:rPr>
        <w:tab/>
      </w:r>
      <w:r>
        <w:rPr>
          <w:color w:val="auto"/>
        </w:rPr>
        <w:fldChar w:fldCharType="begin"/>
      </w:r>
      <w:r>
        <w:rPr>
          <w:color w:val="auto"/>
        </w:rPr>
        <w:instrText xml:space="preserve"> PAGEREF _Toc14373 \h </w:instrText>
      </w:r>
      <w:r>
        <w:rPr>
          <w:color w:val="auto"/>
        </w:rPr>
        <w:fldChar w:fldCharType="separate"/>
      </w:r>
      <w:r>
        <w:rPr>
          <w:color w:val="auto"/>
        </w:rPr>
        <w:t>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_Toc28531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color w:val="auto"/>
        </w:rPr>
        <w:t>样机检测要求</w:t>
      </w:r>
      <w:r>
        <w:rPr>
          <w:color w:val="auto"/>
        </w:rPr>
        <w:tab/>
      </w:r>
      <w:r>
        <w:rPr>
          <w:color w:val="auto"/>
        </w:rPr>
        <w:fldChar w:fldCharType="begin"/>
      </w:r>
      <w:r>
        <w:rPr>
          <w:color w:val="auto"/>
        </w:rPr>
        <w:instrText xml:space="preserve"> PAGEREF _Toc28531 \h </w:instrText>
      </w:r>
      <w:r>
        <w:rPr>
          <w:color w:val="auto"/>
        </w:rPr>
        <w:fldChar w:fldCharType="separate"/>
      </w:r>
      <w:r>
        <w:rPr>
          <w:color w:val="auto"/>
        </w:rPr>
        <w:t>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_Toc8279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color w:val="auto"/>
        </w:rPr>
        <w:t>扩大范围检测要求</w:t>
      </w:r>
      <w:r>
        <w:rPr>
          <w:color w:val="auto"/>
        </w:rPr>
        <w:tab/>
      </w:r>
      <w:r>
        <w:rPr>
          <w:color w:val="auto"/>
        </w:rPr>
        <w:fldChar w:fldCharType="begin"/>
      </w:r>
      <w:r>
        <w:rPr>
          <w:color w:val="auto"/>
        </w:rPr>
        <w:instrText xml:space="preserve"> PAGEREF _Toc8279 \h </w:instrText>
      </w:r>
      <w:r>
        <w:rPr>
          <w:color w:val="auto"/>
        </w:rPr>
        <w:fldChar w:fldCharType="separate"/>
      </w:r>
      <w:r>
        <w:rPr>
          <w:color w:val="auto"/>
        </w:rPr>
        <w:t>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_Toc22063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color w:val="auto"/>
        </w:rPr>
        <w:t>接入检测要求</w:t>
      </w:r>
      <w:r>
        <w:rPr>
          <w:color w:val="auto"/>
        </w:rPr>
        <w:tab/>
      </w:r>
      <w:r>
        <w:rPr>
          <w:color w:val="auto"/>
        </w:rPr>
        <w:fldChar w:fldCharType="begin"/>
      </w:r>
      <w:r>
        <w:rPr>
          <w:color w:val="auto"/>
        </w:rPr>
        <w:instrText xml:space="preserve"> PAGEREF _Toc22063 \h </w:instrText>
      </w:r>
      <w:r>
        <w:rPr>
          <w:color w:val="auto"/>
        </w:rPr>
        <w:fldChar w:fldCharType="separate"/>
      </w:r>
      <w:r>
        <w:rPr>
          <w:color w:val="auto"/>
        </w:rPr>
        <w:t>9</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_Toc13387 </w:instrText>
      </w:r>
      <w:r>
        <w:rPr>
          <w:color w:val="auto"/>
        </w:rPr>
        <w:fldChar w:fldCharType="separate"/>
      </w:r>
      <w:r>
        <w:rPr>
          <w:rFonts w:hint="eastAsia" w:ascii="黑体" w:eastAsia="黑体"/>
          <w:i w:val="0"/>
          <w:color w:val="auto"/>
        </w:rPr>
        <w:t xml:space="preserve">6 </w:t>
      </w:r>
      <w:r>
        <w:rPr>
          <w:rFonts w:hint="eastAsia"/>
          <w:color w:val="auto"/>
        </w:rPr>
        <w:t>问题定义与判据</w:t>
      </w:r>
      <w:r>
        <w:rPr>
          <w:color w:val="auto"/>
        </w:rPr>
        <w:tab/>
      </w:r>
      <w:r>
        <w:rPr>
          <w:color w:val="auto"/>
        </w:rPr>
        <w:fldChar w:fldCharType="begin"/>
      </w:r>
      <w:r>
        <w:rPr>
          <w:color w:val="auto"/>
        </w:rPr>
        <w:instrText xml:space="preserve"> PAGEREF _Toc13387 \h </w:instrText>
      </w:r>
      <w:r>
        <w:rPr>
          <w:color w:val="auto"/>
        </w:rPr>
        <w:fldChar w:fldCharType="separate"/>
      </w:r>
      <w:r>
        <w:rPr>
          <w:color w:val="auto"/>
        </w:rPr>
        <w:t>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_Toc20352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color w:val="auto"/>
        </w:rPr>
        <w:t>问题定义</w:t>
      </w:r>
      <w:r>
        <w:rPr>
          <w:color w:val="auto"/>
        </w:rPr>
        <w:tab/>
      </w:r>
      <w:r>
        <w:rPr>
          <w:color w:val="auto"/>
        </w:rPr>
        <w:fldChar w:fldCharType="begin"/>
      </w:r>
      <w:r>
        <w:rPr>
          <w:color w:val="auto"/>
        </w:rPr>
        <w:instrText xml:space="preserve"> PAGEREF _Toc20352 \h </w:instrText>
      </w:r>
      <w:r>
        <w:rPr>
          <w:color w:val="auto"/>
        </w:rPr>
        <w:fldChar w:fldCharType="separate"/>
      </w:r>
      <w:r>
        <w:rPr>
          <w:color w:val="auto"/>
        </w:rPr>
        <w:t>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_Toc32759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color w:val="auto"/>
        </w:rPr>
        <w:t>问题分类</w:t>
      </w:r>
      <w:r>
        <w:rPr>
          <w:color w:val="auto"/>
        </w:rPr>
        <w:tab/>
      </w:r>
      <w:r>
        <w:rPr>
          <w:color w:val="auto"/>
        </w:rPr>
        <w:fldChar w:fldCharType="begin"/>
      </w:r>
      <w:r>
        <w:rPr>
          <w:color w:val="auto"/>
        </w:rPr>
        <w:instrText xml:space="preserve"> PAGEREF _Toc32759 \h </w:instrText>
      </w:r>
      <w:r>
        <w:rPr>
          <w:color w:val="auto"/>
        </w:rPr>
        <w:fldChar w:fldCharType="separate"/>
      </w:r>
      <w:r>
        <w:rPr>
          <w:color w:val="auto"/>
        </w:rPr>
        <w:t>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_Toc16449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color w:val="auto"/>
        </w:rPr>
        <w:t>问题判定</w:t>
      </w:r>
      <w:r>
        <w:rPr>
          <w:color w:val="auto"/>
        </w:rPr>
        <w:tab/>
      </w:r>
      <w:r>
        <w:rPr>
          <w:color w:val="auto"/>
        </w:rPr>
        <w:fldChar w:fldCharType="begin"/>
      </w:r>
      <w:r>
        <w:rPr>
          <w:color w:val="auto"/>
        </w:rPr>
        <w:instrText xml:space="preserve"> PAGEREF _Toc16449 \h </w:instrText>
      </w:r>
      <w:r>
        <w:rPr>
          <w:color w:val="auto"/>
        </w:rPr>
        <w:fldChar w:fldCharType="separate"/>
      </w:r>
      <w:r>
        <w:rPr>
          <w:color w:val="auto"/>
        </w:rPr>
        <w:t>10</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_Toc17025 </w:instrText>
      </w:r>
      <w:r>
        <w:rPr>
          <w:color w:val="auto"/>
        </w:rPr>
        <w:fldChar w:fldCharType="separate"/>
      </w:r>
      <w:r>
        <w:rPr>
          <w:rFonts w:hint="eastAsia" w:ascii="黑体" w:eastAsia="黑体"/>
          <w:i w:val="0"/>
          <w:color w:val="auto"/>
        </w:rPr>
        <w:t xml:space="preserve">7 </w:t>
      </w:r>
      <w:r>
        <w:rPr>
          <w:rFonts w:hint="eastAsia"/>
          <w:color w:val="auto"/>
        </w:rPr>
        <w:t>通用检测</w:t>
      </w:r>
      <w:r>
        <w:rPr>
          <w:color w:val="auto"/>
        </w:rPr>
        <w:tab/>
      </w:r>
      <w:r>
        <w:rPr>
          <w:color w:val="auto"/>
        </w:rPr>
        <w:fldChar w:fldCharType="begin"/>
      </w:r>
      <w:r>
        <w:rPr>
          <w:color w:val="auto"/>
        </w:rPr>
        <w:instrText xml:space="preserve"> PAGEREF _Toc17025 \h </w:instrText>
      </w:r>
      <w:r>
        <w:rPr>
          <w:color w:val="auto"/>
        </w:rPr>
        <w:fldChar w:fldCharType="separate"/>
      </w:r>
      <w:r>
        <w:rPr>
          <w:color w:val="auto"/>
        </w:rPr>
        <w:t>10</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_Toc2518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color w:val="auto"/>
        </w:rPr>
        <w:t>通信接口检测</w:t>
      </w:r>
      <w:r>
        <w:rPr>
          <w:color w:val="auto"/>
        </w:rPr>
        <w:tab/>
      </w:r>
      <w:r>
        <w:rPr>
          <w:color w:val="auto"/>
        </w:rPr>
        <w:fldChar w:fldCharType="begin"/>
      </w:r>
      <w:r>
        <w:rPr>
          <w:color w:val="auto"/>
        </w:rPr>
        <w:instrText xml:space="preserve"> PAGEREF _Toc2518 \h </w:instrText>
      </w:r>
      <w:r>
        <w:rPr>
          <w:color w:val="auto"/>
        </w:rPr>
        <w:fldChar w:fldCharType="separate"/>
      </w:r>
      <w:r>
        <w:rPr>
          <w:color w:val="auto"/>
        </w:rPr>
        <w:t>10</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_Toc17230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color w:val="auto"/>
        </w:rPr>
        <w:t>外观与结构检测</w:t>
      </w:r>
      <w:r>
        <w:rPr>
          <w:color w:val="auto"/>
        </w:rPr>
        <w:tab/>
      </w:r>
      <w:r>
        <w:rPr>
          <w:color w:val="auto"/>
        </w:rPr>
        <w:fldChar w:fldCharType="begin"/>
      </w:r>
      <w:r>
        <w:rPr>
          <w:color w:val="auto"/>
        </w:rPr>
        <w:instrText xml:space="preserve"> PAGEREF _Toc17230 \h </w:instrText>
      </w:r>
      <w:r>
        <w:rPr>
          <w:color w:val="auto"/>
        </w:rPr>
        <w:fldChar w:fldCharType="separate"/>
      </w:r>
      <w:r>
        <w:rPr>
          <w:color w:val="auto"/>
        </w:rPr>
        <w:t>12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_Toc15213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color w:val="auto"/>
        </w:rPr>
        <w:t>装配检测</w:t>
      </w:r>
      <w:r>
        <w:rPr>
          <w:color w:val="auto"/>
        </w:rPr>
        <w:tab/>
      </w:r>
      <w:r>
        <w:rPr>
          <w:color w:val="auto"/>
        </w:rPr>
        <w:fldChar w:fldCharType="begin"/>
      </w:r>
      <w:r>
        <w:rPr>
          <w:color w:val="auto"/>
        </w:rPr>
        <w:instrText xml:space="preserve"> PAGEREF _Toc15213 \h </w:instrText>
      </w:r>
      <w:r>
        <w:rPr>
          <w:color w:val="auto"/>
        </w:rPr>
        <w:fldChar w:fldCharType="separate"/>
      </w:r>
      <w:r>
        <w:rPr>
          <w:color w:val="auto"/>
        </w:rPr>
        <w:t>12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_Toc11433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color w:val="auto"/>
        </w:rPr>
        <w:t>硬件一致性检测</w:t>
      </w:r>
      <w:r>
        <w:rPr>
          <w:color w:val="auto"/>
        </w:rPr>
        <w:tab/>
      </w:r>
      <w:r>
        <w:rPr>
          <w:color w:val="auto"/>
        </w:rPr>
        <w:fldChar w:fldCharType="begin"/>
      </w:r>
      <w:r>
        <w:rPr>
          <w:color w:val="auto"/>
        </w:rPr>
        <w:instrText xml:space="preserve"> PAGEREF _Toc11433 \h </w:instrText>
      </w:r>
      <w:r>
        <w:rPr>
          <w:color w:val="auto"/>
        </w:rPr>
        <w:fldChar w:fldCharType="separate"/>
      </w:r>
      <w:r>
        <w:rPr>
          <w:color w:val="auto"/>
        </w:rPr>
        <w:t>13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_Toc13980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color w:val="auto"/>
        </w:rPr>
        <w:t>电气性能检测</w:t>
      </w:r>
      <w:r>
        <w:rPr>
          <w:color w:val="auto"/>
        </w:rPr>
        <w:tab/>
      </w:r>
      <w:r>
        <w:rPr>
          <w:color w:val="auto"/>
        </w:rPr>
        <w:fldChar w:fldCharType="begin"/>
      </w:r>
      <w:r>
        <w:rPr>
          <w:color w:val="auto"/>
        </w:rPr>
        <w:instrText xml:space="preserve"> PAGEREF _Toc13980 \h </w:instrText>
      </w:r>
      <w:r>
        <w:rPr>
          <w:color w:val="auto"/>
        </w:rPr>
        <w:fldChar w:fldCharType="separate"/>
      </w:r>
      <w:r>
        <w:rPr>
          <w:color w:val="auto"/>
        </w:rPr>
        <w:t>13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_Toc123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color w:val="auto"/>
        </w:rPr>
        <w:t>电磁兼容性检测</w:t>
      </w:r>
      <w:r>
        <w:rPr>
          <w:color w:val="auto"/>
        </w:rPr>
        <w:tab/>
      </w:r>
      <w:r>
        <w:rPr>
          <w:color w:val="auto"/>
        </w:rPr>
        <w:fldChar w:fldCharType="begin"/>
      </w:r>
      <w:r>
        <w:rPr>
          <w:color w:val="auto"/>
        </w:rPr>
        <w:instrText xml:space="preserve"> PAGEREF _Toc123 \h </w:instrText>
      </w:r>
      <w:r>
        <w:rPr>
          <w:color w:val="auto"/>
        </w:rPr>
        <w:fldChar w:fldCharType="separate"/>
      </w:r>
      <w:r>
        <w:rPr>
          <w:color w:val="auto"/>
        </w:rPr>
        <w:t>14</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_Toc10666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color w:val="auto"/>
        </w:rPr>
        <w:t>噪声检测</w:t>
      </w:r>
      <w:r>
        <w:rPr>
          <w:color w:val="auto"/>
        </w:rPr>
        <w:tab/>
      </w:r>
      <w:r>
        <w:rPr>
          <w:color w:val="auto"/>
        </w:rPr>
        <w:fldChar w:fldCharType="begin"/>
      </w:r>
      <w:r>
        <w:rPr>
          <w:color w:val="auto"/>
        </w:rPr>
        <w:instrText xml:space="preserve"> PAGEREF _Toc10666 \h </w:instrText>
      </w:r>
      <w:r>
        <w:rPr>
          <w:color w:val="auto"/>
        </w:rPr>
        <w:fldChar w:fldCharType="separate"/>
      </w:r>
      <w:r>
        <w:rPr>
          <w:color w:val="auto"/>
        </w:rPr>
        <w:t>16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_Toc8169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7.8 </w:t>
      </w:r>
      <w:r>
        <w:rPr>
          <w:rFonts w:hint="eastAsia"/>
          <w:color w:val="auto"/>
        </w:rPr>
        <w:t>防尘能力检测</w:t>
      </w:r>
      <w:r>
        <w:rPr>
          <w:color w:val="auto"/>
        </w:rPr>
        <w:tab/>
      </w:r>
      <w:r>
        <w:rPr>
          <w:color w:val="auto"/>
        </w:rPr>
        <w:fldChar w:fldCharType="begin"/>
      </w:r>
      <w:r>
        <w:rPr>
          <w:color w:val="auto"/>
        </w:rPr>
        <w:instrText xml:space="preserve"> PAGEREF _Toc8169 \h </w:instrText>
      </w:r>
      <w:r>
        <w:rPr>
          <w:color w:val="auto"/>
        </w:rPr>
        <w:fldChar w:fldCharType="separate"/>
      </w:r>
      <w:r>
        <w:rPr>
          <w:color w:val="auto"/>
        </w:rPr>
        <w:t>16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_Toc5432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7.9 </w:t>
      </w:r>
      <w:r>
        <w:rPr>
          <w:rFonts w:hint="eastAsia"/>
          <w:color w:val="auto"/>
        </w:rPr>
        <w:t>防水能力检测</w:t>
      </w:r>
      <w:r>
        <w:rPr>
          <w:color w:val="auto"/>
        </w:rPr>
        <w:tab/>
      </w:r>
      <w:r>
        <w:rPr>
          <w:color w:val="auto"/>
        </w:rPr>
        <w:fldChar w:fldCharType="begin"/>
      </w:r>
      <w:r>
        <w:rPr>
          <w:color w:val="auto"/>
        </w:rPr>
        <w:instrText xml:space="preserve"> PAGEREF _Toc5432 \h </w:instrText>
      </w:r>
      <w:r>
        <w:rPr>
          <w:color w:val="auto"/>
        </w:rPr>
        <w:fldChar w:fldCharType="separate"/>
      </w:r>
      <w:r>
        <w:rPr>
          <w:color w:val="auto"/>
        </w:rPr>
        <w:t>16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_Toc25819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7.10 </w:t>
      </w:r>
      <w:r>
        <w:rPr>
          <w:rFonts w:hint="eastAsia"/>
          <w:color w:val="auto"/>
        </w:rPr>
        <w:t>机械环境适应性检测</w:t>
      </w:r>
      <w:r>
        <w:rPr>
          <w:color w:val="auto"/>
        </w:rPr>
        <w:tab/>
      </w:r>
      <w:r>
        <w:rPr>
          <w:color w:val="auto"/>
        </w:rPr>
        <w:fldChar w:fldCharType="begin"/>
      </w:r>
      <w:r>
        <w:rPr>
          <w:color w:val="auto"/>
        </w:rPr>
        <w:instrText xml:space="preserve"> PAGEREF _Toc25819 \h </w:instrText>
      </w:r>
      <w:r>
        <w:rPr>
          <w:color w:val="auto"/>
        </w:rPr>
        <w:fldChar w:fldCharType="separate"/>
      </w:r>
      <w:r>
        <w:rPr>
          <w:color w:val="auto"/>
        </w:rPr>
        <w:t>17</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_Toc45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7.11 </w:t>
      </w:r>
      <w:r>
        <w:rPr>
          <w:rFonts w:hint="eastAsia"/>
          <w:color w:val="auto"/>
        </w:rPr>
        <w:t>温湿环境适应性检测</w:t>
      </w:r>
      <w:r>
        <w:rPr>
          <w:color w:val="auto"/>
        </w:rPr>
        <w:tab/>
      </w:r>
      <w:r>
        <w:rPr>
          <w:color w:val="auto"/>
        </w:rPr>
        <w:fldChar w:fldCharType="begin"/>
      </w:r>
      <w:r>
        <w:rPr>
          <w:color w:val="auto"/>
        </w:rPr>
        <w:instrText xml:space="preserve"> PAGEREF _Toc45 \h </w:instrText>
      </w:r>
      <w:r>
        <w:rPr>
          <w:color w:val="auto"/>
        </w:rPr>
        <w:fldChar w:fldCharType="separate"/>
      </w:r>
      <w:r>
        <w:rPr>
          <w:color w:val="auto"/>
        </w:rPr>
        <w:t>17</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_Toc1206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7.12 </w:t>
      </w:r>
      <w:r>
        <w:rPr>
          <w:rFonts w:hint="eastAsia"/>
          <w:color w:val="auto"/>
        </w:rPr>
        <w:t>可靠性检测</w:t>
      </w:r>
      <w:r>
        <w:rPr>
          <w:color w:val="auto"/>
        </w:rPr>
        <w:tab/>
      </w:r>
      <w:r>
        <w:rPr>
          <w:color w:val="auto"/>
        </w:rPr>
        <w:fldChar w:fldCharType="begin"/>
      </w:r>
      <w:r>
        <w:rPr>
          <w:color w:val="auto"/>
        </w:rPr>
        <w:instrText xml:space="preserve"> PAGEREF _Toc1206 \h </w:instrText>
      </w:r>
      <w:r>
        <w:rPr>
          <w:color w:val="auto"/>
        </w:rPr>
        <w:fldChar w:fldCharType="separate"/>
      </w:r>
      <w:r>
        <w:rPr>
          <w:color w:val="auto"/>
        </w:rPr>
        <w:t>18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_Toc21522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7.13 </w:t>
      </w:r>
      <w:r>
        <w:rPr>
          <w:rFonts w:hint="eastAsia"/>
          <w:color w:val="auto"/>
        </w:rPr>
        <w:t>可维护性检测</w:t>
      </w:r>
      <w:r>
        <w:rPr>
          <w:color w:val="auto"/>
        </w:rPr>
        <w:tab/>
      </w:r>
      <w:r>
        <w:rPr>
          <w:color w:val="auto"/>
        </w:rPr>
        <w:fldChar w:fldCharType="begin"/>
      </w:r>
      <w:r>
        <w:rPr>
          <w:color w:val="auto"/>
        </w:rPr>
        <w:instrText xml:space="preserve"> PAGEREF _Toc21522 \h </w:instrText>
      </w:r>
      <w:r>
        <w:rPr>
          <w:color w:val="auto"/>
        </w:rPr>
        <w:fldChar w:fldCharType="separate"/>
      </w:r>
      <w:r>
        <w:rPr>
          <w:color w:val="auto"/>
        </w:rPr>
        <w:t>18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_Toc28101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7.14 </w:t>
      </w:r>
      <w:r>
        <w:rPr>
          <w:rFonts w:hint="eastAsia"/>
          <w:color w:val="auto"/>
        </w:rPr>
        <w:t>安全性检测</w:t>
      </w:r>
      <w:r>
        <w:rPr>
          <w:color w:val="auto"/>
        </w:rPr>
        <w:tab/>
      </w:r>
      <w:r>
        <w:rPr>
          <w:color w:val="auto"/>
        </w:rPr>
        <w:fldChar w:fldCharType="begin"/>
      </w:r>
      <w:r>
        <w:rPr>
          <w:color w:val="auto"/>
        </w:rPr>
        <w:instrText xml:space="preserve"> PAGEREF _Toc28101 \h </w:instrText>
      </w:r>
      <w:r>
        <w:rPr>
          <w:color w:val="auto"/>
        </w:rPr>
        <w:fldChar w:fldCharType="separate"/>
      </w:r>
      <w:r>
        <w:rPr>
          <w:color w:val="auto"/>
        </w:rPr>
        <w:t>19</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_Toc27972 </w:instrText>
      </w:r>
      <w:r>
        <w:rPr>
          <w:color w:val="auto"/>
        </w:rPr>
        <w:fldChar w:fldCharType="separate"/>
      </w:r>
      <w:r>
        <w:rPr>
          <w:rFonts w:hint="eastAsia" w:ascii="黑体" w:eastAsia="黑体"/>
          <w:i w:val="0"/>
          <w:color w:val="auto"/>
        </w:rPr>
        <w:t xml:space="preserve">8 </w:t>
      </w:r>
      <w:r>
        <w:rPr>
          <w:rFonts w:hint="eastAsia"/>
          <w:color w:val="auto"/>
        </w:rPr>
        <w:t>专用模块检测</w:t>
      </w:r>
      <w:r>
        <w:rPr>
          <w:color w:val="auto"/>
        </w:rPr>
        <w:tab/>
      </w:r>
      <w:r>
        <w:rPr>
          <w:color w:val="auto"/>
        </w:rPr>
        <w:fldChar w:fldCharType="begin"/>
      </w:r>
      <w:r>
        <w:rPr>
          <w:color w:val="auto"/>
        </w:rPr>
        <w:instrText xml:space="preserve"> PAGEREF _Toc27972 \h </w:instrText>
      </w:r>
      <w:r>
        <w:rPr>
          <w:color w:val="auto"/>
        </w:rPr>
        <w:fldChar w:fldCharType="separate"/>
      </w:r>
      <w:r>
        <w:rPr>
          <w:color w:val="auto"/>
        </w:rPr>
        <w:t>19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_Toc7473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color w:val="auto"/>
        </w:rPr>
        <w:t>检测的环境条件</w:t>
      </w:r>
      <w:r>
        <w:rPr>
          <w:color w:val="auto"/>
        </w:rPr>
        <w:tab/>
      </w:r>
      <w:r>
        <w:rPr>
          <w:color w:val="auto"/>
        </w:rPr>
        <w:fldChar w:fldCharType="begin"/>
      </w:r>
      <w:r>
        <w:rPr>
          <w:color w:val="auto"/>
        </w:rPr>
        <w:instrText xml:space="preserve"> PAGEREF _Toc7473 \h </w:instrText>
      </w:r>
      <w:r>
        <w:rPr>
          <w:color w:val="auto"/>
        </w:rPr>
        <w:fldChar w:fldCharType="separate"/>
      </w:r>
      <w:r>
        <w:rPr>
          <w:color w:val="auto"/>
        </w:rPr>
        <w:t>19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_Toc1435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color w:val="auto"/>
        </w:rPr>
        <w:t>票箱检测</w:t>
      </w:r>
      <w:r>
        <w:rPr>
          <w:color w:val="auto"/>
        </w:rPr>
        <w:tab/>
      </w:r>
      <w:r>
        <w:rPr>
          <w:color w:val="auto"/>
        </w:rPr>
        <w:fldChar w:fldCharType="begin"/>
      </w:r>
      <w:r>
        <w:rPr>
          <w:color w:val="auto"/>
        </w:rPr>
        <w:instrText xml:space="preserve"> PAGEREF _Toc1435 \h </w:instrText>
      </w:r>
      <w:r>
        <w:rPr>
          <w:color w:val="auto"/>
        </w:rPr>
        <w:fldChar w:fldCharType="separate"/>
      </w:r>
      <w:r>
        <w:rPr>
          <w:color w:val="auto"/>
        </w:rPr>
        <w:t>19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_Toc6520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color w:val="auto"/>
        </w:rPr>
        <w:t>车票处理单元检测</w:t>
      </w:r>
      <w:r>
        <w:rPr>
          <w:color w:val="auto"/>
        </w:rPr>
        <w:tab/>
      </w:r>
      <w:r>
        <w:rPr>
          <w:color w:val="auto"/>
        </w:rPr>
        <w:fldChar w:fldCharType="begin"/>
      </w:r>
      <w:r>
        <w:rPr>
          <w:color w:val="auto"/>
        </w:rPr>
        <w:instrText xml:space="preserve"> PAGEREF _Toc6520 \h </w:instrText>
      </w:r>
      <w:r>
        <w:rPr>
          <w:color w:val="auto"/>
        </w:rPr>
        <w:fldChar w:fldCharType="separate"/>
      </w:r>
      <w:r>
        <w:rPr>
          <w:color w:val="auto"/>
        </w:rPr>
        <w:t>19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_Toc5506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color w:val="auto"/>
        </w:rPr>
        <w:t>硬币处理模块检测</w:t>
      </w:r>
      <w:r>
        <w:rPr>
          <w:color w:val="auto"/>
        </w:rPr>
        <w:tab/>
      </w:r>
      <w:r>
        <w:rPr>
          <w:color w:val="auto"/>
        </w:rPr>
        <w:fldChar w:fldCharType="begin"/>
      </w:r>
      <w:r>
        <w:rPr>
          <w:color w:val="auto"/>
        </w:rPr>
        <w:instrText xml:space="preserve"> PAGEREF _Toc5506 \h </w:instrText>
      </w:r>
      <w:r>
        <w:rPr>
          <w:color w:val="auto"/>
        </w:rPr>
        <w:fldChar w:fldCharType="separate"/>
      </w:r>
      <w:r>
        <w:rPr>
          <w:color w:val="auto"/>
        </w:rPr>
        <w:t>20</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_Toc23991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color w:val="auto"/>
        </w:rPr>
        <w:t>纸币接收模块检测</w:t>
      </w:r>
      <w:r>
        <w:rPr>
          <w:color w:val="auto"/>
        </w:rPr>
        <w:tab/>
      </w:r>
      <w:r>
        <w:rPr>
          <w:color w:val="auto"/>
        </w:rPr>
        <w:fldChar w:fldCharType="begin"/>
      </w:r>
      <w:r>
        <w:rPr>
          <w:color w:val="auto"/>
        </w:rPr>
        <w:instrText xml:space="preserve"> PAGEREF _Toc23991 \h </w:instrText>
      </w:r>
      <w:r>
        <w:rPr>
          <w:color w:val="auto"/>
        </w:rPr>
        <w:fldChar w:fldCharType="separate"/>
      </w:r>
      <w:r>
        <w:rPr>
          <w:color w:val="auto"/>
        </w:rPr>
        <w:t>22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_Toc26255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8.6 </w:t>
      </w:r>
      <w:r>
        <w:rPr>
          <w:rFonts w:hint="eastAsia"/>
          <w:color w:val="auto"/>
        </w:rPr>
        <w:t>纸币找零模块检测</w:t>
      </w:r>
      <w:r>
        <w:rPr>
          <w:color w:val="auto"/>
        </w:rPr>
        <w:tab/>
      </w:r>
      <w:r>
        <w:rPr>
          <w:color w:val="auto"/>
        </w:rPr>
        <w:fldChar w:fldCharType="begin"/>
      </w:r>
      <w:r>
        <w:rPr>
          <w:color w:val="auto"/>
        </w:rPr>
        <w:instrText xml:space="preserve"> PAGEREF _Toc26255 \h </w:instrText>
      </w:r>
      <w:r>
        <w:rPr>
          <w:color w:val="auto"/>
        </w:rPr>
        <w:fldChar w:fldCharType="separate"/>
      </w:r>
      <w:r>
        <w:rPr>
          <w:color w:val="auto"/>
        </w:rPr>
        <w:t>24</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_Toc9297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8.7 </w:t>
      </w:r>
      <w:r>
        <w:rPr>
          <w:rFonts w:hint="eastAsia"/>
          <w:color w:val="auto"/>
        </w:rPr>
        <w:t>车票发售模块检测</w:t>
      </w:r>
      <w:r>
        <w:rPr>
          <w:color w:val="auto"/>
        </w:rPr>
        <w:tab/>
      </w:r>
      <w:r>
        <w:rPr>
          <w:color w:val="auto"/>
        </w:rPr>
        <w:fldChar w:fldCharType="begin"/>
      </w:r>
      <w:r>
        <w:rPr>
          <w:color w:val="auto"/>
        </w:rPr>
        <w:instrText xml:space="preserve"> PAGEREF _Toc9297 \h </w:instrText>
      </w:r>
      <w:r>
        <w:rPr>
          <w:color w:val="auto"/>
        </w:rPr>
        <w:fldChar w:fldCharType="separate"/>
      </w:r>
      <w:r>
        <w:rPr>
          <w:color w:val="auto"/>
        </w:rPr>
        <w:t>26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_Toc11292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8.8 </w:t>
      </w:r>
      <w:r>
        <w:rPr>
          <w:rFonts w:hint="eastAsia"/>
          <w:color w:val="auto"/>
        </w:rPr>
        <w:t>车票回收模块检测</w:t>
      </w:r>
      <w:r>
        <w:rPr>
          <w:color w:val="auto"/>
        </w:rPr>
        <w:tab/>
      </w:r>
      <w:r>
        <w:rPr>
          <w:color w:val="auto"/>
        </w:rPr>
        <w:fldChar w:fldCharType="begin"/>
      </w:r>
      <w:r>
        <w:rPr>
          <w:color w:val="auto"/>
        </w:rPr>
        <w:instrText xml:space="preserve"> PAGEREF _Toc11292 \h </w:instrText>
      </w:r>
      <w:r>
        <w:rPr>
          <w:color w:val="auto"/>
        </w:rPr>
        <w:fldChar w:fldCharType="separate"/>
      </w:r>
      <w:r>
        <w:rPr>
          <w:color w:val="auto"/>
        </w:rPr>
        <w:t>27</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_Toc13235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8.9 </w:t>
      </w:r>
      <w:r>
        <w:rPr>
          <w:rFonts w:hint="eastAsia"/>
          <w:color w:val="auto"/>
        </w:rPr>
        <w:t>闸门及通行控制装置检测</w:t>
      </w:r>
      <w:r>
        <w:rPr>
          <w:color w:val="auto"/>
        </w:rPr>
        <w:tab/>
      </w:r>
      <w:r>
        <w:rPr>
          <w:color w:val="auto"/>
        </w:rPr>
        <w:fldChar w:fldCharType="begin"/>
      </w:r>
      <w:r>
        <w:rPr>
          <w:color w:val="auto"/>
        </w:rPr>
        <w:instrText xml:space="preserve"> PAGEREF _Toc13235 \h </w:instrText>
      </w:r>
      <w:r>
        <w:rPr>
          <w:color w:val="auto"/>
        </w:rPr>
        <w:fldChar w:fldCharType="separate"/>
      </w:r>
      <w:r>
        <w:rPr>
          <w:color w:val="auto"/>
        </w:rPr>
        <w:t>28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_Toc22903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8.10 </w:t>
      </w:r>
      <w:r>
        <w:rPr>
          <w:rFonts w:hint="eastAsia"/>
          <w:color w:val="auto"/>
        </w:rPr>
        <w:t>二维码模块检测</w:t>
      </w:r>
      <w:r>
        <w:rPr>
          <w:color w:val="auto"/>
        </w:rPr>
        <w:tab/>
      </w:r>
      <w:r>
        <w:rPr>
          <w:color w:val="auto"/>
        </w:rPr>
        <w:fldChar w:fldCharType="begin"/>
      </w:r>
      <w:r>
        <w:rPr>
          <w:color w:val="auto"/>
        </w:rPr>
        <w:instrText xml:space="preserve"> PAGEREF _Toc22903 \h </w:instrText>
      </w:r>
      <w:r>
        <w:rPr>
          <w:color w:val="auto"/>
        </w:rPr>
        <w:fldChar w:fldCharType="separate"/>
      </w:r>
      <w:r>
        <w:rPr>
          <w:color w:val="auto"/>
        </w:rPr>
        <w:t>30</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_Toc9794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8.11 </w:t>
      </w:r>
      <w:r>
        <w:rPr>
          <w:rFonts w:hint="eastAsia"/>
          <w:color w:val="auto"/>
        </w:rPr>
        <w:t>电源模块检测</w:t>
      </w:r>
      <w:r>
        <w:rPr>
          <w:color w:val="auto"/>
        </w:rPr>
        <w:tab/>
      </w:r>
      <w:r>
        <w:rPr>
          <w:color w:val="auto"/>
        </w:rPr>
        <w:fldChar w:fldCharType="begin"/>
      </w:r>
      <w:r>
        <w:rPr>
          <w:color w:val="auto"/>
        </w:rPr>
        <w:instrText xml:space="preserve"> PAGEREF _Toc9794 \h </w:instrText>
      </w:r>
      <w:r>
        <w:rPr>
          <w:color w:val="auto"/>
        </w:rPr>
        <w:fldChar w:fldCharType="separate"/>
      </w:r>
      <w:r>
        <w:rPr>
          <w:color w:val="auto"/>
        </w:rPr>
        <w:t>31</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_Toc27283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8.12 </w:t>
      </w:r>
      <w:r>
        <w:rPr>
          <w:rFonts w:hint="eastAsia"/>
          <w:color w:val="auto"/>
        </w:rPr>
        <w:t>主控单元检测</w:t>
      </w:r>
      <w:r>
        <w:rPr>
          <w:color w:val="auto"/>
        </w:rPr>
        <w:tab/>
      </w:r>
      <w:r>
        <w:rPr>
          <w:color w:val="auto"/>
        </w:rPr>
        <w:fldChar w:fldCharType="begin"/>
      </w:r>
      <w:r>
        <w:rPr>
          <w:color w:val="auto"/>
        </w:rPr>
        <w:instrText xml:space="preserve"> PAGEREF _Toc27283 \h </w:instrText>
      </w:r>
      <w:r>
        <w:rPr>
          <w:color w:val="auto"/>
        </w:rPr>
        <w:fldChar w:fldCharType="separate"/>
      </w:r>
      <w:r>
        <w:rPr>
          <w:color w:val="auto"/>
        </w:rPr>
        <w:t>31</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_Toc11959 </w:instrText>
      </w:r>
      <w:r>
        <w:rPr>
          <w:color w:val="auto"/>
        </w:rPr>
        <w:fldChar w:fldCharType="separate"/>
      </w:r>
      <w:r>
        <w:rPr>
          <w:rFonts w:hint="eastAsia" w:ascii="黑体" w:eastAsia="黑体"/>
          <w:i w:val="0"/>
          <w:color w:val="auto"/>
        </w:rPr>
        <w:t xml:space="preserve">9 </w:t>
      </w:r>
      <w:r>
        <w:rPr>
          <w:rFonts w:hint="eastAsia"/>
          <w:color w:val="auto"/>
        </w:rPr>
        <w:t>终端检测</w:t>
      </w:r>
      <w:r>
        <w:rPr>
          <w:color w:val="auto"/>
        </w:rPr>
        <w:tab/>
      </w:r>
      <w:r>
        <w:rPr>
          <w:color w:val="auto"/>
        </w:rPr>
        <w:fldChar w:fldCharType="begin"/>
      </w:r>
      <w:r>
        <w:rPr>
          <w:color w:val="auto"/>
        </w:rPr>
        <w:instrText xml:space="preserve"> PAGEREF _Toc11959 \h </w:instrText>
      </w:r>
      <w:r>
        <w:rPr>
          <w:color w:val="auto"/>
        </w:rPr>
        <w:fldChar w:fldCharType="separate"/>
      </w:r>
      <w:r>
        <w:rPr>
          <w:color w:val="auto"/>
        </w:rPr>
        <w:t>32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_Toc15217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color w:val="auto"/>
        </w:rPr>
        <w:t>检测环境条件</w:t>
      </w:r>
      <w:r>
        <w:rPr>
          <w:color w:val="auto"/>
        </w:rPr>
        <w:tab/>
      </w:r>
      <w:r>
        <w:rPr>
          <w:color w:val="auto"/>
        </w:rPr>
        <w:fldChar w:fldCharType="begin"/>
      </w:r>
      <w:r>
        <w:rPr>
          <w:color w:val="auto"/>
        </w:rPr>
        <w:instrText xml:space="preserve"> PAGEREF _Toc15217 \h </w:instrText>
      </w:r>
      <w:r>
        <w:rPr>
          <w:color w:val="auto"/>
        </w:rPr>
        <w:fldChar w:fldCharType="separate"/>
      </w:r>
      <w:r>
        <w:rPr>
          <w:color w:val="auto"/>
        </w:rPr>
        <w:t>32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_Toc9343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color w:val="auto"/>
        </w:rPr>
        <w:t>自动售票机检测</w:t>
      </w:r>
      <w:r>
        <w:rPr>
          <w:color w:val="auto"/>
        </w:rPr>
        <w:tab/>
      </w:r>
      <w:r>
        <w:rPr>
          <w:color w:val="auto"/>
        </w:rPr>
        <w:fldChar w:fldCharType="begin"/>
      </w:r>
      <w:r>
        <w:rPr>
          <w:color w:val="auto"/>
        </w:rPr>
        <w:instrText xml:space="preserve"> PAGEREF _Toc9343 \h </w:instrText>
      </w:r>
      <w:r>
        <w:rPr>
          <w:color w:val="auto"/>
        </w:rPr>
        <w:fldChar w:fldCharType="separate"/>
      </w:r>
      <w:r>
        <w:rPr>
          <w:color w:val="auto"/>
        </w:rPr>
        <w:t>32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_Toc11155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color w:val="auto"/>
        </w:rPr>
        <w:t>半自动售票机检测</w:t>
      </w:r>
      <w:r>
        <w:rPr>
          <w:color w:val="auto"/>
        </w:rPr>
        <w:tab/>
      </w:r>
      <w:r>
        <w:rPr>
          <w:color w:val="auto"/>
        </w:rPr>
        <w:fldChar w:fldCharType="begin"/>
      </w:r>
      <w:r>
        <w:rPr>
          <w:color w:val="auto"/>
        </w:rPr>
        <w:instrText xml:space="preserve"> PAGEREF _Toc11155 \h </w:instrText>
      </w:r>
      <w:r>
        <w:rPr>
          <w:color w:val="auto"/>
        </w:rPr>
        <w:fldChar w:fldCharType="separate"/>
      </w:r>
      <w:r>
        <w:rPr>
          <w:color w:val="auto"/>
        </w:rPr>
        <w:t>39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_Toc16332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9.4 </w:t>
      </w:r>
      <w:r>
        <w:rPr>
          <w:rFonts w:hint="eastAsia"/>
          <w:color w:val="auto"/>
        </w:rPr>
        <w:t>自动检票机检测</w:t>
      </w:r>
      <w:r>
        <w:rPr>
          <w:color w:val="auto"/>
        </w:rPr>
        <w:tab/>
      </w:r>
      <w:r>
        <w:rPr>
          <w:color w:val="auto"/>
        </w:rPr>
        <w:fldChar w:fldCharType="begin"/>
      </w:r>
      <w:r>
        <w:rPr>
          <w:color w:val="auto"/>
        </w:rPr>
        <w:instrText xml:space="preserve"> PAGEREF _Toc16332 \h </w:instrText>
      </w:r>
      <w:r>
        <w:rPr>
          <w:color w:val="auto"/>
        </w:rPr>
        <w:fldChar w:fldCharType="separate"/>
      </w:r>
      <w:r>
        <w:rPr>
          <w:color w:val="auto"/>
        </w:rPr>
        <w:t>46</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_Toc30259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9.5 </w:t>
      </w:r>
      <w:r>
        <w:rPr>
          <w:rFonts w:hint="eastAsia"/>
          <w:color w:val="auto"/>
        </w:rPr>
        <w:t>互联网自动售票机检测</w:t>
      </w:r>
      <w:r>
        <w:rPr>
          <w:color w:val="auto"/>
        </w:rPr>
        <w:tab/>
      </w:r>
      <w:r>
        <w:rPr>
          <w:color w:val="auto"/>
        </w:rPr>
        <w:fldChar w:fldCharType="begin"/>
      </w:r>
      <w:r>
        <w:rPr>
          <w:color w:val="auto"/>
        </w:rPr>
        <w:instrText xml:space="preserve"> PAGEREF _Toc30259 \h </w:instrText>
      </w:r>
      <w:r>
        <w:rPr>
          <w:color w:val="auto"/>
        </w:rPr>
        <w:fldChar w:fldCharType="separate"/>
      </w:r>
      <w:r>
        <w:rPr>
          <w:color w:val="auto"/>
        </w:rPr>
        <w:t>52</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_Toc27514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9.6 </w:t>
      </w:r>
      <w:r>
        <w:rPr>
          <w:rFonts w:hint="eastAsia"/>
          <w:color w:val="auto"/>
        </w:rPr>
        <w:t>自助补票机检测</w:t>
      </w:r>
      <w:r>
        <w:rPr>
          <w:color w:val="auto"/>
        </w:rPr>
        <w:tab/>
      </w:r>
      <w:r>
        <w:rPr>
          <w:color w:val="auto"/>
        </w:rPr>
        <w:fldChar w:fldCharType="begin"/>
      </w:r>
      <w:r>
        <w:rPr>
          <w:color w:val="auto"/>
        </w:rPr>
        <w:instrText xml:space="preserve"> PAGEREF _Toc27514 \h </w:instrText>
      </w:r>
      <w:r>
        <w:rPr>
          <w:color w:val="auto"/>
        </w:rPr>
        <w:fldChar w:fldCharType="separate"/>
      </w:r>
      <w:r>
        <w:rPr>
          <w:color w:val="auto"/>
        </w:rPr>
        <w:t>59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_Toc11548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9.7 </w:t>
      </w:r>
      <w:r>
        <w:rPr>
          <w:rFonts w:hint="eastAsia"/>
          <w:color w:val="auto"/>
        </w:rPr>
        <w:t>便携式检票机</w:t>
      </w:r>
      <w:r>
        <w:rPr>
          <w:color w:val="auto"/>
        </w:rPr>
        <w:tab/>
      </w:r>
      <w:r>
        <w:rPr>
          <w:color w:val="auto"/>
        </w:rPr>
        <w:fldChar w:fldCharType="begin"/>
      </w:r>
      <w:r>
        <w:rPr>
          <w:color w:val="auto"/>
        </w:rPr>
        <w:instrText xml:space="preserve"> PAGEREF _Toc11548 \h </w:instrText>
      </w:r>
      <w:r>
        <w:rPr>
          <w:color w:val="auto"/>
        </w:rPr>
        <w:fldChar w:fldCharType="separate"/>
      </w:r>
      <w:r>
        <w:rPr>
          <w:color w:val="auto"/>
        </w:rPr>
        <w:t>66</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_Toc774 </w:instrText>
      </w:r>
      <w:r>
        <w:rPr>
          <w:color w:val="auto"/>
        </w:rPr>
        <w:fldChar w:fldCharType="separate"/>
      </w:r>
      <w:r>
        <w:rPr>
          <w:rFonts w:hint="eastAsia" w:ascii="黑体" w:eastAsia="黑体"/>
          <w:i w:val="0"/>
          <w:color w:val="auto"/>
        </w:rPr>
        <w:t xml:space="preserve">10 </w:t>
      </w:r>
      <w:r>
        <w:rPr>
          <w:rFonts w:hint="eastAsia"/>
          <w:color w:val="auto"/>
        </w:rPr>
        <w:t>中心系统应用软件检测</w:t>
      </w:r>
      <w:r>
        <w:rPr>
          <w:color w:val="auto"/>
        </w:rPr>
        <w:tab/>
      </w:r>
      <w:r>
        <w:rPr>
          <w:color w:val="auto"/>
        </w:rPr>
        <w:fldChar w:fldCharType="begin"/>
      </w:r>
      <w:r>
        <w:rPr>
          <w:color w:val="auto"/>
        </w:rPr>
        <w:instrText xml:space="preserve"> PAGEREF _Toc774 \h </w:instrText>
      </w:r>
      <w:r>
        <w:rPr>
          <w:color w:val="auto"/>
        </w:rPr>
        <w:fldChar w:fldCharType="separate"/>
      </w:r>
      <w:r>
        <w:rPr>
          <w:color w:val="auto"/>
        </w:rPr>
        <w:t>68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_Toc29518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color w:val="auto"/>
        </w:rPr>
        <w:t>检测环境条件</w:t>
      </w:r>
      <w:r>
        <w:rPr>
          <w:color w:val="auto"/>
        </w:rPr>
        <w:tab/>
      </w:r>
      <w:r>
        <w:rPr>
          <w:color w:val="auto"/>
        </w:rPr>
        <w:fldChar w:fldCharType="begin"/>
      </w:r>
      <w:r>
        <w:rPr>
          <w:color w:val="auto"/>
        </w:rPr>
        <w:instrText xml:space="preserve"> PAGEREF _Toc29518 \h </w:instrText>
      </w:r>
      <w:r>
        <w:rPr>
          <w:color w:val="auto"/>
        </w:rPr>
        <w:fldChar w:fldCharType="separate"/>
      </w:r>
      <w:r>
        <w:rPr>
          <w:color w:val="auto"/>
        </w:rPr>
        <w:t>68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_Toc17682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color w:val="auto"/>
        </w:rPr>
        <w:t>中心系统计算机系统检测</w:t>
      </w:r>
      <w:r>
        <w:rPr>
          <w:color w:val="auto"/>
        </w:rPr>
        <w:tab/>
      </w:r>
      <w:r>
        <w:rPr>
          <w:color w:val="auto"/>
        </w:rPr>
        <w:fldChar w:fldCharType="begin"/>
      </w:r>
      <w:r>
        <w:rPr>
          <w:color w:val="auto"/>
        </w:rPr>
        <w:instrText xml:space="preserve"> PAGEREF _Toc17682 \h </w:instrText>
      </w:r>
      <w:r>
        <w:rPr>
          <w:color w:val="auto"/>
        </w:rPr>
        <w:fldChar w:fldCharType="separate"/>
      </w:r>
      <w:r>
        <w:rPr>
          <w:color w:val="auto"/>
        </w:rPr>
        <w:t>68</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_Toc15839 </w:instrText>
      </w:r>
      <w:r>
        <w:rPr>
          <w:color w:val="auto"/>
        </w:rPr>
        <w:fldChar w:fldCharType="separate"/>
      </w:r>
      <w:r>
        <w:rPr>
          <w:rFonts w:hint="eastAsia" w:ascii="黑体" w:eastAsia="黑体"/>
          <w:i w:val="0"/>
          <w:color w:val="auto"/>
        </w:rPr>
        <w:t xml:space="preserve">11 </w:t>
      </w:r>
      <w:r>
        <w:rPr>
          <w:rFonts w:hint="eastAsia"/>
          <w:color w:val="auto"/>
        </w:rPr>
        <w:t>接入联网检测</w:t>
      </w:r>
      <w:r>
        <w:rPr>
          <w:color w:val="auto"/>
        </w:rPr>
        <w:tab/>
      </w:r>
      <w:r>
        <w:rPr>
          <w:color w:val="auto"/>
        </w:rPr>
        <w:fldChar w:fldCharType="begin"/>
      </w:r>
      <w:r>
        <w:rPr>
          <w:color w:val="auto"/>
        </w:rPr>
        <w:instrText xml:space="preserve"> PAGEREF _Toc15839 \h </w:instrText>
      </w:r>
      <w:r>
        <w:rPr>
          <w:color w:val="auto"/>
        </w:rPr>
        <w:fldChar w:fldCharType="separate"/>
      </w:r>
      <w:r>
        <w:rPr>
          <w:color w:val="auto"/>
        </w:rPr>
        <w:t>83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_Toc18267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11.1 </w:t>
      </w:r>
      <w:r>
        <w:rPr>
          <w:rFonts w:hint="eastAsia"/>
          <w:color w:val="auto"/>
        </w:rPr>
        <w:t>检测环境条件</w:t>
      </w:r>
      <w:r>
        <w:rPr>
          <w:color w:val="auto"/>
        </w:rPr>
        <w:tab/>
      </w:r>
      <w:r>
        <w:rPr>
          <w:color w:val="auto"/>
        </w:rPr>
        <w:fldChar w:fldCharType="begin"/>
      </w:r>
      <w:r>
        <w:rPr>
          <w:color w:val="auto"/>
        </w:rPr>
        <w:instrText xml:space="preserve"> PAGEREF _Toc18267 \h </w:instrText>
      </w:r>
      <w:r>
        <w:rPr>
          <w:color w:val="auto"/>
        </w:rPr>
        <w:fldChar w:fldCharType="separate"/>
      </w:r>
      <w:r>
        <w:rPr>
          <w:color w:val="auto"/>
        </w:rPr>
        <w:t>83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_Toc21680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11.2 </w:t>
      </w:r>
      <w:r>
        <w:rPr>
          <w:rFonts w:hint="eastAsia"/>
          <w:color w:val="auto"/>
        </w:rPr>
        <w:t>通信功能检测</w:t>
      </w:r>
      <w:r>
        <w:rPr>
          <w:color w:val="auto"/>
        </w:rPr>
        <w:tab/>
      </w:r>
      <w:r>
        <w:rPr>
          <w:color w:val="auto"/>
        </w:rPr>
        <w:fldChar w:fldCharType="begin"/>
      </w:r>
      <w:r>
        <w:rPr>
          <w:color w:val="auto"/>
        </w:rPr>
        <w:instrText xml:space="preserve"> PAGEREF _Toc21680 \h </w:instrText>
      </w:r>
      <w:r>
        <w:rPr>
          <w:color w:val="auto"/>
        </w:rPr>
        <w:fldChar w:fldCharType="separate"/>
      </w:r>
      <w:r>
        <w:rPr>
          <w:color w:val="auto"/>
        </w:rPr>
        <w:t>83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_Toc24327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11.3 </w:t>
      </w:r>
      <w:r>
        <w:rPr>
          <w:rFonts w:hint="eastAsia"/>
          <w:color w:val="auto"/>
        </w:rPr>
        <w:t>终端与中心系统联网检测</w:t>
      </w:r>
      <w:r>
        <w:rPr>
          <w:color w:val="auto"/>
        </w:rPr>
        <w:tab/>
      </w:r>
      <w:r>
        <w:rPr>
          <w:color w:val="auto"/>
        </w:rPr>
        <w:fldChar w:fldCharType="begin"/>
      </w:r>
      <w:r>
        <w:rPr>
          <w:color w:val="auto"/>
        </w:rPr>
        <w:instrText xml:space="preserve"> PAGEREF _Toc24327 \h </w:instrText>
      </w:r>
      <w:r>
        <w:rPr>
          <w:color w:val="auto"/>
        </w:rPr>
        <w:fldChar w:fldCharType="separate"/>
      </w:r>
      <w:r>
        <w:rPr>
          <w:color w:val="auto"/>
        </w:rPr>
        <w:t>83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_Toc23019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11.4 </w:t>
      </w:r>
      <w:r>
        <w:rPr>
          <w:rFonts w:hint="eastAsia"/>
          <w:color w:val="auto"/>
        </w:rPr>
        <w:t>线路联网检测</w:t>
      </w:r>
      <w:r>
        <w:rPr>
          <w:color w:val="auto"/>
        </w:rPr>
        <w:tab/>
      </w:r>
      <w:r>
        <w:rPr>
          <w:color w:val="auto"/>
        </w:rPr>
        <w:fldChar w:fldCharType="begin"/>
      </w:r>
      <w:r>
        <w:rPr>
          <w:color w:val="auto"/>
        </w:rPr>
        <w:instrText xml:space="preserve"> PAGEREF _Toc23019 \h </w:instrText>
      </w:r>
      <w:r>
        <w:rPr>
          <w:color w:val="auto"/>
        </w:rPr>
        <w:fldChar w:fldCharType="separate"/>
      </w:r>
      <w:r>
        <w:rPr>
          <w:color w:val="auto"/>
        </w:rPr>
        <w:t>92</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_Toc18612 </w:instrText>
      </w:r>
      <w:r>
        <w:rPr>
          <w:color w:val="auto"/>
        </w:rPr>
        <w:fldChar w:fldCharType="separate"/>
      </w:r>
      <w:r>
        <w:rPr>
          <w:rFonts w:hint="eastAsia" w:ascii="黑体" w:eastAsia="黑体"/>
          <w:i w:val="0"/>
          <w:color w:val="auto"/>
        </w:rPr>
        <w:t xml:space="preserve">12 </w:t>
      </w:r>
      <w:r>
        <w:rPr>
          <w:rFonts w:hint="eastAsia"/>
          <w:color w:val="auto"/>
        </w:rPr>
        <w:t>互联互通检测</w:t>
      </w:r>
      <w:r>
        <w:rPr>
          <w:color w:val="auto"/>
        </w:rPr>
        <w:tab/>
      </w:r>
      <w:r>
        <w:rPr>
          <w:color w:val="auto"/>
        </w:rPr>
        <w:fldChar w:fldCharType="begin"/>
      </w:r>
      <w:r>
        <w:rPr>
          <w:color w:val="auto"/>
        </w:rPr>
        <w:instrText xml:space="preserve"> PAGEREF _Toc18612 \h </w:instrText>
      </w:r>
      <w:r>
        <w:rPr>
          <w:color w:val="auto"/>
        </w:rPr>
        <w:fldChar w:fldCharType="separate"/>
      </w:r>
      <w:r>
        <w:rPr>
          <w:color w:val="auto"/>
        </w:rPr>
        <w:t>98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_Toc5741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12.1 </w:t>
      </w:r>
      <w:r>
        <w:rPr>
          <w:rFonts w:hint="eastAsia"/>
          <w:color w:val="auto"/>
        </w:rPr>
        <w:t>检测环境条件</w:t>
      </w:r>
      <w:r>
        <w:rPr>
          <w:color w:val="auto"/>
        </w:rPr>
        <w:tab/>
      </w:r>
      <w:r>
        <w:rPr>
          <w:color w:val="auto"/>
        </w:rPr>
        <w:fldChar w:fldCharType="begin"/>
      </w:r>
      <w:r>
        <w:rPr>
          <w:color w:val="auto"/>
        </w:rPr>
        <w:instrText xml:space="preserve"> PAGEREF _Toc5741 \h </w:instrText>
      </w:r>
      <w:r>
        <w:rPr>
          <w:color w:val="auto"/>
        </w:rPr>
        <w:fldChar w:fldCharType="separate"/>
      </w:r>
      <w:r>
        <w:rPr>
          <w:color w:val="auto"/>
        </w:rPr>
        <w:t>98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_Toc30130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12.2 </w:t>
      </w:r>
      <w:r>
        <w:rPr>
          <w:rFonts w:hint="eastAsia"/>
          <w:color w:val="auto"/>
        </w:rPr>
        <w:t>通信功能检测</w:t>
      </w:r>
      <w:r>
        <w:rPr>
          <w:color w:val="auto"/>
        </w:rPr>
        <w:tab/>
      </w:r>
      <w:r>
        <w:rPr>
          <w:color w:val="auto"/>
        </w:rPr>
        <w:fldChar w:fldCharType="begin"/>
      </w:r>
      <w:r>
        <w:rPr>
          <w:color w:val="auto"/>
        </w:rPr>
        <w:instrText xml:space="preserve"> PAGEREF _Toc30130 \h </w:instrText>
      </w:r>
      <w:r>
        <w:rPr>
          <w:color w:val="auto"/>
        </w:rPr>
        <w:fldChar w:fldCharType="separate"/>
      </w:r>
      <w:r>
        <w:rPr>
          <w:color w:val="auto"/>
        </w:rPr>
        <w:t>98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_Toc31368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12.3 </w:t>
      </w:r>
      <w:r>
        <w:rPr>
          <w:rFonts w:hint="eastAsia"/>
          <w:color w:val="auto"/>
        </w:rPr>
        <w:t>票卡数据检测</w:t>
      </w:r>
      <w:r>
        <w:rPr>
          <w:color w:val="auto"/>
        </w:rPr>
        <w:tab/>
      </w:r>
      <w:r>
        <w:rPr>
          <w:color w:val="auto"/>
        </w:rPr>
        <w:fldChar w:fldCharType="begin"/>
      </w:r>
      <w:r>
        <w:rPr>
          <w:color w:val="auto"/>
        </w:rPr>
        <w:instrText xml:space="preserve"> PAGEREF _Toc31368 \h </w:instrText>
      </w:r>
      <w:r>
        <w:rPr>
          <w:color w:val="auto"/>
        </w:rPr>
        <w:fldChar w:fldCharType="separate"/>
      </w:r>
      <w:r>
        <w:rPr>
          <w:color w:val="auto"/>
        </w:rPr>
        <w:t>98</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_Toc20549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12.4 </w:t>
      </w:r>
      <w:r>
        <w:rPr>
          <w:rFonts w:hint="eastAsia"/>
          <w:color w:val="auto"/>
        </w:rPr>
        <w:t>参数管理检测</w:t>
      </w:r>
      <w:r>
        <w:rPr>
          <w:color w:val="auto"/>
        </w:rPr>
        <w:tab/>
      </w:r>
      <w:r>
        <w:rPr>
          <w:color w:val="auto"/>
        </w:rPr>
        <w:fldChar w:fldCharType="begin"/>
      </w:r>
      <w:r>
        <w:rPr>
          <w:color w:val="auto"/>
        </w:rPr>
        <w:instrText xml:space="preserve"> PAGEREF _Toc20549 \h </w:instrText>
      </w:r>
      <w:r>
        <w:rPr>
          <w:color w:val="auto"/>
        </w:rPr>
        <w:fldChar w:fldCharType="separate"/>
      </w:r>
      <w:r>
        <w:rPr>
          <w:color w:val="auto"/>
        </w:rPr>
        <w:t>101</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_Toc32191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12.5 </w:t>
      </w:r>
      <w:r>
        <w:rPr>
          <w:rFonts w:hint="eastAsia"/>
          <w:color w:val="auto"/>
        </w:rPr>
        <w:t>模式处理检测</w:t>
      </w:r>
      <w:r>
        <w:rPr>
          <w:color w:val="auto"/>
        </w:rPr>
        <w:tab/>
      </w:r>
      <w:r>
        <w:rPr>
          <w:color w:val="auto"/>
        </w:rPr>
        <w:fldChar w:fldCharType="begin"/>
      </w:r>
      <w:r>
        <w:rPr>
          <w:color w:val="auto"/>
        </w:rPr>
        <w:instrText xml:space="preserve"> PAGEREF _Toc32191 \h </w:instrText>
      </w:r>
      <w:r>
        <w:rPr>
          <w:color w:val="auto"/>
        </w:rPr>
        <w:fldChar w:fldCharType="separate"/>
      </w:r>
      <w:r>
        <w:rPr>
          <w:color w:val="auto"/>
        </w:rPr>
        <w:t>101</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_Toc5875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12.6 </w:t>
      </w:r>
      <w:r>
        <w:rPr>
          <w:rFonts w:hint="eastAsia"/>
          <w:color w:val="auto"/>
        </w:rPr>
        <w:t>清分对账检测</w:t>
      </w:r>
      <w:r>
        <w:rPr>
          <w:color w:val="auto"/>
        </w:rPr>
        <w:tab/>
      </w:r>
      <w:r>
        <w:rPr>
          <w:color w:val="auto"/>
        </w:rPr>
        <w:fldChar w:fldCharType="begin"/>
      </w:r>
      <w:r>
        <w:rPr>
          <w:color w:val="auto"/>
        </w:rPr>
        <w:instrText xml:space="preserve"> PAGEREF _Toc5875 \h </w:instrText>
      </w:r>
      <w:r>
        <w:rPr>
          <w:color w:val="auto"/>
        </w:rPr>
        <w:fldChar w:fldCharType="separate"/>
      </w:r>
      <w:r>
        <w:rPr>
          <w:color w:val="auto"/>
        </w:rPr>
        <w:t>101</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_Toc7523 </w:instrText>
      </w:r>
      <w:r>
        <w:rPr>
          <w:color w:val="auto"/>
        </w:rPr>
        <w:fldChar w:fldCharType="separate"/>
      </w:r>
      <w:r>
        <w:rPr>
          <w:rFonts w:hint="eastAsia" w:ascii="黑体" w:hAnsi="Times New Roman" w:eastAsia="黑体" w:cs="Times New Roman"/>
          <w:bCs w:val="0"/>
          <w:i w:val="0"/>
          <w:iCs w:val="0"/>
          <w:caps w:val="0"/>
          <w:smallCaps w:val="0"/>
          <w:strike w:val="0"/>
          <w:dstrike w:val="0"/>
          <w:vanish w:val="0"/>
          <w:color w:val="auto"/>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12.7 </w:t>
      </w:r>
      <w:r>
        <w:rPr>
          <w:rFonts w:hint="eastAsia"/>
          <w:color w:val="auto"/>
        </w:rPr>
        <w:t>数据一致检测</w:t>
      </w:r>
      <w:r>
        <w:rPr>
          <w:color w:val="auto"/>
        </w:rPr>
        <w:tab/>
      </w:r>
      <w:r>
        <w:rPr>
          <w:color w:val="auto"/>
        </w:rPr>
        <w:fldChar w:fldCharType="begin"/>
      </w:r>
      <w:r>
        <w:rPr>
          <w:color w:val="auto"/>
        </w:rPr>
        <w:instrText xml:space="preserve"> PAGEREF _Toc7523 \h </w:instrText>
      </w:r>
      <w:r>
        <w:rPr>
          <w:color w:val="auto"/>
        </w:rPr>
        <w:fldChar w:fldCharType="separate"/>
      </w:r>
      <w:r>
        <w:rPr>
          <w:color w:val="auto"/>
        </w:rPr>
        <w:t>101</w:t>
      </w:r>
      <w:r>
        <w:rPr>
          <w:color w:val="auto"/>
        </w:rPr>
        <w:fldChar w:fldCharType="end"/>
      </w:r>
      <w:r>
        <w:rPr>
          <w:color w:val="auto"/>
        </w:rPr>
        <w:fldChar w:fldCharType="end"/>
      </w:r>
    </w:p>
    <w:p>
      <w:pPr>
        <w:pStyle w:val="21"/>
        <w:tabs>
          <w:tab w:val="right" w:leader="dot" w:pos="9354"/>
        </w:tabs>
        <w:rPr>
          <w:color w:val="auto"/>
        </w:rPr>
      </w:pPr>
      <w:r>
        <w:rPr>
          <w:color w:val="auto"/>
        </w:rPr>
        <w:fldChar w:fldCharType="begin"/>
      </w:r>
      <w:r>
        <w:rPr>
          <w:color w:val="auto"/>
        </w:rPr>
        <w:instrText xml:space="preserve"> HYPERLINK \l _Toc12058 </w:instrText>
      </w:r>
      <w:r>
        <w:rPr>
          <w:color w:val="auto"/>
        </w:rPr>
        <w:fldChar w:fldCharType="separate"/>
      </w:r>
      <w:r>
        <w:rPr>
          <w:rFonts w:hint="eastAsia"/>
          <w:color w:val="auto"/>
          <w:spacing w:val="100"/>
        </w:rPr>
        <w:t xml:space="preserve">附录A </w:t>
      </w:r>
      <w:r>
        <w:rPr>
          <w:color w:val="auto"/>
        </w:rPr>
        <w:t xml:space="preserve"> </w:t>
      </w:r>
      <w:r>
        <w:rPr>
          <w:rFonts w:hint="eastAsia"/>
          <w:color w:val="auto"/>
        </w:rPr>
        <w:t>（规范性）</w:t>
      </w:r>
      <w:r>
        <w:rPr>
          <w:color w:val="auto"/>
        </w:rPr>
        <w:t xml:space="preserve"> </w:t>
      </w:r>
      <w:r>
        <w:rPr>
          <w:rFonts w:hint="eastAsia"/>
          <w:color w:val="auto"/>
        </w:rPr>
        <w:t>问题的等级划分</w:t>
      </w:r>
      <w:r>
        <w:rPr>
          <w:color w:val="auto"/>
        </w:rPr>
        <w:tab/>
      </w:r>
      <w:r>
        <w:rPr>
          <w:color w:val="auto"/>
        </w:rPr>
        <w:fldChar w:fldCharType="begin"/>
      </w:r>
      <w:r>
        <w:rPr>
          <w:color w:val="auto"/>
        </w:rPr>
        <w:instrText xml:space="preserve"> PAGEREF _Toc12058 \h </w:instrText>
      </w:r>
      <w:r>
        <w:rPr>
          <w:color w:val="auto"/>
        </w:rPr>
        <w:fldChar w:fldCharType="separate"/>
      </w:r>
      <w:r>
        <w:rPr>
          <w:color w:val="auto"/>
        </w:rPr>
        <w:t>103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_Toc31051 </w:instrText>
      </w:r>
      <w:r>
        <w:rPr>
          <w:color w:val="auto"/>
        </w:rPr>
        <w:fldChar w:fldCharType="separate"/>
      </w:r>
      <w:r>
        <w:rPr>
          <w:rFonts w:hint="eastAsia" w:ascii="黑体" w:eastAsia="黑体"/>
          <w:i w:val="0"/>
          <w:color w:val="auto"/>
          <w:szCs w:val="21"/>
        </w:rPr>
        <w:t xml:space="preserve">A.1 </w:t>
      </w:r>
      <w:r>
        <w:rPr>
          <w:rFonts w:hint="eastAsia"/>
          <w:color w:val="auto"/>
        </w:rPr>
        <w:t>关键模块及终端</w:t>
      </w:r>
      <w:r>
        <w:rPr>
          <w:color w:val="auto"/>
        </w:rPr>
        <w:tab/>
      </w:r>
      <w:r>
        <w:rPr>
          <w:color w:val="auto"/>
        </w:rPr>
        <w:fldChar w:fldCharType="begin"/>
      </w:r>
      <w:r>
        <w:rPr>
          <w:color w:val="auto"/>
        </w:rPr>
        <w:instrText xml:space="preserve"> PAGEREF _Toc31051 \h </w:instrText>
      </w:r>
      <w:r>
        <w:rPr>
          <w:color w:val="auto"/>
        </w:rPr>
        <w:fldChar w:fldCharType="separate"/>
      </w:r>
      <w:r>
        <w:rPr>
          <w:color w:val="auto"/>
        </w:rPr>
        <w:t>103</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_Toc4458 </w:instrText>
      </w:r>
      <w:r>
        <w:rPr>
          <w:color w:val="auto"/>
        </w:rPr>
        <w:fldChar w:fldCharType="separate"/>
      </w:r>
      <w:r>
        <w:rPr>
          <w:rFonts w:hint="eastAsia" w:ascii="黑体" w:eastAsia="黑体"/>
          <w:i w:val="0"/>
          <w:color w:val="auto"/>
        </w:rPr>
        <w:t xml:space="preserve">A.2 </w:t>
      </w:r>
      <w:r>
        <w:rPr>
          <w:rFonts w:hint="eastAsia"/>
          <w:color w:val="auto"/>
        </w:rPr>
        <w:t>应用系统</w:t>
      </w:r>
      <w:r>
        <w:rPr>
          <w:color w:val="auto"/>
        </w:rPr>
        <w:tab/>
      </w:r>
      <w:r>
        <w:rPr>
          <w:color w:val="auto"/>
        </w:rPr>
        <w:fldChar w:fldCharType="begin"/>
      </w:r>
      <w:r>
        <w:rPr>
          <w:color w:val="auto"/>
        </w:rPr>
        <w:instrText xml:space="preserve"> PAGEREF _Toc4458 \h </w:instrText>
      </w:r>
      <w:r>
        <w:rPr>
          <w:color w:val="auto"/>
        </w:rPr>
        <w:fldChar w:fldCharType="separate"/>
      </w:r>
      <w:r>
        <w:rPr>
          <w:color w:val="auto"/>
        </w:rPr>
        <w:t>119</w:t>
      </w:r>
      <w:r>
        <w:rPr>
          <w:color w:val="auto"/>
        </w:rPr>
        <w:fldChar w:fldCharType="end"/>
      </w:r>
      <w:r>
        <w:rPr>
          <w:color w:val="auto"/>
        </w:rPr>
        <w:fldChar w:fldCharType="end"/>
      </w:r>
    </w:p>
    <w:p>
      <w:pPr>
        <w:pStyle w:val="26"/>
        <w:tabs>
          <w:tab w:val="right" w:leader="dot" w:pos="9354"/>
          <w:tab w:val="clear" w:pos="9344"/>
        </w:tabs>
        <w:rPr>
          <w:color w:val="auto"/>
        </w:rPr>
      </w:pPr>
      <w:r>
        <w:rPr>
          <w:color w:val="auto"/>
        </w:rPr>
        <w:fldChar w:fldCharType="begin"/>
      </w:r>
      <w:r>
        <w:rPr>
          <w:color w:val="auto"/>
        </w:rPr>
        <w:instrText xml:space="preserve"> HYPERLINK \l _Toc18156 </w:instrText>
      </w:r>
      <w:r>
        <w:rPr>
          <w:color w:val="auto"/>
        </w:rPr>
        <w:fldChar w:fldCharType="separate"/>
      </w:r>
      <w:r>
        <w:rPr>
          <w:rFonts w:hint="eastAsia" w:ascii="黑体" w:eastAsia="黑体"/>
          <w:i w:val="0"/>
          <w:color w:val="auto"/>
        </w:rPr>
        <w:t xml:space="preserve">A.3 </w:t>
      </w:r>
      <w:r>
        <w:rPr>
          <w:rFonts w:hint="eastAsia"/>
          <w:color w:val="auto"/>
        </w:rPr>
        <w:t>互联互通</w:t>
      </w:r>
      <w:r>
        <w:rPr>
          <w:color w:val="auto"/>
        </w:rPr>
        <w:tab/>
      </w:r>
      <w:r>
        <w:rPr>
          <w:color w:val="auto"/>
        </w:rPr>
        <w:fldChar w:fldCharType="begin"/>
      </w:r>
      <w:r>
        <w:rPr>
          <w:color w:val="auto"/>
        </w:rPr>
        <w:instrText xml:space="preserve"> PAGEREF _Toc18156 \h </w:instrText>
      </w:r>
      <w:r>
        <w:rPr>
          <w:color w:val="auto"/>
        </w:rPr>
        <w:fldChar w:fldCharType="separate"/>
      </w:r>
      <w:r>
        <w:rPr>
          <w:color w:val="auto"/>
        </w:rPr>
        <w:t>127</w:t>
      </w:r>
      <w:r>
        <w:rPr>
          <w:color w:val="auto"/>
        </w:rPr>
        <w:fldChar w:fldCharType="end"/>
      </w:r>
      <w:r>
        <w:rPr>
          <w:color w:val="auto"/>
        </w:rPr>
        <w:fldChar w:fldCharType="end"/>
      </w:r>
    </w:p>
    <w:p>
      <w:pPr>
        <w:pStyle w:val="95"/>
        <w:spacing w:after="468"/>
        <w:rPr>
          <w:color w:val="auto"/>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color w:val="auto"/>
        </w:rPr>
        <w:fldChar w:fldCharType="end"/>
      </w:r>
    </w:p>
    <w:bookmarkEnd w:id="21"/>
    <w:p>
      <w:pPr>
        <w:pStyle w:val="93"/>
        <w:spacing w:before="560" w:after="468"/>
        <w:rPr>
          <w:color w:val="auto"/>
        </w:rPr>
      </w:pPr>
      <w:bookmarkStart w:id="25" w:name="_Toc18375"/>
      <w:bookmarkStart w:id="26" w:name="BookMark2"/>
      <w:r>
        <w:rPr>
          <w:rFonts w:hint="eastAsia"/>
          <w:color w:val="auto"/>
          <w:spacing w:val="320"/>
        </w:rPr>
        <w:t>前</w:t>
      </w:r>
      <w:r>
        <w:rPr>
          <w:rFonts w:hint="eastAsia"/>
          <w:color w:val="auto"/>
        </w:rPr>
        <w:t>言</w:t>
      </w:r>
      <w:bookmarkEnd w:id="22"/>
      <w:bookmarkEnd w:id="23"/>
      <w:bookmarkEnd w:id="24"/>
      <w:bookmarkEnd w:id="25"/>
    </w:p>
    <w:p>
      <w:pPr>
        <w:pStyle w:val="60"/>
        <w:ind w:firstLine="420"/>
        <w:rPr>
          <w:color w:val="auto"/>
        </w:rPr>
      </w:pPr>
      <w:bookmarkStart w:id="27" w:name="OLE_LINK17"/>
      <w:r>
        <w:rPr>
          <w:rFonts w:hint="eastAsia"/>
          <w:color w:val="auto"/>
        </w:rPr>
        <w:t>本文件按照GB/T 1.1—2020《标准化工作导则  第1部分：标准化文件的结构和起草规则》的规定起草。</w:t>
      </w:r>
    </w:p>
    <w:p>
      <w:pPr>
        <w:pStyle w:val="60"/>
        <w:ind w:firstLine="420"/>
        <w:rPr>
          <w:color w:val="auto"/>
        </w:rPr>
      </w:pPr>
      <w:r>
        <w:rPr>
          <w:rFonts w:hint="eastAsia"/>
          <w:color w:val="auto"/>
        </w:rPr>
        <w:t>本文件是DB11/T 1164《城市轨道交通自动售检票系统技术规范》的第7部分。DB11/T 1164已经发布了以下9个部分：</w:t>
      </w:r>
    </w:p>
    <w:p>
      <w:pPr>
        <w:pStyle w:val="136"/>
        <w:rPr>
          <w:color w:val="auto"/>
        </w:rPr>
      </w:pPr>
      <w:r>
        <w:rPr>
          <w:rFonts w:hint="eastAsia"/>
          <w:color w:val="auto"/>
        </w:rPr>
        <w:t>第1部分：系统结构及功能要求；</w:t>
      </w:r>
    </w:p>
    <w:p>
      <w:pPr>
        <w:pStyle w:val="136"/>
        <w:rPr>
          <w:color w:val="auto"/>
        </w:rPr>
      </w:pPr>
      <w:r>
        <w:rPr>
          <w:rFonts w:hint="eastAsia"/>
          <w:color w:val="auto"/>
        </w:rPr>
        <w:t>第2部分：接口数据格式；</w:t>
      </w:r>
    </w:p>
    <w:p>
      <w:pPr>
        <w:pStyle w:val="136"/>
        <w:rPr>
          <w:color w:val="auto"/>
        </w:rPr>
      </w:pPr>
      <w:r>
        <w:rPr>
          <w:rFonts w:hint="eastAsia"/>
          <w:color w:val="auto"/>
        </w:rPr>
        <w:t>第3部分：数据传输；</w:t>
      </w:r>
    </w:p>
    <w:p>
      <w:pPr>
        <w:pStyle w:val="136"/>
        <w:rPr>
          <w:color w:val="auto"/>
        </w:rPr>
      </w:pPr>
      <w:r>
        <w:rPr>
          <w:rFonts w:hint="eastAsia"/>
          <w:color w:val="auto"/>
        </w:rPr>
        <w:t>第4部分：操作界面开发设计要求；</w:t>
      </w:r>
    </w:p>
    <w:p>
      <w:pPr>
        <w:pStyle w:val="136"/>
        <w:rPr>
          <w:color w:val="auto"/>
        </w:rPr>
      </w:pPr>
      <w:r>
        <w:rPr>
          <w:rFonts w:hint="eastAsia"/>
          <w:color w:val="auto"/>
        </w:rPr>
        <w:t>第5部分：车票处理单元技术要求；</w:t>
      </w:r>
    </w:p>
    <w:p>
      <w:pPr>
        <w:pStyle w:val="136"/>
        <w:rPr>
          <w:color w:val="auto"/>
        </w:rPr>
      </w:pPr>
      <w:r>
        <w:rPr>
          <w:rFonts w:hint="eastAsia"/>
          <w:color w:val="auto"/>
        </w:rPr>
        <w:t>第6部分：票卡；</w:t>
      </w:r>
    </w:p>
    <w:p>
      <w:pPr>
        <w:pStyle w:val="136"/>
        <w:rPr>
          <w:color w:val="auto"/>
        </w:rPr>
      </w:pPr>
      <w:r>
        <w:rPr>
          <w:rFonts w:hint="eastAsia"/>
          <w:color w:val="auto"/>
        </w:rPr>
        <w:t>第7部分：终端；</w:t>
      </w:r>
    </w:p>
    <w:p>
      <w:pPr>
        <w:pStyle w:val="136"/>
        <w:rPr>
          <w:color w:val="auto"/>
        </w:rPr>
      </w:pPr>
      <w:r>
        <w:rPr>
          <w:rFonts w:hint="eastAsia"/>
          <w:color w:val="auto"/>
        </w:rPr>
        <w:t>第8部分：检测；</w:t>
      </w:r>
    </w:p>
    <w:p>
      <w:pPr>
        <w:pStyle w:val="136"/>
        <w:rPr>
          <w:color w:val="auto"/>
        </w:rPr>
      </w:pPr>
      <w:r>
        <w:rPr>
          <w:rFonts w:hint="eastAsia"/>
          <w:color w:val="auto"/>
        </w:rPr>
        <w:t>第9部分：技术指标体系。</w:t>
      </w:r>
    </w:p>
    <w:p>
      <w:pPr>
        <w:pStyle w:val="60"/>
        <w:ind w:firstLine="420"/>
        <w:rPr>
          <w:color w:val="auto"/>
        </w:rPr>
      </w:pPr>
      <w:r>
        <w:rPr>
          <w:rFonts w:hint="eastAsia"/>
          <w:color w:val="auto"/>
        </w:rPr>
        <w:t>本文件代替DB11/T 1164.8—2020《城市轨道交通自动售检票系统技术规范 第8部分：检测》，与DB11/T 1164.8—2020相比，除结构调整和编辑性修改外，主要技术变化如下：</w:t>
      </w:r>
    </w:p>
    <w:bookmarkEnd w:id="27"/>
    <w:p>
      <w:pPr>
        <w:pStyle w:val="178"/>
        <w:rPr>
          <w:color w:val="auto"/>
        </w:rPr>
      </w:pPr>
      <w:r>
        <w:rPr>
          <w:rFonts w:hint="eastAsia"/>
          <w:color w:val="auto"/>
        </w:rPr>
        <w:t>更改了缩略语（见第4章，2020年版的第4章）；</w:t>
      </w:r>
    </w:p>
    <w:p>
      <w:pPr>
        <w:pStyle w:val="178"/>
        <w:rPr>
          <w:color w:val="auto"/>
        </w:rPr>
      </w:pPr>
      <w:r>
        <w:rPr>
          <w:rFonts w:hint="eastAsia"/>
          <w:color w:val="auto"/>
        </w:rPr>
        <w:t>更改了检测分类（见第5.3条，2020年版的第5.3条）；</w:t>
      </w:r>
    </w:p>
    <w:p>
      <w:pPr>
        <w:pStyle w:val="178"/>
        <w:rPr>
          <w:color w:val="auto"/>
        </w:rPr>
      </w:pPr>
      <w:r>
        <w:rPr>
          <w:rFonts w:hint="eastAsia"/>
          <w:color w:val="auto"/>
        </w:rPr>
        <w:t>更改了接入检测要求（见第5.7条，2020年版的第5.7条）；</w:t>
      </w:r>
    </w:p>
    <w:p>
      <w:pPr>
        <w:pStyle w:val="178"/>
        <w:rPr>
          <w:color w:val="auto"/>
        </w:rPr>
      </w:pPr>
      <w:r>
        <w:rPr>
          <w:rFonts w:hint="eastAsia"/>
          <w:color w:val="auto"/>
        </w:rPr>
        <w:t>更改了通信协议检测（见第7.1.1条，2020年版的第7.1.1条）；</w:t>
      </w:r>
    </w:p>
    <w:p>
      <w:pPr>
        <w:pStyle w:val="178"/>
        <w:rPr>
          <w:color w:val="auto"/>
        </w:rPr>
      </w:pPr>
      <w:r>
        <w:rPr>
          <w:rFonts w:hint="eastAsia"/>
          <w:color w:val="auto"/>
        </w:rPr>
        <w:t>更改了接口时序检测（见第7.1.2条，2020年版的第7.1.2条）；</w:t>
      </w:r>
    </w:p>
    <w:p>
      <w:pPr>
        <w:pStyle w:val="178"/>
        <w:rPr>
          <w:color w:val="auto"/>
        </w:rPr>
      </w:pPr>
      <w:r>
        <w:rPr>
          <w:rFonts w:hint="eastAsia"/>
          <w:color w:val="auto"/>
        </w:rPr>
        <w:t>增加了互联网支付检测要求（见第9.2.4.26条）；</w:t>
      </w:r>
    </w:p>
    <w:p>
      <w:pPr>
        <w:pStyle w:val="178"/>
        <w:rPr>
          <w:color w:val="auto"/>
        </w:rPr>
      </w:pPr>
      <w:r>
        <w:rPr>
          <w:rFonts w:hint="eastAsia"/>
          <w:color w:val="auto"/>
        </w:rPr>
        <w:t>增加了互联网支付检测要求（见第9.3.4.29条）；</w:t>
      </w:r>
    </w:p>
    <w:p>
      <w:pPr>
        <w:pStyle w:val="178"/>
        <w:rPr>
          <w:color w:val="auto"/>
        </w:rPr>
      </w:pPr>
      <w:r>
        <w:rPr>
          <w:rFonts w:hint="eastAsia"/>
          <w:color w:val="auto"/>
        </w:rPr>
        <w:t>增加了互联网自动售票机检测（见第9.5章）；</w:t>
      </w:r>
    </w:p>
    <w:p>
      <w:pPr>
        <w:pStyle w:val="178"/>
        <w:rPr>
          <w:color w:val="auto"/>
        </w:rPr>
      </w:pPr>
      <w:r>
        <w:rPr>
          <w:rFonts w:hint="eastAsia"/>
          <w:color w:val="auto"/>
        </w:rPr>
        <w:t>增加了自助补票机检测（见第9.6章）；</w:t>
      </w:r>
    </w:p>
    <w:p>
      <w:pPr>
        <w:pStyle w:val="178"/>
        <w:rPr>
          <w:color w:val="auto"/>
        </w:rPr>
      </w:pPr>
      <w:r>
        <w:rPr>
          <w:rFonts w:hint="eastAsia"/>
          <w:color w:val="auto"/>
        </w:rPr>
        <w:t>增加了便携式检票机（见第9.7章）；</w:t>
      </w:r>
    </w:p>
    <w:p>
      <w:pPr>
        <w:pStyle w:val="178"/>
        <w:rPr>
          <w:color w:val="auto"/>
        </w:rPr>
      </w:pPr>
      <w:r>
        <w:rPr>
          <w:rFonts w:hint="eastAsia"/>
          <w:color w:val="auto"/>
        </w:rPr>
        <w:t>删除车站及线路中心应用软件检测（见2020年版的第10章）；</w:t>
      </w:r>
    </w:p>
    <w:p>
      <w:pPr>
        <w:pStyle w:val="178"/>
        <w:rPr>
          <w:color w:val="auto"/>
        </w:rPr>
      </w:pPr>
      <w:r>
        <w:rPr>
          <w:rFonts w:hint="eastAsia"/>
          <w:color w:val="auto"/>
        </w:rPr>
        <w:t>增加了中心系统应用软件检测（见第10章）。</w:t>
      </w:r>
    </w:p>
    <w:p>
      <w:pPr>
        <w:pStyle w:val="60"/>
        <w:ind w:firstLine="420"/>
        <w:rPr>
          <w:color w:val="auto"/>
        </w:rPr>
      </w:pPr>
      <w:bookmarkStart w:id="28" w:name="OLE_LINK19"/>
      <w:r>
        <w:rPr>
          <w:rFonts w:hint="eastAsia"/>
          <w:color w:val="auto"/>
        </w:rPr>
        <w:t>本文件由北京市交通委员会提出并归口。</w:t>
      </w:r>
    </w:p>
    <w:p>
      <w:pPr>
        <w:pStyle w:val="60"/>
        <w:ind w:firstLine="420"/>
        <w:rPr>
          <w:color w:val="auto"/>
        </w:rPr>
      </w:pPr>
      <w:r>
        <w:rPr>
          <w:rFonts w:hint="eastAsia"/>
          <w:color w:val="auto"/>
        </w:rPr>
        <w:t>本文件由北京市交通委员会组织实施。</w:t>
      </w:r>
    </w:p>
    <w:p>
      <w:pPr>
        <w:pStyle w:val="60"/>
        <w:ind w:firstLine="420"/>
        <w:rPr>
          <w:color w:val="auto"/>
        </w:rPr>
      </w:pPr>
      <w:r>
        <w:rPr>
          <w:rFonts w:hint="eastAsia"/>
          <w:color w:val="auto"/>
        </w:rPr>
        <w:t>本文件起草单位：北京市轨道交通指挥中心。</w:t>
      </w:r>
    </w:p>
    <w:p>
      <w:pPr>
        <w:pStyle w:val="60"/>
        <w:ind w:firstLine="420"/>
        <w:rPr>
          <w:color w:val="auto"/>
        </w:rPr>
      </w:pPr>
      <w:r>
        <w:rPr>
          <w:rFonts w:hint="eastAsia"/>
          <w:color w:val="auto"/>
        </w:rPr>
        <w:t>本文件主要起草人：XXX</w:t>
      </w:r>
    </w:p>
    <w:p>
      <w:pPr>
        <w:pStyle w:val="60"/>
        <w:ind w:firstLine="420"/>
        <w:rPr>
          <w:color w:val="auto"/>
        </w:rPr>
      </w:pPr>
      <w:r>
        <w:rPr>
          <w:rFonts w:hint="eastAsia"/>
          <w:color w:val="auto"/>
        </w:rPr>
        <w:t>本文件历次版本发布情况为：</w:t>
      </w:r>
    </w:p>
    <w:p>
      <w:pPr>
        <w:pStyle w:val="136"/>
        <w:rPr>
          <w:color w:val="auto"/>
        </w:rPr>
      </w:pPr>
      <w:r>
        <w:rPr>
          <w:rFonts w:hint="eastAsia"/>
          <w:color w:val="auto"/>
        </w:rPr>
        <w:t>本文件2017年首次发布为DB11/T 1164.8—2017，2020年第一次修订；</w:t>
      </w:r>
    </w:p>
    <w:p>
      <w:pPr>
        <w:pStyle w:val="136"/>
        <w:rPr>
          <w:color w:val="auto"/>
        </w:rPr>
      </w:pPr>
      <w:r>
        <w:rPr>
          <w:rFonts w:hint="eastAsia"/>
          <w:color w:val="auto"/>
        </w:rPr>
        <w:t>本次为第二次修订。</w:t>
      </w:r>
    </w:p>
    <w:bookmarkEnd w:id="28"/>
    <w:p>
      <w:pPr>
        <w:pStyle w:val="60"/>
        <w:ind w:firstLine="420"/>
        <w:rPr>
          <w:color w:val="auto"/>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6"/>
    <w:p>
      <w:pPr>
        <w:pStyle w:val="93"/>
        <w:spacing w:after="468"/>
        <w:rPr>
          <w:color w:val="auto"/>
        </w:rPr>
      </w:pPr>
      <w:bookmarkStart w:id="29" w:name="_Toc203208995"/>
      <w:bookmarkStart w:id="30" w:name="_Toc193356593"/>
      <w:bookmarkStart w:id="31" w:name="_Toc193447444"/>
      <w:bookmarkStart w:id="32" w:name="_Toc27251"/>
      <w:bookmarkStart w:id="33" w:name="BookMark3"/>
      <w:r>
        <w:rPr>
          <w:rFonts w:hint="eastAsia"/>
          <w:color w:val="auto"/>
          <w:spacing w:val="320"/>
        </w:rPr>
        <w:t>引</w:t>
      </w:r>
      <w:r>
        <w:rPr>
          <w:rFonts w:hint="eastAsia"/>
          <w:color w:val="auto"/>
        </w:rPr>
        <w:t>言</w:t>
      </w:r>
      <w:bookmarkEnd w:id="29"/>
      <w:bookmarkEnd w:id="30"/>
      <w:bookmarkEnd w:id="31"/>
      <w:bookmarkEnd w:id="32"/>
    </w:p>
    <w:p>
      <w:pPr>
        <w:pStyle w:val="60"/>
        <w:ind w:firstLine="420"/>
        <w:rPr>
          <w:color w:val="auto"/>
        </w:rPr>
      </w:pPr>
      <w:r>
        <w:rPr>
          <w:rFonts w:hint="eastAsia"/>
          <w:color w:val="auto"/>
        </w:rPr>
        <w:t>城市轨道交通自动售检票系统为乘客提供</w:t>
      </w:r>
      <w:r>
        <w:rPr>
          <w:rFonts w:hint="eastAsia"/>
          <w:color w:val="auto"/>
          <w:lang w:val="en-US" w:eastAsia="zh-CN"/>
        </w:rPr>
        <w:t>全路网</w:t>
      </w:r>
      <w:r>
        <w:rPr>
          <w:rFonts w:hint="eastAsia"/>
          <w:color w:val="auto"/>
        </w:rPr>
        <w:t>的网络化票务服务，对运营和服务有着至关重要的作用。制订统一的城市轨道交通自动售检票系统技术标准规范，是提供同质化服务、保证系统安全可靠运行、使系统能够可持续高质量发展的必然要求。北京市依据国家标准和行业标准，结合城市轨道交通运营和服务实际，颁布施行了DB11/T 1164《城市轨道交通自动售检票系统技术规范》。DB11/T 1164旨在确立适合北京市城市轨道交通自动售检票系统建设和运营的技术要求，由9部分组成：</w:t>
      </w:r>
    </w:p>
    <w:p>
      <w:pPr>
        <w:pStyle w:val="60"/>
        <w:ind w:firstLine="420"/>
        <w:rPr>
          <w:color w:val="auto"/>
        </w:rPr>
      </w:pPr>
      <w:r>
        <w:rPr>
          <w:rFonts w:hint="eastAsia"/>
          <w:color w:val="auto"/>
        </w:rPr>
        <w:t>——第1部分：系统结构及功能要求。目的在于明确城市轨道交通自动售检票系统结构和功能要求。</w:t>
      </w:r>
    </w:p>
    <w:p>
      <w:pPr>
        <w:pStyle w:val="60"/>
        <w:ind w:firstLine="420"/>
        <w:rPr>
          <w:color w:val="auto"/>
        </w:rPr>
      </w:pPr>
      <w:r>
        <w:rPr>
          <w:rFonts w:hint="eastAsia"/>
          <w:color w:val="auto"/>
        </w:rPr>
        <w:t>——第2部分：接口数据格式。目的在于明确城市轨道交通自动售检票系统各组成部分间数据交换的接口与格式的要求。</w:t>
      </w:r>
    </w:p>
    <w:p>
      <w:pPr>
        <w:pStyle w:val="60"/>
        <w:ind w:firstLine="420"/>
        <w:rPr>
          <w:color w:val="auto"/>
        </w:rPr>
      </w:pPr>
      <w:r>
        <w:rPr>
          <w:rFonts w:hint="eastAsia"/>
          <w:color w:val="auto"/>
        </w:rPr>
        <w:t>——第3部分：数据传输。目的在于明确城市轨道交通自动售检票系统各组成部分间数据传输的实现要求。</w:t>
      </w:r>
    </w:p>
    <w:p>
      <w:pPr>
        <w:pStyle w:val="60"/>
        <w:ind w:firstLine="420"/>
        <w:rPr>
          <w:color w:val="auto"/>
        </w:rPr>
      </w:pPr>
      <w:r>
        <w:rPr>
          <w:rFonts w:hint="eastAsia"/>
          <w:color w:val="auto"/>
        </w:rPr>
        <w:t>——第4部分：操作界面开发设计要求。目的在于明确城市轨道交通自动售检票系统的操作界面开发设计要求。</w:t>
      </w:r>
    </w:p>
    <w:p>
      <w:pPr>
        <w:pStyle w:val="60"/>
        <w:ind w:firstLine="420"/>
        <w:rPr>
          <w:color w:val="auto"/>
        </w:rPr>
      </w:pPr>
      <w:r>
        <w:rPr>
          <w:rFonts w:hint="eastAsia"/>
          <w:color w:val="auto"/>
        </w:rPr>
        <w:t>——第5部分：车票处理单元技术要求。目的在于明确城市轨道交通自动售检票系统车票处理单元的基本要求、功能要求、性能要求以及接口要求。</w:t>
      </w:r>
    </w:p>
    <w:p>
      <w:pPr>
        <w:pStyle w:val="60"/>
        <w:ind w:firstLine="420"/>
        <w:rPr>
          <w:color w:val="auto"/>
        </w:rPr>
      </w:pPr>
      <w:r>
        <w:rPr>
          <w:rFonts w:hint="eastAsia"/>
          <w:color w:val="auto"/>
        </w:rPr>
        <w:t>——第6部分：票卡。目的在于明确城市轨道交通自动售检票系统轨道交通专用票的要求。</w:t>
      </w:r>
    </w:p>
    <w:p>
      <w:pPr>
        <w:pStyle w:val="60"/>
        <w:ind w:firstLine="420"/>
        <w:rPr>
          <w:color w:val="auto"/>
        </w:rPr>
      </w:pPr>
      <w:r>
        <w:rPr>
          <w:rFonts w:hint="eastAsia"/>
          <w:color w:val="auto"/>
        </w:rPr>
        <w:t>——第7部分：终端。目的在于明确城市轨道交通自动售检票系统终端、模块及接口的技术要求。</w:t>
      </w:r>
    </w:p>
    <w:p>
      <w:pPr>
        <w:pStyle w:val="60"/>
        <w:ind w:firstLine="420"/>
        <w:rPr>
          <w:color w:val="auto"/>
        </w:rPr>
      </w:pPr>
      <w:r>
        <w:rPr>
          <w:rFonts w:hint="eastAsia"/>
          <w:color w:val="auto"/>
        </w:rPr>
        <w:t>——第8部分：检测。目的在于明确城市轨道交通自动售检票系统的检测对象、检测内容和检测方法。</w:t>
      </w:r>
    </w:p>
    <w:p>
      <w:pPr>
        <w:pStyle w:val="60"/>
        <w:ind w:firstLine="420"/>
        <w:rPr>
          <w:color w:val="auto"/>
        </w:rPr>
      </w:pPr>
      <w:r>
        <w:rPr>
          <w:rFonts w:hint="eastAsia"/>
          <w:color w:val="auto"/>
        </w:rPr>
        <w:t>——第9部分：技术指标体系。目的在于明确城市轨道交通自动售检票系统专用模块技术指标、终端设备技术指标、应用系统技术指标、联网系统技术指标、互联互通技术指标的要求。</w:t>
      </w:r>
    </w:p>
    <w:p>
      <w:pPr>
        <w:pStyle w:val="60"/>
        <w:ind w:firstLine="420"/>
        <w:rPr>
          <w:color w:val="auto"/>
        </w:rPr>
      </w:pPr>
      <w:r>
        <w:rPr>
          <w:rFonts w:hint="eastAsia"/>
          <w:color w:val="auto"/>
        </w:rPr>
        <w:t>DB11/T 1164在城市轨道交通自动售检票系统建设和运营过程中发挥了重要的指导作用。本标准结合行业特点、发展需要、最佳实践以及新技术应用等，进行了多次修订，保持了标准的科学性、先进性、实用性和指导性。随着互联网自动售票机、自助补票机在城市轨道交通车站的应用，以及系统架构的变化，需要对自动售检票系统的检测要求进行优化与完善。</w:t>
      </w:r>
    </w:p>
    <w:p>
      <w:pPr>
        <w:pStyle w:val="60"/>
        <w:ind w:firstLine="420"/>
        <w:rPr>
          <w:color w:val="auto"/>
        </w:rPr>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cols w:space="425" w:num="1"/>
          <w:formProt w:val="0"/>
          <w:docGrid w:type="lines" w:linePitch="312" w:charSpace="0"/>
        </w:sectPr>
      </w:pPr>
      <w:r>
        <w:rPr>
          <w:rFonts w:hint="eastAsia"/>
          <w:color w:val="auto"/>
        </w:rPr>
        <w:t>本次对DB11/T 1164.8的修订，增加了互联网自动售票机、自助补票机的通用检测、外观与结构检测、装配检测、配置检测、功能检测和性能检测要求，明确了中心系统应用软件检测要求，修改了单线联网检测、互联互通检测要求。</w:t>
      </w:r>
    </w:p>
    <w:bookmarkEnd w:id="33"/>
    <w:p>
      <w:pPr>
        <w:spacing w:line="20" w:lineRule="exact"/>
        <w:jc w:val="center"/>
        <w:rPr>
          <w:rFonts w:hint="eastAsia" w:ascii="黑体" w:hAnsi="黑体" w:eastAsia="黑体"/>
          <w:color w:val="auto"/>
          <w:sz w:val="32"/>
          <w:szCs w:val="32"/>
        </w:rPr>
      </w:pPr>
      <w:bookmarkStart w:id="34" w:name="BookMark4"/>
    </w:p>
    <w:p>
      <w:pPr>
        <w:spacing w:line="20" w:lineRule="exact"/>
        <w:jc w:val="center"/>
        <w:rPr>
          <w:rFonts w:hint="eastAsia" w:ascii="黑体" w:hAnsi="黑体" w:eastAsia="黑体"/>
          <w:color w:val="auto"/>
          <w:sz w:val="32"/>
          <w:szCs w:val="32"/>
        </w:rPr>
      </w:pPr>
    </w:p>
    <w:sdt>
      <w:sdtPr>
        <w:rPr>
          <w:color w:val="auto"/>
        </w:rPr>
        <w:tag w:val="NEW_STAND_NAME"/>
        <w:id w:val="595910757"/>
        <w:lock w:val="sdtLocked"/>
        <w:placeholder>
          <w:docPart w:val="7925B7B2C3B140C08AE291FAD225E0BA"/>
        </w:placeholder>
      </w:sdtPr>
      <w:sdtEndPr>
        <w:rPr>
          <w:color w:val="auto"/>
        </w:rPr>
      </w:sdtEndPr>
      <w:sdtContent>
        <w:p>
          <w:pPr>
            <w:pStyle w:val="181"/>
            <w:spacing w:before="3" w:beforeLines="1" w:after="3" w:afterLines="1"/>
            <w:rPr>
              <w:rFonts w:hint="eastAsia"/>
              <w:color w:val="auto"/>
            </w:rPr>
          </w:pPr>
          <w:bookmarkStart w:id="35" w:name="NEW_STAND_NAME"/>
          <w:r>
            <w:rPr>
              <w:rFonts w:hint="eastAsia"/>
              <w:color w:val="auto"/>
            </w:rPr>
            <w:t>城市轨道交通自动售检票系统技术规范</w:t>
          </w:r>
        </w:p>
        <w:p>
          <w:pPr>
            <w:pStyle w:val="181"/>
            <w:spacing w:before="3" w:beforeLines="1" w:after="680"/>
            <w:rPr>
              <w:rFonts w:hint="eastAsia"/>
              <w:color w:val="auto"/>
            </w:rPr>
          </w:pPr>
          <w:r>
            <w:rPr>
              <w:rFonts w:hint="eastAsia"/>
              <w:color w:val="auto"/>
            </w:rPr>
            <w:t>第8部分：检测</w:t>
          </w:r>
        </w:p>
      </w:sdtContent>
    </w:sdt>
    <w:bookmarkEnd w:id="35"/>
    <w:p>
      <w:pPr>
        <w:pStyle w:val="108"/>
        <w:spacing w:before="312" w:after="312"/>
        <w:rPr>
          <w:color w:val="auto"/>
        </w:rPr>
      </w:pPr>
      <w:bookmarkStart w:id="36" w:name="_Toc26648465"/>
      <w:bookmarkStart w:id="37" w:name="_Toc26718930"/>
      <w:bookmarkStart w:id="38" w:name="_Toc26986771"/>
      <w:bookmarkStart w:id="39" w:name="_Toc17233325"/>
      <w:bookmarkStart w:id="40" w:name="_Toc17233333"/>
      <w:bookmarkStart w:id="41" w:name="_Toc191281932"/>
      <w:bookmarkStart w:id="42" w:name="_Toc193356594"/>
      <w:bookmarkStart w:id="43" w:name="_Toc203208996"/>
      <w:bookmarkStart w:id="44" w:name="_Toc97191423"/>
      <w:bookmarkStart w:id="45" w:name="_Toc193447445"/>
      <w:bookmarkStart w:id="46" w:name="_Toc24884218"/>
      <w:bookmarkStart w:id="47" w:name="_Toc26986530"/>
      <w:bookmarkStart w:id="48" w:name="_Toc24884211"/>
      <w:bookmarkStart w:id="49" w:name="_Toc14853"/>
      <w:r>
        <w:rPr>
          <w:rFonts w:hint="eastAsia"/>
          <w:color w:val="auto"/>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60"/>
        <w:ind w:firstLine="420"/>
        <w:rPr>
          <w:color w:val="auto"/>
        </w:rPr>
      </w:pPr>
      <w:bookmarkStart w:id="50" w:name="_Toc26648466"/>
      <w:bookmarkStart w:id="51" w:name="_Toc17233326"/>
      <w:bookmarkStart w:id="52" w:name="_Toc24884212"/>
      <w:bookmarkStart w:id="53" w:name="_Toc24884219"/>
      <w:bookmarkStart w:id="54" w:name="_Toc17233334"/>
      <w:r>
        <w:rPr>
          <w:rFonts w:hint="eastAsia"/>
          <w:color w:val="auto"/>
        </w:rPr>
        <w:t>本文件规定了城市轨道交通自动售检票系统</w:t>
      </w:r>
      <w:r>
        <w:rPr>
          <w:rFonts w:hint="eastAsia"/>
          <w:color w:val="auto"/>
        </w:rPr>
        <w:t>检测基本要求、问题定义与判据，以及通用检测、专用模块检测、终端检测、中心系统应用软件检测、接入联网检测和互联互通检测要求</w:t>
      </w:r>
      <w:r>
        <w:rPr>
          <w:rFonts w:hint="eastAsia"/>
          <w:color w:val="auto"/>
        </w:rPr>
        <w:t>。</w:t>
      </w:r>
    </w:p>
    <w:p>
      <w:pPr>
        <w:pStyle w:val="60"/>
        <w:ind w:firstLine="420"/>
        <w:rPr>
          <w:color w:val="auto"/>
        </w:rPr>
      </w:pPr>
      <w:r>
        <w:rPr>
          <w:rFonts w:hint="eastAsia"/>
          <w:color w:val="auto"/>
        </w:rPr>
        <w:t>本文件适用于城市轨道交通自动售检票系统的</w:t>
      </w:r>
      <w:r>
        <w:rPr>
          <w:rFonts w:hint="eastAsia"/>
          <w:color w:val="auto"/>
        </w:rPr>
        <w:t>建设、更新、改造和维护</w:t>
      </w:r>
      <w:r>
        <w:rPr>
          <w:rFonts w:hint="eastAsia"/>
          <w:color w:val="auto"/>
        </w:rPr>
        <w:t>。</w:t>
      </w:r>
    </w:p>
    <w:p>
      <w:pPr>
        <w:pStyle w:val="108"/>
        <w:spacing w:before="312" w:after="312"/>
        <w:rPr>
          <w:color w:val="auto"/>
        </w:rPr>
      </w:pPr>
      <w:bookmarkStart w:id="55" w:name="_Toc203208997"/>
      <w:bookmarkStart w:id="56" w:name="_Toc26986772"/>
      <w:bookmarkStart w:id="57" w:name="_Toc193356595"/>
      <w:bookmarkStart w:id="58" w:name="_Toc97191424"/>
      <w:bookmarkStart w:id="59" w:name="_Toc193447446"/>
      <w:bookmarkStart w:id="60" w:name="_Toc191281933"/>
      <w:bookmarkStart w:id="61" w:name="_Toc26986531"/>
      <w:bookmarkStart w:id="62" w:name="_Toc26718931"/>
      <w:bookmarkStart w:id="63" w:name="_Toc20482"/>
      <w:r>
        <w:rPr>
          <w:rFonts w:hint="eastAsia"/>
          <w:color w:val="auto"/>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p>
    <w:sdt>
      <w:sdtPr>
        <w:rPr>
          <w:rFonts w:hint="eastAsia"/>
          <w:color w:val="auto"/>
        </w:rPr>
        <w:id w:val="715848253"/>
        <w:placeholder>
          <w:docPart w:val="87F2704C4C89454FA9C5DF2B0D4A3E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60"/>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46"/>
        <w:ind w:firstLine="420"/>
        <w:rPr>
          <w:rFonts w:hint="eastAsia"/>
          <w:color w:val="auto"/>
        </w:rPr>
      </w:pPr>
      <w:r>
        <w:rPr>
          <w:rStyle w:val="31"/>
          <w:rFonts w:hint="eastAsia" w:ascii="宋体" w:hAnsi="Times New Roman" w:eastAsia="宋体" w:cs="Times New Roman"/>
          <w:color w:val="auto"/>
          <w:sz w:val="21"/>
          <w:szCs w:val="20"/>
          <w:lang w:bidi="ar-SA"/>
        </w:rPr>
        <w:t xml:space="preserve">GB/T 5080.7 </w:t>
      </w:r>
      <w:r>
        <w:rPr>
          <w:rFonts w:hint="eastAsia" w:ascii="宋体" w:hAnsi="Times New Roman" w:eastAsia="宋体" w:cs="Times New Roman"/>
          <w:color w:val="auto"/>
          <w:sz w:val="21"/>
          <w:szCs w:val="20"/>
          <w:lang w:bidi="ar-SA"/>
        </w:rPr>
        <w:t>设备可靠性试验</w:t>
      </w:r>
      <w:r>
        <w:rPr>
          <w:rStyle w:val="31"/>
          <w:rFonts w:hint="eastAsia" w:ascii="宋体" w:hAnsi="Times New Roman" w:eastAsia="宋体" w:cs="Times New Roman"/>
          <w:color w:val="auto"/>
          <w:sz w:val="21"/>
          <w:szCs w:val="20"/>
          <w:lang w:bidi="ar-SA"/>
        </w:rPr>
        <w:t xml:space="preserve"> </w:t>
      </w:r>
      <w:r>
        <w:rPr>
          <w:rFonts w:hint="eastAsia" w:ascii="宋体" w:hAnsi="Times New Roman" w:eastAsia="宋体" w:cs="Times New Roman"/>
          <w:color w:val="auto"/>
          <w:sz w:val="21"/>
          <w:szCs w:val="20"/>
          <w:lang w:bidi="ar-SA"/>
        </w:rPr>
        <w:t>恒定失效率假设下的失效率与平均无故障时间的验证试验方案</w:t>
      </w:r>
    </w:p>
    <w:p>
      <w:pPr>
        <w:pStyle w:val="60"/>
        <w:ind w:firstLine="420"/>
        <w:rPr>
          <w:color w:val="auto"/>
        </w:rPr>
      </w:pPr>
      <w:r>
        <w:rPr>
          <w:rFonts w:hint="eastAsia"/>
          <w:color w:val="auto"/>
        </w:rPr>
        <w:t>GB/T 2423.1  电工电子产品环境试验 第2部分：试验方法 试验A：低温</w:t>
      </w:r>
    </w:p>
    <w:p>
      <w:pPr>
        <w:pStyle w:val="60"/>
        <w:ind w:firstLine="420"/>
        <w:rPr>
          <w:color w:val="auto"/>
        </w:rPr>
      </w:pPr>
      <w:r>
        <w:rPr>
          <w:rFonts w:hint="eastAsia"/>
          <w:color w:val="auto"/>
        </w:rPr>
        <w:t>GB/T 2423.2  电工电子产品环境试验 第2部分：试验方法 试验B：高温</w:t>
      </w:r>
    </w:p>
    <w:p>
      <w:pPr>
        <w:pStyle w:val="60"/>
        <w:ind w:firstLine="420"/>
        <w:rPr>
          <w:color w:val="auto"/>
        </w:rPr>
      </w:pPr>
      <w:r>
        <w:rPr>
          <w:rFonts w:hint="eastAsia"/>
          <w:color w:val="auto"/>
        </w:rPr>
        <w:t>GB/T 2423.3  电工电子产品环境试验 第2部分：试验方法 试验Cab：恒定湿热试验</w:t>
      </w:r>
    </w:p>
    <w:p>
      <w:pPr>
        <w:pStyle w:val="60"/>
        <w:ind w:firstLine="420"/>
        <w:rPr>
          <w:color w:val="auto"/>
        </w:rPr>
      </w:pPr>
      <w:r>
        <w:rPr>
          <w:rFonts w:hint="eastAsia"/>
          <w:color w:val="auto"/>
        </w:rPr>
        <w:t>GB/T 2423.5  电工电子产品环境试验 第2部分：试验方法 试验Ea和导则：冲击</w:t>
      </w:r>
    </w:p>
    <w:p>
      <w:pPr>
        <w:pStyle w:val="60"/>
        <w:ind w:firstLine="420"/>
        <w:rPr>
          <w:color w:val="auto"/>
        </w:rPr>
      </w:pPr>
      <w:r>
        <w:rPr>
          <w:rFonts w:hint="eastAsia"/>
          <w:color w:val="auto"/>
        </w:rPr>
        <w:t>GB/T 2423.10  电工电子产品环境试验 第2部分：试验方法 试验Fc和导则：振动(正弦）</w:t>
      </w:r>
    </w:p>
    <w:p>
      <w:pPr>
        <w:pStyle w:val="60"/>
        <w:ind w:firstLine="420"/>
        <w:rPr>
          <w:color w:val="auto"/>
        </w:rPr>
      </w:pPr>
      <w:r>
        <w:rPr>
          <w:rFonts w:hint="eastAsia"/>
          <w:color w:val="auto"/>
        </w:rPr>
        <w:t>GB/T 2423.37  电工电子产品环境试验 第2部分：试验方法 试验L：沙尘试验</w:t>
      </w:r>
    </w:p>
    <w:p>
      <w:pPr>
        <w:pStyle w:val="60"/>
        <w:ind w:firstLine="420"/>
        <w:rPr>
          <w:color w:val="auto"/>
        </w:rPr>
      </w:pPr>
      <w:r>
        <w:rPr>
          <w:rFonts w:hint="eastAsia"/>
          <w:color w:val="auto"/>
        </w:rPr>
        <w:t>GB/T 2423.38  电工电子产品环境试验 第2部分：试验方法 试验R：水试验方法和导则</w:t>
      </w:r>
    </w:p>
    <w:p>
      <w:pPr>
        <w:pStyle w:val="60"/>
        <w:ind w:firstLine="420"/>
        <w:rPr>
          <w:color w:val="auto"/>
        </w:rPr>
      </w:pPr>
      <w:r>
        <w:rPr>
          <w:rFonts w:hint="eastAsia"/>
          <w:color w:val="auto"/>
        </w:rPr>
        <w:t>GB 4943  信息技术设备的安全</w:t>
      </w:r>
    </w:p>
    <w:p>
      <w:pPr>
        <w:pStyle w:val="60"/>
        <w:ind w:firstLine="420"/>
        <w:rPr>
          <w:color w:val="auto"/>
        </w:rPr>
      </w:pPr>
      <w:r>
        <w:rPr>
          <w:rFonts w:hint="eastAsia"/>
          <w:color w:val="auto"/>
        </w:rPr>
        <w:t>GB/T 6882  声学 声压法测定噪声源生功率级 消声室和半消声室精密法</w:t>
      </w:r>
    </w:p>
    <w:p>
      <w:pPr>
        <w:pStyle w:val="60"/>
        <w:ind w:firstLine="420"/>
        <w:rPr>
          <w:color w:val="auto"/>
        </w:rPr>
      </w:pPr>
      <w:r>
        <w:rPr>
          <w:rFonts w:hint="eastAsia"/>
          <w:color w:val="auto"/>
        </w:rPr>
        <w:t>GB 9254  信息技术设备的无线电骚扰限值和测量方法</w:t>
      </w:r>
    </w:p>
    <w:p>
      <w:pPr>
        <w:pStyle w:val="60"/>
        <w:ind w:firstLine="420"/>
        <w:rPr>
          <w:color w:val="auto"/>
        </w:rPr>
      </w:pPr>
      <w:r>
        <w:rPr>
          <w:rFonts w:hint="eastAsia"/>
          <w:color w:val="auto"/>
        </w:rPr>
        <w:t>GB/T 17618  信息技术设备抗扰度限值和测量方法</w:t>
      </w:r>
    </w:p>
    <w:p>
      <w:pPr>
        <w:pStyle w:val="60"/>
        <w:ind w:firstLine="420"/>
        <w:rPr>
          <w:color w:val="auto"/>
        </w:rPr>
      </w:pPr>
      <w:r>
        <w:rPr>
          <w:rFonts w:hint="eastAsia"/>
          <w:color w:val="auto"/>
        </w:rPr>
        <w:t>GB/T 17625.1  电磁兼容 限值 谐波电流发射限值</w:t>
      </w:r>
      <w:r>
        <w:rPr>
          <w:rFonts w:hint="eastAsia"/>
          <w:color w:val="auto"/>
        </w:rPr>
        <w:t>(设备每相输入电流≤16A）?</w:t>
      </w:r>
    </w:p>
    <w:p>
      <w:pPr>
        <w:pStyle w:val="60"/>
        <w:ind w:firstLine="420"/>
        <w:rPr>
          <w:color w:val="auto"/>
        </w:rPr>
      </w:pPr>
      <w:r>
        <w:rPr>
          <w:rFonts w:hint="eastAsia"/>
          <w:color w:val="auto"/>
        </w:rPr>
        <w:t>GB/T 20907  城市轨道交通自动售检票系统技术条件</w:t>
      </w:r>
    </w:p>
    <w:p>
      <w:pPr>
        <w:pStyle w:val="60"/>
        <w:ind w:firstLine="420"/>
        <w:rPr>
          <w:color w:val="auto"/>
        </w:rPr>
      </w:pPr>
      <w:r>
        <w:rPr>
          <w:rFonts w:hint="eastAsia"/>
          <w:color w:val="auto"/>
        </w:rPr>
        <w:t>GB/T 28171  嵌入式软件可靠性测试方法</w:t>
      </w:r>
    </w:p>
    <w:p>
      <w:pPr>
        <w:pStyle w:val="60"/>
        <w:ind w:firstLine="420"/>
        <w:rPr>
          <w:color w:val="auto"/>
        </w:rPr>
      </w:pPr>
      <w:r>
        <w:rPr>
          <w:rFonts w:hint="eastAsia"/>
          <w:color w:val="auto"/>
        </w:rPr>
        <w:t>JG 305  人行自动门安全要求</w:t>
      </w:r>
    </w:p>
    <w:p>
      <w:pPr>
        <w:pStyle w:val="60"/>
        <w:ind w:firstLine="420"/>
        <w:rPr>
          <w:color w:val="auto"/>
        </w:rPr>
      </w:pPr>
      <w:r>
        <w:rPr>
          <w:rFonts w:hint="eastAsia"/>
          <w:color w:val="auto"/>
        </w:rPr>
        <w:t>DB11/T 1164.1  城市轨道交通自动售检票系统技术规范 第1部分：系统结构及功能</w:t>
      </w:r>
    </w:p>
    <w:p>
      <w:pPr>
        <w:pStyle w:val="60"/>
        <w:ind w:firstLine="420"/>
        <w:rPr>
          <w:color w:val="auto"/>
        </w:rPr>
      </w:pPr>
      <w:r>
        <w:rPr>
          <w:rFonts w:hint="eastAsia"/>
          <w:color w:val="auto"/>
        </w:rPr>
        <w:t>DB11/T 1164.2  城市轨道交通自动售检票系统技术规范 第2部分：接口数据格式</w:t>
      </w:r>
    </w:p>
    <w:p>
      <w:pPr>
        <w:pStyle w:val="60"/>
        <w:ind w:firstLine="420"/>
        <w:rPr>
          <w:color w:val="auto"/>
        </w:rPr>
      </w:pPr>
      <w:r>
        <w:rPr>
          <w:rFonts w:hint="eastAsia"/>
          <w:color w:val="auto"/>
        </w:rPr>
        <w:t>DB11/T 1164.3  城市轨道交通自动售检票系统技术规范 第3部分：数据传输</w:t>
      </w:r>
    </w:p>
    <w:p>
      <w:pPr>
        <w:pStyle w:val="60"/>
        <w:ind w:firstLine="420"/>
        <w:rPr>
          <w:color w:val="auto"/>
        </w:rPr>
      </w:pPr>
      <w:r>
        <w:rPr>
          <w:rFonts w:hint="eastAsia"/>
          <w:color w:val="auto"/>
        </w:rPr>
        <w:t>DB11/T 1164.5  城市轨道交通自动售检票系统技术规范 第5部分：车票处理单元</w:t>
      </w:r>
    </w:p>
    <w:p>
      <w:pPr>
        <w:pStyle w:val="60"/>
        <w:ind w:firstLine="420"/>
        <w:rPr>
          <w:color w:val="auto"/>
        </w:rPr>
      </w:pPr>
      <w:r>
        <w:rPr>
          <w:rFonts w:hint="eastAsia"/>
          <w:color w:val="auto"/>
        </w:rPr>
        <w:t>DB11/T 1164.7  城市轨道交通自动售检票系统技术规范 第7部分：终端</w:t>
      </w:r>
    </w:p>
    <w:p>
      <w:pPr>
        <w:pStyle w:val="60"/>
        <w:ind w:firstLine="420"/>
        <w:rPr>
          <w:color w:val="auto"/>
        </w:rPr>
      </w:pPr>
      <w:r>
        <w:rPr>
          <w:rFonts w:hint="eastAsia"/>
          <w:color w:val="auto"/>
        </w:rPr>
        <w:t>DB11/T 1164.9  城市轨道交通自动售检票系统技术规范 第9部分：技术指标体系</w:t>
      </w:r>
    </w:p>
    <w:p>
      <w:pPr>
        <w:pStyle w:val="108"/>
        <w:spacing w:before="312" w:after="312"/>
        <w:rPr>
          <w:color w:val="auto"/>
        </w:rPr>
      </w:pPr>
      <w:bookmarkStart w:id="64" w:name="_Toc97191425"/>
      <w:bookmarkStart w:id="65" w:name="_Toc193447447"/>
      <w:bookmarkStart w:id="66" w:name="_Toc193356596"/>
      <w:bookmarkStart w:id="67" w:name="_Toc203208998"/>
      <w:bookmarkStart w:id="68" w:name="_Toc191281934"/>
      <w:bookmarkStart w:id="69" w:name="_Toc15777"/>
      <w:r>
        <w:rPr>
          <w:rFonts w:hint="eastAsia"/>
          <w:color w:val="auto"/>
          <w:szCs w:val="21"/>
        </w:rPr>
        <w:t>术语和定义</w:t>
      </w:r>
      <w:bookmarkEnd w:id="64"/>
      <w:bookmarkEnd w:id="65"/>
      <w:bookmarkEnd w:id="66"/>
      <w:bookmarkEnd w:id="67"/>
      <w:bookmarkEnd w:id="68"/>
      <w:bookmarkEnd w:id="69"/>
    </w:p>
    <w:sdt>
      <w:sdtPr>
        <w:rPr>
          <w:color w:val="auto"/>
        </w:rPr>
        <w:id w:val="-1"/>
        <w:placeholder>
          <w:docPart w:val="F5DBA147FFD64E51B681FA6BF8423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60"/>
            <w:ind w:firstLine="420"/>
            <w:rPr>
              <w:color w:val="auto"/>
            </w:rPr>
          </w:pPr>
          <w:bookmarkStart w:id="70" w:name="_Toc26986532"/>
          <w:bookmarkEnd w:id="70"/>
          <w:r>
            <w:rPr>
              <w:rFonts w:hint="eastAsia"/>
              <w:color w:val="auto"/>
              <w:lang w:val="en-US" w:eastAsia="zh-CN"/>
            </w:rPr>
            <w:t>本</w:t>
          </w:r>
          <w:r>
            <w:rPr>
              <w:rFonts w:hint="eastAsia"/>
              <w:color w:val="auto"/>
            </w:rPr>
            <w:t>文件没有需要界定的术语和定义。</w:t>
          </w:r>
        </w:p>
      </w:sdtContent>
    </w:sdt>
    <w:p>
      <w:pPr>
        <w:pStyle w:val="108"/>
        <w:spacing w:before="312" w:after="312"/>
        <w:rPr>
          <w:color w:val="auto"/>
        </w:rPr>
      </w:pPr>
      <w:bookmarkStart w:id="71" w:name="_Toc203208999"/>
      <w:bookmarkStart w:id="72" w:name="_Toc193356597"/>
      <w:bookmarkStart w:id="73" w:name="_Toc193447448"/>
      <w:bookmarkStart w:id="74" w:name="_Toc27892"/>
      <w:r>
        <w:rPr>
          <w:rFonts w:hint="eastAsia"/>
          <w:color w:val="auto"/>
        </w:rPr>
        <w:t>缩略语</w:t>
      </w:r>
      <w:bookmarkEnd w:id="71"/>
      <w:bookmarkEnd w:id="72"/>
      <w:bookmarkEnd w:id="73"/>
      <w:bookmarkEnd w:id="74"/>
    </w:p>
    <w:p>
      <w:pPr>
        <w:pStyle w:val="60"/>
        <w:ind w:firstLine="420"/>
        <w:rPr>
          <w:color w:val="auto"/>
        </w:rPr>
      </w:pPr>
      <w:r>
        <w:rPr>
          <w:rFonts w:hint="eastAsia"/>
          <w:color w:val="auto"/>
        </w:rPr>
        <w:t>下列缩略语适用于本文件。</w:t>
      </w:r>
    </w:p>
    <w:p>
      <w:pPr>
        <w:pStyle w:val="60"/>
        <w:ind w:firstLine="420"/>
        <w:rPr>
          <w:color w:val="auto"/>
        </w:rPr>
      </w:pPr>
      <w:r>
        <w:rPr>
          <w:rFonts w:hint="eastAsia"/>
          <w:color w:val="auto"/>
        </w:rPr>
        <w:t>AG：自动检票机（Automatic Gate machine）</w:t>
      </w:r>
    </w:p>
    <w:p>
      <w:pPr>
        <w:pStyle w:val="60"/>
        <w:ind w:firstLine="420"/>
        <w:rPr>
          <w:color w:val="auto"/>
        </w:rPr>
      </w:pPr>
      <w:r>
        <w:rPr>
          <w:rFonts w:hint="eastAsia"/>
          <w:color w:val="auto"/>
        </w:rPr>
        <w:t>API：应用程序编程接口（Application Programming Interface）</w:t>
      </w:r>
    </w:p>
    <w:p>
      <w:pPr>
        <w:pStyle w:val="60"/>
        <w:ind w:firstLine="420"/>
        <w:rPr>
          <w:color w:val="auto"/>
        </w:rPr>
      </w:pPr>
      <w:r>
        <w:rPr>
          <w:rFonts w:hint="eastAsia"/>
          <w:color w:val="auto"/>
        </w:rPr>
        <w:t>BOM：半自动售票机（Booking Office Machine）</w:t>
      </w:r>
    </w:p>
    <w:p>
      <w:pPr>
        <w:pStyle w:val="60"/>
        <w:ind w:firstLine="420"/>
        <w:rPr>
          <w:color w:val="auto"/>
        </w:rPr>
      </w:pPr>
      <w:r>
        <w:rPr>
          <w:rFonts w:hint="eastAsia"/>
          <w:color w:val="auto"/>
        </w:rPr>
        <w:t>ID：标识符（Identification）</w:t>
      </w:r>
    </w:p>
    <w:p>
      <w:pPr>
        <w:pStyle w:val="60"/>
        <w:ind w:firstLine="420"/>
        <w:rPr>
          <w:color w:val="auto"/>
        </w:rPr>
      </w:pPr>
      <w:r>
        <w:rPr>
          <w:rFonts w:hint="eastAsia"/>
          <w:color w:val="auto"/>
        </w:rPr>
        <w:t>ISAM：增值安全存取模块（Increase Secure Access Module）</w:t>
      </w:r>
    </w:p>
    <w:p>
      <w:pPr>
        <w:pStyle w:val="60"/>
        <w:ind w:firstLine="420"/>
        <w:rPr>
          <w:color w:val="auto"/>
        </w:rPr>
      </w:pPr>
      <w:r>
        <w:rPr>
          <w:rFonts w:hint="eastAsia"/>
          <w:color w:val="auto"/>
        </w:rPr>
        <w:t>ITVM：互联网自动售票机（Internet automatic Ticket Vending Machine）</w:t>
      </w:r>
    </w:p>
    <w:p>
      <w:pPr>
        <w:pStyle w:val="60"/>
        <w:ind w:firstLine="420"/>
        <w:rPr>
          <w:color w:val="auto"/>
        </w:rPr>
      </w:pPr>
      <w:r>
        <w:rPr>
          <w:rFonts w:hint="eastAsia"/>
          <w:color w:val="auto"/>
        </w:rPr>
        <w:t>MAC：消息验证码（Message Authentication Code）</w:t>
      </w:r>
    </w:p>
    <w:p>
      <w:pPr>
        <w:pStyle w:val="60"/>
        <w:ind w:firstLine="420"/>
        <w:rPr>
          <w:color w:val="auto"/>
        </w:rPr>
      </w:pPr>
      <w:r>
        <w:rPr>
          <w:rFonts w:hint="eastAsia"/>
          <w:color w:val="auto"/>
        </w:rPr>
        <w:t>NTP：网络时间协议（Network Time Protocol）</w:t>
      </w:r>
    </w:p>
    <w:p>
      <w:pPr>
        <w:pStyle w:val="60"/>
        <w:ind w:firstLine="420"/>
        <w:rPr>
          <w:color w:val="auto"/>
        </w:rPr>
      </w:pPr>
      <w:r>
        <w:rPr>
          <w:rFonts w:hint="eastAsia"/>
          <w:color w:val="auto"/>
        </w:rPr>
        <w:t>PCA：便携式检票机（Portable Card Analyzer）</w:t>
      </w:r>
    </w:p>
    <w:p>
      <w:pPr>
        <w:pStyle w:val="60"/>
        <w:ind w:firstLine="420"/>
        <w:rPr>
          <w:color w:val="auto"/>
        </w:rPr>
      </w:pPr>
      <w:r>
        <w:rPr>
          <w:rFonts w:hint="eastAsia"/>
          <w:color w:val="auto"/>
        </w:rPr>
        <w:t>SAM：安全存取模块（Secure Access Module）</w:t>
      </w:r>
    </w:p>
    <w:p>
      <w:pPr>
        <w:pStyle w:val="60"/>
        <w:ind w:firstLine="420"/>
        <w:rPr>
          <w:color w:val="auto"/>
        </w:rPr>
      </w:pPr>
      <w:r>
        <w:rPr>
          <w:rFonts w:hint="eastAsia"/>
          <w:color w:val="auto"/>
        </w:rPr>
        <w:t>SLE：车站终端（Station Level Equipment）</w:t>
      </w:r>
    </w:p>
    <w:p>
      <w:pPr>
        <w:pStyle w:val="60"/>
        <w:ind w:firstLine="420"/>
        <w:rPr>
          <w:color w:val="auto"/>
        </w:rPr>
      </w:pPr>
      <w:r>
        <w:rPr>
          <w:rFonts w:hint="eastAsia"/>
          <w:color w:val="auto"/>
        </w:rPr>
        <w:t>TPU：车票处理单元（Ticket Processing Unit）</w:t>
      </w:r>
    </w:p>
    <w:p>
      <w:pPr>
        <w:pStyle w:val="60"/>
        <w:ind w:firstLine="420"/>
        <w:rPr>
          <w:color w:val="auto"/>
        </w:rPr>
      </w:pPr>
      <w:r>
        <w:rPr>
          <w:rFonts w:hint="eastAsia"/>
          <w:color w:val="auto"/>
        </w:rPr>
        <w:t>TSM：自助补票机（self-service Ticket Supplement Machine）</w:t>
      </w:r>
    </w:p>
    <w:p>
      <w:pPr>
        <w:pStyle w:val="60"/>
        <w:ind w:firstLine="420"/>
        <w:rPr>
          <w:color w:val="auto"/>
        </w:rPr>
      </w:pPr>
      <w:r>
        <w:rPr>
          <w:rFonts w:hint="eastAsia"/>
          <w:color w:val="auto"/>
        </w:rPr>
        <w:t>TVM：自动售票机（automatic Ticket Vending Machine）</w:t>
      </w:r>
    </w:p>
    <w:p>
      <w:pPr>
        <w:pStyle w:val="108"/>
        <w:spacing w:before="312" w:after="312"/>
        <w:rPr>
          <w:color w:val="auto"/>
        </w:rPr>
      </w:pPr>
      <w:bookmarkStart w:id="75" w:name="_Toc203209000"/>
      <w:bookmarkStart w:id="76" w:name="_Toc8600"/>
      <w:r>
        <w:rPr>
          <w:rFonts w:hint="eastAsia"/>
          <w:color w:val="auto"/>
        </w:rPr>
        <w:t>基本要求</w:t>
      </w:r>
      <w:bookmarkEnd w:id="75"/>
      <w:bookmarkEnd w:id="76"/>
    </w:p>
    <w:p>
      <w:pPr>
        <w:pStyle w:val="109"/>
        <w:spacing w:before="156" w:after="156"/>
        <w:rPr>
          <w:color w:val="auto"/>
        </w:rPr>
      </w:pPr>
      <w:bookmarkStart w:id="77" w:name="_Toc203209001"/>
      <w:bookmarkStart w:id="78" w:name="_Toc31301"/>
      <w:r>
        <w:rPr>
          <w:rFonts w:hint="eastAsia"/>
          <w:color w:val="auto"/>
        </w:rPr>
        <w:t>一般要求</w:t>
      </w:r>
      <w:bookmarkEnd w:id="77"/>
      <w:bookmarkEnd w:id="78"/>
    </w:p>
    <w:p>
      <w:pPr>
        <w:pStyle w:val="60"/>
        <w:ind w:firstLine="420"/>
        <w:rPr>
          <w:color w:val="auto"/>
        </w:rPr>
      </w:pPr>
      <w:r>
        <w:rPr>
          <w:rFonts w:hint="eastAsia"/>
          <w:color w:val="auto"/>
        </w:rPr>
        <w:t>受检设备/系统应按照DB11/T 1164.1、DB11/T 1164.2、DB11/T 1164.3、</w:t>
      </w:r>
      <w:r>
        <w:rPr>
          <w:rFonts w:hint="eastAsia"/>
          <w:color w:val="auto"/>
        </w:rPr>
        <w:t>DB11/T 1164.5</w:t>
      </w:r>
      <w:r>
        <w:rPr>
          <w:rFonts w:hint="eastAsia"/>
          <w:color w:val="auto"/>
        </w:rPr>
        <w:t>、DB11/T 1164.7中的要求进行检验，并应符合其规定。</w:t>
      </w:r>
    </w:p>
    <w:p>
      <w:pPr>
        <w:pStyle w:val="109"/>
        <w:spacing w:before="156" w:after="156"/>
        <w:rPr>
          <w:color w:val="auto"/>
        </w:rPr>
      </w:pPr>
      <w:bookmarkStart w:id="79" w:name="_Toc203209002"/>
      <w:bookmarkStart w:id="80" w:name="_Toc4386"/>
      <w:r>
        <w:rPr>
          <w:rFonts w:hint="eastAsia"/>
          <w:color w:val="auto"/>
        </w:rPr>
        <w:t>检测条件</w:t>
      </w:r>
      <w:bookmarkEnd w:id="79"/>
      <w:bookmarkEnd w:id="80"/>
    </w:p>
    <w:p>
      <w:pPr>
        <w:pStyle w:val="60"/>
        <w:ind w:firstLine="420"/>
        <w:rPr>
          <w:color w:val="auto"/>
        </w:rPr>
      </w:pPr>
      <w:r>
        <w:rPr>
          <w:rFonts w:hint="eastAsia"/>
          <w:color w:val="auto"/>
        </w:rPr>
        <w:t>检测条件应包括环境条件和工作条件，其中环境条件应包括气候条件、机械条件、电气条件和其他外部环境条件；工作条件应包括受检设备自身条件、数据和其他辅助要素。检测条件应符合下列要求：</w:t>
      </w:r>
    </w:p>
    <w:p>
      <w:pPr>
        <w:pStyle w:val="178"/>
        <w:numPr>
          <w:ilvl w:val="0"/>
          <w:numId w:val="35"/>
        </w:numPr>
        <w:rPr>
          <w:color w:val="auto"/>
        </w:rPr>
      </w:pPr>
      <w:r>
        <w:rPr>
          <w:rFonts w:hint="eastAsia"/>
          <w:color w:val="auto"/>
        </w:rPr>
        <w:t>环境条件应符合国家标准GB/T 20907的相关要求。入围检测、样机检测、扩大范围检测和接入检测环境为实验室测试环境，且使用相应的实验室检测设备；</w:t>
      </w:r>
    </w:p>
    <w:p>
      <w:pPr>
        <w:pStyle w:val="178"/>
        <w:rPr>
          <w:color w:val="auto"/>
        </w:rPr>
      </w:pPr>
      <w:r>
        <w:rPr>
          <w:rFonts w:hint="eastAsia"/>
          <w:color w:val="auto"/>
        </w:rPr>
        <w:t>受检设备包括专用模块和终端。终端（不包含自动售票机）及专用模块安全性应符合GB 4943中的有关规定，自动售票机应通过CCC认证；</w:t>
      </w:r>
    </w:p>
    <w:p>
      <w:pPr>
        <w:pStyle w:val="178"/>
        <w:rPr>
          <w:color w:val="auto"/>
        </w:rPr>
      </w:pPr>
      <w:r>
        <w:rPr>
          <w:rFonts w:hint="eastAsia"/>
          <w:color w:val="auto"/>
        </w:rPr>
        <w:t>终端、专用模块的主板和驱动板要提供有CNAS/CMA资质的检验报告或CCC资质的认证证书，电源模块、工控机要提供有CNAS/CMA资质的检验报告或CCC资质的认证证书；</w:t>
      </w:r>
    </w:p>
    <w:p>
      <w:pPr>
        <w:pStyle w:val="178"/>
        <w:rPr>
          <w:color w:val="auto"/>
        </w:rPr>
      </w:pPr>
      <w:r>
        <w:rPr>
          <w:rFonts w:hint="eastAsia"/>
          <w:color w:val="auto"/>
        </w:rPr>
        <w:t>配合检测的车票、密钥、参数、应用软件、辅助设备、辅助工具应按检测需要进行配备，其中配合检测的车票和密钥应符合设计要求；</w:t>
      </w:r>
    </w:p>
    <w:p>
      <w:pPr>
        <w:pStyle w:val="178"/>
        <w:rPr>
          <w:color w:val="auto"/>
        </w:rPr>
      </w:pPr>
      <w:r>
        <w:rPr>
          <w:rFonts w:hint="eastAsia"/>
          <w:color w:val="auto"/>
        </w:rPr>
        <w:t>终端、AFC各层系统受检时，应使用相关仿真系统或仿真工具配合检测；联机检测时，应使用真实终端和真实系统作联机检测；</w:t>
      </w:r>
    </w:p>
    <w:p>
      <w:pPr>
        <w:pStyle w:val="178"/>
        <w:rPr>
          <w:color w:val="auto"/>
        </w:rPr>
      </w:pPr>
      <w:r>
        <w:rPr>
          <w:rFonts w:hint="eastAsia"/>
          <w:color w:val="auto"/>
        </w:rPr>
        <w:t>所有配合检测的辅助工具、辅助设备、仿真系统或仿真工具应通过符合性检查，确认符合设计要求。常用的辅助工具应符合下列要求：</w:t>
      </w:r>
    </w:p>
    <w:p>
      <w:pPr>
        <w:pStyle w:val="113"/>
        <w:numPr>
          <w:ilvl w:val="1"/>
          <w:numId w:val="36"/>
        </w:numPr>
        <w:rPr>
          <w:color w:val="auto"/>
        </w:rPr>
      </w:pPr>
      <w:r>
        <w:rPr>
          <w:rFonts w:hint="eastAsia"/>
          <w:color w:val="auto"/>
        </w:rPr>
        <w:t>仿真系统或仿真工具应能与真实AFC设备按设计要求的接口进行数据交互，应对受检设备或受检系统的接口数据（如报文、参数等）传输的数据内容作出有效判断和校验，应能配合读写器制作满足各类测试场景需要的票卡；</w:t>
      </w:r>
    </w:p>
    <w:p>
      <w:pPr>
        <w:pStyle w:val="113"/>
        <w:rPr>
          <w:color w:val="auto"/>
        </w:rPr>
      </w:pPr>
      <w:r>
        <w:rPr>
          <w:rFonts w:hint="eastAsia"/>
          <w:color w:val="auto"/>
        </w:rPr>
        <w:t>性能检测辅助工具应能模拟多节点、大数据量的并发环境，记录受检设备或受检系统的性能指标。</w:t>
      </w:r>
    </w:p>
    <w:p>
      <w:pPr>
        <w:pStyle w:val="178"/>
        <w:rPr>
          <w:color w:val="auto"/>
        </w:rPr>
      </w:pPr>
      <w:r>
        <w:rPr>
          <w:rFonts w:hint="eastAsia"/>
          <w:color w:val="auto"/>
        </w:rPr>
        <w:t>联机检测应在终端检测和系统检测通过后进行。</w:t>
      </w:r>
    </w:p>
    <w:p>
      <w:pPr>
        <w:pStyle w:val="109"/>
        <w:spacing w:before="156" w:after="156"/>
        <w:rPr>
          <w:color w:val="auto"/>
        </w:rPr>
      </w:pPr>
      <w:bookmarkStart w:id="81" w:name="_Toc203209003"/>
      <w:bookmarkStart w:id="82" w:name="_Toc7121"/>
      <w:r>
        <w:rPr>
          <w:rFonts w:hint="eastAsia"/>
          <w:color w:val="auto"/>
        </w:rPr>
        <w:t>检测分类</w:t>
      </w:r>
      <w:bookmarkEnd w:id="81"/>
      <w:bookmarkEnd w:id="82"/>
    </w:p>
    <w:p>
      <w:pPr>
        <w:pStyle w:val="178"/>
        <w:numPr>
          <w:ilvl w:val="0"/>
          <w:numId w:val="0"/>
        </w:numPr>
        <w:ind w:left="425"/>
        <w:rPr>
          <w:color w:val="auto"/>
        </w:rPr>
      </w:pPr>
      <w:r>
        <w:rPr>
          <w:rFonts w:hint="eastAsia"/>
          <w:color w:val="auto"/>
        </w:rPr>
        <w:t>检测阶段应分为入围检测、样机检测、扩大范围检测和接入检测，各阶段检测项目按表 1的规定。</w:t>
      </w:r>
    </w:p>
    <w:p>
      <w:pPr>
        <w:pStyle w:val="116"/>
        <w:spacing w:before="156" w:after="156"/>
        <w:rPr>
          <w:color w:val="auto"/>
        </w:rPr>
      </w:pPr>
      <w:r>
        <w:rPr>
          <w:rFonts w:hint="eastAsia"/>
          <w:color w:val="auto"/>
        </w:rPr>
        <w:t>各检测阶段检测内容列表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restart"/>
            <w:tcBorders>
              <w:top w:val="single" w:color="auto" w:sz="8" w:space="0"/>
              <w:left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检测类别</w:t>
            </w:r>
          </w:p>
        </w:tc>
        <w:tc>
          <w:tcPr>
            <w:tcW w:w="1333" w:type="dxa"/>
            <w:vMerge w:val="restart"/>
            <w:tcBorders>
              <w:top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检测对象</w:t>
            </w:r>
          </w:p>
        </w:tc>
        <w:tc>
          <w:tcPr>
            <w:tcW w:w="1333" w:type="dxa"/>
            <w:vMerge w:val="restart"/>
            <w:tcBorders>
              <w:top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检测项目</w:t>
            </w:r>
          </w:p>
        </w:tc>
        <w:tc>
          <w:tcPr>
            <w:tcW w:w="5336" w:type="dxa"/>
            <w:gridSpan w:val="4"/>
            <w:tcBorders>
              <w:top w:val="single" w:color="auto" w:sz="8" w:space="0"/>
              <w:bottom w:val="single" w:color="auto" w:sz="4" w:space="0"/>
              <w:right w:val="single" w:color="auto" w:sz="8" w:space="0"/>
            </w:tcBorders>
            <w:shd w:val="clear" w:color="auto" w:fill="auto"/>
            <w:vAlign w:val="center"/>
          </w:tcPr>
          <w:p>
            <w:pPr>
              <w:pStyle w:val="182"/>
              <w:rPr>
                <w:color w:val="auto"/>
              </w:rPr>
            </w:pPr>
            <w:r>
              <w:rPr>
                <w:rFonts w:hint="eastAsia"/>
                <w:color w:val="auto"/>
              </w:rPr>
              <w:t>检测阶段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tcBorders>
              <w:top w:val="single" w:color="auto" w:sz="4" w:space="0"/>
              <w:left w:val="single" w:color="auto" w:sz="8" w:space="0"/>
              <w:bottom w:val="single" w:color="auto" w:sz="8" w:space="0"/>
            </w:tcBorders>
            <w:shd w:val="clear" w:color="auto" w:fill="auto"/>
            <w:vAlign w:val="center"/>
          </w:tcPr>
          <w:p>
            <w:pPr>
              <w:pStyle w:val="182"/>
              <w:rPr>
                <w:color w:val="auto"/>
              </w:rPr>
            </w:pPr>
          </w:p>
        </w:tc>
        <w:tc>
          <w:tcPr>
            <w:tcW w:w="1333" w:type="dxa"/>
            <w:vMerge w:val="continue"/>
            <w:tcBorders>
              <w:top w:val="single" w:color="auto" w:sz="4" w:space="0"/>
              <w:bottom w:val="single" w:color="auto" w:sz="8" w:space="0"/>
            </w:tcBorders>
            <w:shd w:val="clear" w:color="auto" w:fill="auto"/>
            <w:vAlign w:val="center"/>
          </w:tcPr>
          <w:p>
            <w:pPr>
              <w:pStyle w:val="182"/>
              <w:rPr>
                <w:color w:val="auto"/>
              </w:rPr>
            </w:pPr>
          </w:p>
        </w:tc>
        <w:tc>
          <w:tcPr>
            <w:tcW w:w="1333" w:type="dxa"/>
            <w:vMerge w:val="continue"/>
            <w:tcBorders>
              <w:top w:val="single" w:color="auto" w:sz="4" w:space="0"/>
              <w:bottom w:val="single" w:color="auto" w:sz="8" w:space="0"/>
            </w:tcBorders>
            <w:shd w:val="clear" w:color="auto" w:fill="auto"/>
            <w:vAlign w:val="center"/>
          </w:tcPr>
          <w:p>
            <w:pPr>
              <w:pStyle w:val="182"/>
              <w:rPr>
                <w:color w:val="auto"/>
              </w:rPr>
            </w:pP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入围检测</w:t>
            </w: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样机检测</w:t>
            </w: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扩大范围检测</w:t>
            </w:r>
          </w:p>
        </w:tc>
        <w:tc>
          <w:tcPr>
            <w:tcW w:w="1334" w:type="dxa"/>
            <w:tcBorders>
              <w:top w:val="single" w:color="auto" w:sz="4" w:space="0"/>
              <w:bottom w:val="single" w:color="auto" w:sz="8" w:space="0"/>
              <w:right w:val="single" w:color="auto" w:sz="8" w:space="0"/>
            </w:tcBorders>
            <w:shd w:val="clear" w:color="auto" w:fill="auto"/>
          </w:tcPr>
          <w:p>
            <w:pPr>
              <w:pStyle w:val="182"/>
              <w:rPr>
                <w:color w:val="auto"/>
              </w:rPr>
            </w:pPr>
            <w:r>
              <w:rPr>
                <w:rFonts w:hint="eastAsia" w:hAnsi="宋体"/>
                <w:color w:val="auto"/>
                <w:szCs w:val="18"/>
              </w:rPr>
              <w:t>接入检测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tcBorders>
              <w:top w:val="single" w:color="auto" w:sz="8" w:space="0"/>
            </w:tcBorders>
            <w:shd w:val="clear" w:color="auto" w:fill="auto"/>
            <w:vAlign w:val="center"/>
          </w:tcPr>
          <w:p>
            <w:pPr>
              <w:pStyle w:val="182"/>
              <w:rPr>
                <w:color w:val="auto"/>
              </w:rPr>
            </w:pPr>
            <w:r>
              <w:rPr>
                <w:rFonts w:hint="eastAsia"/>
                <w:color w:val="auto"/>
              </w:rPr>
              <w:t>模块检测</w:t>
            </w:r>
          </w:p>
        </w:tc>
        <w:tc>
          <w:tcPr>
            <w:tcW w:w="1333" w:type="dxa"/>
            <w:vMerge w:val="restart"/>
            <w:tcBorders>
              <w:top w:val="single" w:color="auto" w:sz="8" w:space="0"/>
            </w:tcBorders>
            <w:shd w:val="clear" w:color="auto" w:fill="auto"/>
            <w:vAlign w:val="center"/>
          </w:tcPr>
          <w:p>
            <w:pPr>
              <w:pStyle w:val="182"/>
              <w:rPr>
                <w:color w:val="auto"/>
              </w:rPr>
            </w:pPr>
            <w:r>
              <w:rPr>
                <w:rFonts w:hint="eastAsia" w:hAnsi="宋体"/>
                <w:color w:val="auto"/>
                <w:szCs w:val="18"/>
              </w:rPr>
              <w:t>通用</w:t>
            </w:r>
          </w:p>
        </w:tc>
        <w:tc>
          <w:tcPr>
            <w:tcW w:w="1333" w:type="dxa"/>
            <w:tcBorders>
              <w:top w:val="single" w:color="auto" w:sz="8" w:space="0"/>
            </w:tcBorders>
            <w:shd w:val="clear" w:color="auto" w:fill="auto"/>
            <w:vAlign w:val="center"/>
          </w:tcPr>
          <w:p>
            <w:pPr>
              <w:pStyle w:val="182"/>
              <w:rPr>
                <w:color w:val="auto"/>
              </w:rPr>
            </w:pPr>
            <w:r>
              <w:rPr>
                <w:rFonts w:hint="eastAsia" w:hAnsi="宋体"/>
                <w:color w:val="auto"/>
                <w:szCs w:val="18"/>
              </w:rPr>
              <w:t>数据接口</w:t>
            </w:r>
          </w:p>
        </w:tc>
        <w:tc>
          <w:tcPr>
            <w:tcW w:w="1334" w:type="dxa"/>
            <w:tcBorders>
              <w:top w:val="single" w:color="auto" w:sz="8"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1334" w:type="dxa"/>
            <w:tcBorders>
              <w:top w:val="single" w:color="auto" w:sz="8"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8" w:space="0"/>
            </w:tcBorders>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外观与结构</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装配</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电磁兼容</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tcPr>
          <w:p>
            <w:pPr>
              <w:pStyle w:val="182"/>
              <w:rPr>
                <w:color w:val="auto"/>
              </w:rPr>
            </w:pPr>
          </w:p>
        </w:tc>
        <w:tc>
          <w:tcPr>
            <w:tcW w:w="1333" w:type="dxa"/>
            <w:shd w:val="clear" w:color="auto" w:fill="auto"/>
          </w:tcPr>
          <w:p>
            <w:pPr>
              <w:pStyle w:val="182"/>
              <w:rPr>
                <w:color w:val="auto"/>
              </w:rPr>
            </w:pPr>
            <w:r>
              <w:rPr>
                <w:rFonts w:hint="eastAsia" w:hAnsi="宋体"/>
                <w:color w:val="auto"/>
                <w:szCs w:val="18"/>
              </w:rPr>
              <w:t>环境</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tcPr>
          <w:p>
            <w:pPr>
              <w:pStyle w:val="182"/>
              <w:rPr>
                <w:color w:val="auto"/>
              </w:rPr>
            </w:pPr>
          </w:p>
        </w:tc>
        <w:tc>
          <w:tcPr>
            <w:tcW w:w="1333" w:type="dxa"/>
            <w:shd w:val="clear" w:color="auto" w:fill="auto"/>
          </w:tcPr>
          <w:p>
            <w:pPr>
              <w:pStyle w:val="182"/>
              <w:rPr>
                <w:color w:val="auto"/>
              </w:rPr>
            </w:pPr>
            <w:r>
              <w:rPr>
                <w:rFonts w:hint="eastAsia" w:hAnsi="宋体"/>
                <w:color w:val="auto"/>
                <w:szCs w:val="18"/>
              </w:rPr>
              <w:t>可靠性</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tcPr>
          <w:p>
            <w:pPr>
              <w:pStyle w:val="182"/>
              <w:rPr>
                <w:color w:val="auto"/>
              </w:rPr>
            </w:pPr>
          </w:p>
        </w:tc>
        <w:tc>
          <w:tcPr>
            <w:tcW w:w="1333" w:type="dxa"/>
            <w:shd w:val="clear" w:color="auto" w:fill="auto"/>
          </w:tcPr>
          <w:p>
            <w:pPr>
              <w:pStyle w:val="182"/>
              <w:rPr>
                <w:color w:val="auto"/>
              </w:rPr>
            </w:pPr>
            <w:r>
              <w:rPr>
                <w:rFonts w:hint="eastAsia" w:hAnsi="宋体"/>
                <w:color w:val="auto"/>
                <w:szCs w:val="18"/>
              </w:rPr>
              <w:t>安全</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票箱</w:t>
            </w:r>
          </w:p>
        </w:tc>
        <w:tc>
          <w:tcPr>
            <w:tcW w:w="1333" w:type="dxa"/>
            <w:shd w:val="clear" w:color="auto" w:fill="auto"/>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车票处理单元</w:t>
            </w:r>
          </w:p>
        </w:tc>
        <w:tc>
          <w:tcPr>
            <w:tcW w:w="1333" w:type="dxa"/>
            <w:shd w:val="clear" w:color="auto" w:fill="auto"/>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硬币处理模块</w:t>
            </w:r>
          </w:p>
        </w:tc>
        <w:tc>
          <w:tcPr>
            <w:tcW w:w="1333" w:type="dxa"/>
            <w:shd w:val="clear" w:color="auto" w:fill="auto"/>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纸币接收模块</w:t>
            </w:r>
          </w:p>
        </w:tc>
        <w:tc>
          <w:tcPr>
            <w:tcW w:w="1333" w:type="dxa"/>
            <w:shd w:val="clear" w:color="auto" w:fill="auto"/>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纸币找零模块</w:t>
            </w:r>
          </w:p>
        </w:tc>
        <w:tc>
          <w:tcPr>
            <w:tcW w:w="1333" w:type="dxa"/>
            <w:shd w:val="clear" w:color="auto" w:fill="auto"/>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车票发售模块</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车票回收模块</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闸门及通行控制装置</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二维码模块</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电源模块</w:t>
            </w:r>
          </w:p>
        </w:tc>
        <w:tc>
          <w:tcPr>
            <w:tcW w:w="1333" w:type="dxa"/>
            <w:shd w:val="clear" w:color="auto" w:fill="auto"/>
            <w:vAlign w:val="center"/>
          </w:tcPr>
          <w:p>
            <w:pPr>
              <w:pStyle w:val="182"/>
              <w:rPr>
                <w:color w:val="auto"/>
              </w:rPr>
            </w:pPr>
            <w:r>
              <w:rPr>
                <w:rFonts w:hint="eastAsia" w:hAnsi="宋体"/>
                <w:color w:val="auto"/>
                <w:szCs w:val="18"/>
              </w:rPr>
              <w:t>安全</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主控单元</w:t>
            </w:r>
          </w:p>
        </w:tc>
        <w:tc>
          <w:tcPr>
            <w:tcW w:w="1333" w:type="dxa"/>
            <w:shd w:val="clear" w:color="auto" w:fill="auto"/>
            <w:vAlign w:val="center"/>
          </w:tcPr>
          <w:p>
            <w:pPr>
              <w:pStyle w:val="182"/>
              <w:rPr>
                <w:color w:val="auto"/>
              </w:rPr>
            </w:pPr>
            <w:r>
              <w:rPr>
                <w:rFonts w:hint="eastAsia" w:hAnsi="宋体"/>
                <w:color w:val="auto"/>
                <w:szCs w:val="18"/>
              </w:rPr>
              <w:t>安全</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82"/>
              <w:rPr>
                <w:color w:val="auto"/>
              </w:rPr>
            </w:pPr>
            <w:r>
              <w:rPr>
                <w:rFonts w:hint="eastAsia"/>
                <w:color w:val="auto"/>
              </w:rPr>
              <w:t>终端检测</w:t>
            </w:r>
          </w:p>
        </w:tc>
        <w:tc>
          <w:tcPr>
            <w:tcW w:w="1333" w:type="dxa"/>
            <w:vMerge w:val="restart"/>
            <w:shd w:val="clear" w:color="auto" w:fill="auto"/>
            <w:vAlign w:val="center"/>
          </w:tcPr>
          <w:p>
            <w:pPr>
              <w:pStyle w:val="182"/>
              <w:rPr>
                <w:color w:val="auto"/>
              </w:rPr>
            </w:pPr>
            <w:r>
              <w:rPr>
                <w:rFonts w:hint="eastAsia" w:hAnsi="宋体"/>
                <w:color w:val="auto"/>
                <w:szCs w:val="18"/>
              </w:rPr>
              <w:t>通用</w:t>
            </w:r>
          </w:p>
        </w:tc>
        <w:tc>
          <w:tcPr>
            <w:tcW w:w="1333" w:type="dxa"/>
            <w:shd w:val="clear" w:color="auto" w:fill="auto"/>
            <w:vAlign w:val="center"/>
          </w:tcPr>
          <w:p>
            <w:pPr>
              <w:pStyle w:val="182"/>
              <w:rPr>
                <w:color w:val="auto"/>
              </w:rPr>
            </w:pPr>
            <w:r>
              <w:rPr>
                <w:rFonts w:hint="eastAsia" w:hAnsi="宋体"/>
                <w:color w:val="auto"/>
                <w:szCs w:val="18"/>
              </w:rPr>
              <w:t>数据接口</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tcBorders>
              <w:bottom w:val="single" w:color="auto" w:sz="4" w:space="0"/>
            </w:tcBorders>
            <w:shd w:val="clear" w:color="auto" w:fill="auto"/>
            <w:vAlign w:val="center"/>
          </w:tcPr>
          <w:p>
            <w:pPr>
              <w:pStyle w:val="182"/>
              <w:rPr>
                <w:color w:val="auto"/>
              </w:rPr>
            </w:pPr>
          </w:p>
        </w:tc>
        <w:tc>
          <w:tcPr>
            <w:tcW w:w="1333" w:type="dxa"/>
            <w:vMerge w:val="continue"/>
            <w:tcBorders>
              <w:bottom w:val="single" w:color="auto" w:sz="4" w:space="0"/>
            </w:tcBorders>
            <w:shd w:val="clear" w:color="auto" w:fill="auto"/>
            <w:vAlign w:val="center"/>
          </w:tcPr>
          <w:p>
            <w:pPr>
              <w:pStyle w:val="182"/>
              <w:rPr>
                <w:color w:val="auto"/>
              </w:rPr>
            </w:pPr>
          </w:p>
        </w:tc>
        <w:tc>
          <w:tcPr>
            <w:tcW w:w="1333" w:type="dxa"/>
            <w:tcBorders>
              <w:bottom w:val="single" w:color="auto" w:sz="4" w:space="0"/>
            </w:tcBorders>
            <w:shd w:val="clear" w:color="auto" w:fill="auto"/>
            <w:vAlign w:val="center"/>
          </w:tcPr>
          <w:p>
            <w:pPr>
              <w:pStyle w:val="182"/>
              <w:rPr>
                <w:color w:val="auto"/>
              </w:rPr>
            </w:pPr>
            <w:r>
              <w:rPr>
                <w:rFonts w:hint="eastAsia" w:hAnsi="宋体"/>
                <w:color w:val="auto"/>
                <w:szCs w:val="18"/>
              </w:rPr>
              <w:t>外观与结构</w:t>
            </w:r>
          </w:p>
        </w:tc>
        <w:tc>
          <w:tcPr>
            <w:tcW w:w="1334" w:type="dxa"/>
            <w:tcBorders>
              <w:bottom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4" w:space="0"/>
            </w:tcBorders>
            <w:shd w:val="clear" w:color="auto" w:fill="auto"/>
            <w:vAlign w:val="center"/>
          </w:tcPr>
          <w:p>
            <w:pPr>
              <w:pStyle w:val="182"/>
              <w:rPr>
                <w:color w:val="auto"/>
              </w:rPr>
            </w:pPr>
            <w:r>
              <w:rPr>
                <w:rFonts w:hint="eastAsia"/>
                <w:color w:val="auto"/>
                <w:szCs w:val="18"/>
              </w:rPr>
              <w:t>—</w:t>
            </w: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表1  各检测阶段检测内容列表</w:t>
      </w:r>
      <w:r>
        <w:rPr>
          <w:rFonts w:hint="eastAsia" w:hAnsi="宋体"/>
          <w:color w:val="auto"/>
        </w:rPr>
        <w:t>（续）</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334"/>
        <w:gridCol w:w="1334"/>
        <w:gridCol w:w="1334"/>
        <w:tblGridChange w:id="0">
          <w:tblGrid>
            <w:gridCol w:w="10"/>
            <w:gridCol w:w="1322"/>
            <w:gridCol w:w="10"/>
            <w:gridCol w:w="1323"/>
            <w:gridCol w:w="10"/>
            <w:gridCol w:w="1323"/>
            <w:gridCol w:w="10"/>
            <w:gridCol w:w="1324"/>
            <w:gridCol w:w="1334"/>
            <w:gridCol w:w="1334"/>
            <w:gridCol w:w="1334"/>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restart"/>
            <w:tcBorders>
              <w:top w:val="single" w:color="auto" w:sz="8" w:space="0"/>
              <w:left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检测类别</w:t>
            </w:r>
          </w:p>
        </w:tc>
        <w:tc>
          <w:tcPr>
            <w:tcW w:w="1333" w:type="dxa"/>
            <w:vMerge w:val="restart"/>
            <w:tcBorders>
              <w:top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检测对象</w:t>
            </w:r>
          </w:p>
        </w:tc>
        <w:tc>
          <w:tcPr>
            <w:tcW w:w="1333" w:type="dxa"/>
            <w:vMerge w:val="restart"/>
            <w:tcBorders>
              <w:top w:val="single" w:color="auto" w:sz="8" w:space="0"/>
              <w:bottom w:val="single" w:color="auto" w:sz="4" w:space="0"/>
            </w:tcBorders>
            <w:shd w:val="clear" w:color="auto" w:fill="auto"/>
            <w:vAlign w:val="center"/>
          </w:tcPr>
          <w:p>
            <w:pPr>
              <w:pStyle w:val="182"/>
              <w:rPr>
                <w:color w:val="auto"/>
              </w:rPr>
            </w:pPr>
            <w:r>
              <w:rPr>
                <w:rFonts w:hint="eastAsia" w:hAnsi="宋体"/>
                <w:color w:val="auto"/>
                <w:szCs w:val="18"/>
              </w:rPr>
              <w:t>检测项目</w:t>
            </w:r>
          </w:p>
        </w:tc>
        <w:tc>
          <w:tcPr>
            <w:tcW w:w="5336" w:type="dxa"/>
            <w:gridSpan w:val="4"/>
            <w:tcBorders>
              <w:top w:val="single" w:color="auto" w:sz="8" w:space="0"/>
              <w:bottom w:val="single" w:color="auto" w:sz="4" w:space="0"/>
              <w:right w:val="single" w:color="auto" w:sz="8" w:space="0"/>
            </w:tcBorders>
            <w:shd w:val="clear" w:color="auto" w:fill="auto"/>
            <w:vAlign w:val="center"/>
          </w:tcPr>
          <w:p>
            <w:pPr>
              <w:pStyle w:val="182"/>
              <w:rPr>
                <w:color w:val="auto"/>
              </w:rPr>
            </w:pPr>
            <w:r>
              <w:rPr>
                <w:rFonts w:hint="eastAsia"/>
                <w:color w:val="auto"/>
              </w:rPr>
              <w:t>检测阶段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tcBorders>
              <w:top w:val="single" w:color="auto" w:sz="4" w:space="0"/>
              <w:left w:val="single" w:color="auto" w:sz="8" w:space="0"/>
              <w:bottom w:val="single" w:color="auto" w:sz="8" w:space="0"/>
            </w:tcBorders>
            <w:shd w:val="clear" w:color="auto" w:fill="auto"/>
            <w:vAlign w:val="center"/>
          </w:tcPr>
          <w:p>
            <w:pPr>
              <w:pStyle w:val="182"/>
              <w:rPr>
                <w:color w:val="auto"/>
              </w:rPr>
            </w:pPr>
          </w:p>
        </w:tc>
        <w:tc>
          <w:tcPr>
            <w:tcW w:w="1333" w:type="dxa"/>
            <w:vMerge w:val="continue"/>
            <w:tcBorders>
              <w:top w:val="single" w:color="auto" w:sz="4" w:space="0"/>
              <w:bottom w:val="single" w:color="auto" w:sz="8" w:space="0"/>
            </w:tcBorders>
            <w:shd w:val="clear" w:color="auto" w:fill="auto"/>
            <w:vAlign w:val="center"/>
          </w:tcPr>
          <w:p>
            <w:pPr>
              <w:pStyle w:val="182"/>
              <w:rPr>
                <w:color w:val="auto"/>
              </w:rPr>
            </w:pPr>
          </w:p>
        </w:tc>
        <w:tc>
          <w:tcPr>
            <w:tcW w:w="1333" w:type="dxa"/>
            <w:vMerge w:val="continue"/>
            <w:tcBorders>
              <w:top w:val="single" w:color="auto" w:sz="4" w:space="0"/>
              <w:bottom w:val="single" w:color="auto" w:sz="8" w:space="0"/>
            </w:tcBorders>
            <w:shd w:val="clear" w:color="auto" w:fill="auto"/>
            <w:vAlign w:val="center"/>
          </w:tcPr>
          <w:p>
            <w:pPr>
              <w:pStyle w:val="182"/>
              <w:rPr>
                <w:color w:val="auto"/>
              </w:rPr>
            </w:pP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入围检测</w:t>
            </w: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样机检测</w:t>
            </w:r>
          </w:p>
        </w:tc>
        <w:tc>
          <w:tcPr>
            <w:tcW w:w="1334"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扩大范围检测</w:t>
            </w:r>
          </w:p>
        </w:tc>
        <w:tc>
          <w:tcPr>
            <w:tcW w:w="1334" w:type="dxa"/>
            <w:tcBorders>
              <w:top w:val="single" w:color="auto" w:sz="4" w:space="0"/>
              <w:bottom w:val="single" w:color="auto" w:sz="8" w:space="0"/>
              <w:right w:val="single" w:color="auto" w:sz="8" w:space="0"/>
            </w:tcBorders>
            <w:shd w:val="clear" w:color="auto" w:fill="auto"/>
          </w:tcPr>
          <w:p>
            <w:pPr>
              <w:pStyle w:val="182"/>
              <w:rPr>
                <w:color w:val="auto"/>
              </w:rPr>
            </w:pPr>
            <w:r>
              <w:rPr>
                <w:rFonts w:hint="eastAsia" w:hAnsi="宋体"/>
                <w:color w:val="auto"/>
                <w:szCs w:val="18"/>
              </w:rPr>
              <w:t>接入检测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tcBorders>
              <w:top w:val="single" w:color="auto" w:sz="4" w:space="0"/>
            </w:tcBorders>
            <w:shd w:val="clear" w:color="auto" w:fill="auto"/>
            <w:vAlign w:val="center"/>
          </w:tcPr>
          <w:p>
            <w:pPr>
              <w:pStyle w:val="182"/>
              <w:rPr>
                <w:color w:val="auto"/>
              </w:rPr>
            </w:pPr>
            <w:r>
              <w:rPr>
                <w:rFonts w:hint="eastAsia"/>
                <w:color w:val="auto"/>
              </w:rPr>
              <w:t>终端检测</w:t>
            </w:r>
          </w:p>
        </w:tc>
        <w:tc>
          <w:tcPr>
            <w:tcW w:w="1333" w:type="dxa"/>
            <w:vMerge w:val="restart"/>
            <w:tcBorders>
              <w:top w:val="single" w:color="auto" w:sz="4" w:space="0"/>
            </w:tcBorders>
            <w:shd w:val="clear" w:color="auto" w:fill="auto"/>
            <w:vAlign w:val="center"/>
          </w:tcPr>
          <w:p>
            <w:pPr>
              <w:pStyle w:val="182"/>
              <w:rPr>
                <w:color w:val="auto"/>
              </w:rPr>
            </w:pPr>
            <w:r>
              <w:rPr>
                <w:rFonts w:hint="eastAsia"/>
                <w:color w:val="auto"/>
              </w:rPr>
              <w:t>通用</w:t>
            </w:r>
          </w:p>
        </w:tc>
        <w:tc>
          <w:tcPr>
            <w:tcW w:w="1333" w:type="dxa"/>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装配</w:t>
            </w:r>
          </w:p>
        </w:tc>
        <w:tc>
          <w:tcPr>
            <w:tcW w:w="1334" w:type="dxa"/>
            <w:tcBorders>
              <w:top w:val="single" w:color="auto" w:sz="4" w:space="0"/>
              <w:bottom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1334" w:type="dxa"/>
            <w:tcBorders>
              <w:top w:val="single" w:color="auto" w:sz="4" w:space="0"/>
              <w:bottom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4" w:space="0"/>
              <w:bottom w:val="single" w:color="auto" w:sz="4" w:space="0"/>
            </w:tcBorders>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tcBorders>
              <w:top w:val="single" w:color="auto" w:sz="4" w:space="0"/>
            </w:tcBorders>
            <w:shd w:val="clear" w:color="auto" w:fill="auto"/>
            <w:vAlign w:val="center"/>
          </w:tcPr>
          <w:p>
            <w:pPr>
              <w:pStyle w:val="182"/>
              <w:rPr>
                <w:color w:val="auto"/>
              </w:rPr>
            </w:pPr>
            <w:r>
              <w:rPr>
                <w:rFonts w:hint="eastAsia" w:hAnsi="宋体"/>
                <w:color w:val="auto"/>
                <w:szCs w:val="18"/>
              </w:rPr>
              <w:t>硬件一致性</w:t>
            </w:r>
          </w:p>
        </w:tc>
        <w:tc>
          <w:tcPr>
            <w:tcW w:w="1334" w:type="dxa"/>
            <w:tcBorders>
              <w:top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4" w:space="0"/>
            </w:tcBorders>
            <w:shd w:val="clear" w:color="auto" w:fill="auto"/>
            <w:vAlign w:val="center"/>
          </w:tcPr>
          <w:p>
            <w:pPr>
              <w:pStyle w:val="182"/>
              <w:rPr>
                <w:color w:val="auto"/>
              </w:rPr>
            </w:pPr>
            <w:r>
              <w:rPr>
                <w:rFonts w:hint="eastAsia"/>
                <w:color w:val="auto"/>
                <w:szCs w:val="18"/>
              </w:rPr>
              <w:t>●</w:t>
            </w:r>
          </w:p>
        </w:tc>
        <w:tc>
          <w:tcPr>
            <w:tcW w:w="1334" w:type="dxa"/>
            <w:tcBorders>
              <w:top w:val="single" w:color="auto" w:sz="4" w:space="0"/>
            </w:tcBorders>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电磁兼容</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环境</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可靠性</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安全</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自动检票机</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半自动售票机</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自动售票机</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互联网自动售票机</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自助补票机</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hAnsi="宋体"/>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rFonts w:hint="default" w:eastAsia="宋体"/>
                <w:color w:val="auto"/>
                <w:lang w:val="en-US" w:eastAsia="zh-CN"/>
              </w:rPr>
            </w:pPr>
            <w:r>
              <w:rPr>
                <w:rFonts w:hint="eastAsia"/>
                <w:color w:val="auto"/>
                <w:lang w:val="en-US" w:eastAsia="zh-CN"/>
              </w:rPr>
              <w:t>便携式式检票机</w:t>
            </w:r>
          </w:p>
        </w:tc>
        <w:tc>
          <w:tcPr>
            <w:tcW w:w="1333" w:type="dxa"/>
            <w:shd w:val="clear" w:color="auto" w:fill="auto"/>
            <w:vAlign w:val="center"/>
          </w:tcPr>
          <w:p>
            <w:pPr>
              <w:pStyle w:val="182"/>
              <w:rPr>
                <w:rFonts w:hint="eastAsia" w:hAnsi="宋体" w:eastAsia="宋体"/>
                <w:color w:val="auto"/>
                <w:szCs w:val="18"/>
                <w:lang w:val="en-US" w:eastAsia="zh-CN"/>
              </w:rPr>
            </w:pPr>
            <w:r>
              <w:rPr>
                <w:rFonts w:hint="eastAsia" w:hAnsi="宋体"/>
                <w:color w:val="auto"/>
                <w:szCs w:val="18"/>
                <w:lang w:val="en-US" w:eastAsia="zh-CN"/>
              </w:rPr>
              <w:t>功能</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rFonts w:hint="eastAsia" w:hAnsi="宋体" w:eastAsia="宋体"/>
                <w:color w:val="auto"/>
                <w:szCs w:val="18"/>
                <w:lang w:val="en-US" w:eastAsia="zh-CN"/>
              </w:rPr>
            </w:pPr>
            <w:r>
              <w:rPr>
                <w:rFonts w:hint="eastAsia" w:hAnsi="宋体"/>
                <w:color w:val="auto"/>
                <w:szCs w:val="18"/>
                <w:lang w:val="en-US" w:eastAsia="zh-CN"/>
              </w:rPr>
              <w:t>性能</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hAnsi="宋体"/>
                <w:color w:val="auto"/>
                <w:szCs w:val="18"/>
              </w:rPr>
              <w:t>○</w:t>
            </w:r>
          </w:p>
        </w:tc>
        <w:tc>
          <w:tcPr>
            <w:tcW w:w="1334" w:type="dxa"/>
            <w:shd w:val="clear" w:color="auto" w:fill="auto"/>
            <w:vAlign w:val="center"/>
          </w:tcPr>
          <w:p>
            <w:pPr>
              <w:pStyle w:val="182"/>
              <w:ind w:firstLine="0" w:firstLineChars="0"/>
              <w:rPr>
                <w:rFonts w:hint="eastAsia" w:ascii="宋体" w:hAnsi="Times New Roman" w:eastAsia="宋体" w:cs="Times New Roman"/>
                <w:color w:val="auto"/>
                <w:sz w:val="18"/>
                <w:lang w:val="en-US" w:eastAsia="zh-CN" w:bidi="ar-SA"/>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82"/>
              <w:rPr>
                <w:color w:val="auto"/>
              </w:rPr>
            </w:pPr>
            <w:r>
              <w:rPr>
                <w:rFonts w:hint="eastAsia"/>
                <w:color w:val="auto"/>
              </w:rPr>
              <w:t>中心系统软件检测</w:t>
            </w:r>
          </w:p>
        </w:tc>
        <w:tc>
          <w:tcPr>
            <w:tcW w:w="1333" w:type="dxa"/>
            <w:vMerge w:val="restart"/>
            <w:shd w:val="clear" w:color="auto" w:fill="auto"/>
            <w:vAlign w:val="center"/>
          </w:tcPr>
          <w:p>
            <w:pPr>
              <w:pStyle w:val="182"/>
              <w:rPr>
                <w:color w:val="auto"/>
              </w:rPr>
            </w:pPr>
            <w:r>
              <w:rPr>
                <w:rFonts w:hint="eastAsia" w:hAnsi="宋体"/>
                <w:color w:val="auto"/>
                <w:szCs w:val="18"/>
              </w:rPr>
              <w:t>中心系统</w:t>
            </w:r>
            <w:r>
              <w:rPr>
                <w:rFonts w:hint="eastAsia" w:hAnsi="宋体"/>
                <w:color w:val="auto"/>
                <w:szCs w:val="18"/>
                <w:lang w:val="en-US" w:eastAsia="zh-CN"/>
              </w:rPr>
              <w:t>计算机系统</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82"/>
              <w:rPr>
                <w:color w:val="auto"/>
              </w:rPr>
            </w:pPr>
            <w:r>
              <w:rPr>
                <w:rFonts w:hint="eastAsia"/>
                <w:color w:val="auto"/>
              </w:rPr>
              <w:t>接入联网检测</w:t>
            </w:r>
          </w:p>
        </w:tc>
        <w:tc>
          <w:tcPr>
            <w:tcW w:w="1333" w:type="dxa"/>
            <w:vMerge w:val="restart"/>
            <w:shd w:val="clear" w:color="auto" w:fill="auto"/>
            <w:vAlign w:val="center"/>
          </w:tcPr>
          <w:p>
            <w:pPr>
              <w:pStyle w:val="182"/>
              <w:rPr>
                <w:color w:val="auto"/>
              </w:rPr>
            </w:pPr>
            <w:r>
              <w:rPr>
                <w:rFonts w:hint="eastAsia" w:hAnsi="宋体"/>
                <w:color w:val="auto"/>
                <w:szCs w:val="18"/>
              </w:rPr>
              <w:t>终端与中心系统</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restart"/>
            <w:shd w:val="clear" w:color="auto" w:fill="auto"/>
            <w:vAlign w:val="center"/>
          </w:tcPr>
          <w:p>
            <w:pPr>
              <w:pStyle w:val="182"/>
              <w:rPr>
                <w:color w:val="auto"/>
              </w:rPr>
            </w:pPr>
            <w:r>
              <w:rPr>
                <w:rFonts w:hint="eastAsia" w:hAnsi="宋体"/>
                <w:color w:val="auto"/>
                <w:szCs w:val="18"/>
              </w:rPr>
              <w:t>线路联网检测</w:t>
            </w:r>
          </w:p>
        </w:tc>
        <w:tc>
          <w:tcPr>
            <w:tcW w:w="1333" w:type="dxa"/>
            <w:shd w:val="clear" w:color="auto" w:fill="auto"/>
            <w:vAlign w:val="center"/>
          </w:tcPr>
          <w:p>
            <w:pPr>
              <w:pStyle w:val="182"/>
              <w:rPr>
                <w:color w:val="auto"/>
              </w:rPr>
            </w:pPr>
            <w:r>
              <w:rPr>
                <w:rFonts w:hint="eastAsia" w:hAnsi="宋体"/>
                <w:color w:val="auto"/>
                <w:szCs w:val="18"/>
              </w:rPr>
              <w:t>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性能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82"/>
              <w:rPr>
                <w:color w:val="auto"/>
              </w:rPr>
            </w:pPr>
            <w:r>
              <w:rPr>
                <w:rFonts w:hint="eastAsia"/>
                <w:color w:val="auto"/>
              </w:rPr>
              <w:t>互联互通检测</w:t>
            </w:r>
          </w:p>
        </w:tc>
        <w:tc>
          <w:tcPr>
            <w:tcW w:w="1333" w:type="dxa"/>
            <w:vMerge w:val="restart"/>
            <w:shd w:val="clear" w:color="auto" w:fill="auto"/>
            <w:vAlign w:val="center"/>
          </w:tcPr>
          <w:p>
            <w:pPr>
              <w:jc w:val="center"/>
              <w:rPr>
                <w:rFonts w:hint="eastAsia" w:ascii="宋体" w:eastAsia="宋体"/>
                <w:color w:val="auto"/>
                <w:sz w:val="18"/>
                <w:szCs w:val="18"/>
                <w:lang w:val="en-US" w:eastAsia="zh-CN"/>
              </w:rPr>
            </w:pPr>
            <w:r>
              <w:rPr>
                <w:rFonts w:hint="eastAsia" w:ascii="宋体" w:hAnsi="宋体"/>
                <w:color w:val="auto"/>
                <w:sz w:val="18"/>
                <w:szCs w:val="18"/>
              </w:rPr>
              <w:t>终端</w:t>
            </w:r>
            <w:r>
              <w:rPr>
                <w:rFonts w:hint="eastAsia" w:ascii="宋体" w:hAnsi="宋体"/>
                <w:color w:val="auto"/>
                <w:sz w:val="18"/>
                <w:szCs w:val="18"/>
                <w:lang w:val="en-US" w:eastAsia="zh-CN"/>
              </w:rPr>
              <w:t>与</w:t>
            </w:r>
          </w:p>
          <w:p>
            <w:pPr>
              <w:pStyle w:val="182"/>
              <w:rPr>
                <w:color w:val="auto"/>
              </w:rPr>
            </w:pPr>
            <w:r>
              <w:rPr>
                <w:rFonts w:hint="eastAsia" w:hAnsi="宋体"/>
                <w:color w:val="auto"/>
                <w:szCs w:val="18"/>
              </w:rPr>
              <w:t>中心系统</w:t>
            </w:r>
          </w:p>
        </w:tc>
        <w:tc>
          <w:tcPr>
            <w:tcW w:w="1333" w:type="dxa"/>
            <w:shd w:val="clear" w:color="auto" w:fill="auto"/>
            <w:vAlign w:val="center"/>
          </w:tcPr>
          <w:p>
            <w:pPr>
              <w:pStyle w:val="182"/>
              <w:rPr>
                <w:color w:val="auto"/>
              </w:rPr>
            </w:pPr>
            <w:r>
              <w:rPr>
                <w:rFonts w:hint="eastAsia" w:hAnsi="宋体"/>
                <w:color w:val="auto"/>
                <w:szCs w:val="18"/>
              </w:rPr>
              <w:t>通信功能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票卡数据准确性</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参数管理功能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模式处理功能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82"/>
              <w:rPr>
                <w:color w:val="auto"/>
              </w:rPr>
            </w:pPr>
          </w:p>
        </w:tc>
        <w:tc>
          <w:tcPr>
            <w:tcW w:w="1333" w:type="dxa"/>
            <w:vMerge w:val="continue"/>
            <w:shd w:val="clear" w:color="auto" w:fill="auto"/>
            <w:vAlign w:val="center"/>
          </w:tcPr>
          <w:p>
            <w:pPr>
              <w:pStyle w:val="182"/>
              <w:rPr>
                <w:color w:val="auto"/>
              </w:rPr>
            </w:pPr>
          </w:p>
        </w:tc>
        <w:tc>
          <w:tcPr>
            <w:tcW w:w="1333" w:type="dxa"/>
            <w:shd w:val="clear" w:color="auto" w:fill="auto"/>
            <w:vAlign w:val="center"/>
          </w:tcPr>
          <w:p>
            <w:pPr>
              <w:pStyle w:val="182"/>
              <w:rPr>
                <w:color w:val="auto"/>
              </w:rPr>
            </w:pPr>
            <w:r>
              <w:rPr>
                <w:rFonts w:hint="eastAsia" w:hAnsi="宋体"/>
                <w:color w:val="auto"/>
                <w:szCs w:val="18"/>
              </w:rPr>
              <w:t>清分对账功能</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c>
          <w:tcPr>
            <w:tcW w:w="1334" w:type="dxa"/>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tcBorders>
              <w:bottom w:val="single" w:color="auto" w:sz="8" w:space="0"/>
            </w:tcBorders>
            <w:shd w:val="clear" w:color="auto" w:fill="auto"/>
            <w:vAlign w:val="center"/>
          </w:tcPr>
          <w:p>
            <w:pPr>
              <w:pStyle w:val="182"/>
              <w:rPr>
                <w:color w:val="auto"/>
              </w:rPr>
            </w:pPr>
          </w:p>
        </w:tc>
        <w:tc>
          <w:tcPr>
            <w:tcW w:w="1333" w:type="dxa"/>
            <w:vMerge w:val="continue"/>
            <w:tcBorders>
              <w:bottom w:val="single" w:color="auto" w:sz="8" w:space="0"/>
            </w:tcBorders>
            <w:shd w:val="clear" w:color="auto" w:fill="auto"/>
            <w:vAlign w:val="center"/>
          </w:tcPr>
          <w:p>
            <w:pPr>
              <w:pStyle w:val="182"/>
              <w:rPr>
                <w:color w:val="auto"/>
              </w:rPr>
            </w:pPr>
          </w:p>
        </w:tc>
        <w:tc>
          <w:tcPr>
            <w:tcW w:w="1333" w:type="dxa"/>
            <w:tcBorders>
              <w:bottom w:val="single" w:color="auto" w:sz="8" w:space="0"/>
            </w:tcBorders>
            <w:shd w:val="clear" w:color="auto" w:fill="auto"/>
            <w:vAlign w:val="center"/>
          </w:tcPr>
          <w:p>
            <w:pPr>
              <w:pStyle w:val="182"/>
              <w:rPr>
                <w:color w:val="auto"/>
              </w:rPr>
            </w:pPr>
            <w:r>
              <w:rPr>
                <w:rFonts w:hint="eastAsia" w:hAnsi="宋体"/>
                <w:color w:val="auto"/>
                <w:szCs w:val="18"/>
              </w:rPr>
              <w:t>数据一致性</w:t>
            </w:r>
          </w:p>
        </w:tc>
        <w:tc>
          <w:tcPr>
            <w:tcW w:w="1334" w:type="dxa"/>
            <w:tcBorders>
              <w:bottom w:val="single" w:color="auto" w:sz="8"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8"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8" w:space="0"/>
            </w:tcBorders>
            <w:shd w:val="clear" w:color="auto" w:fill="auto"/>
            <w:vAlign w:val="center"/>
          </w:tcPr>
          <w:p>
            <w:pPr>
              <w:pStyle w:val="182"/>
              <w:rPr>
                <w:color w:val="auto"/>
              </w:rPr>
            </w:pPr>
            <w:r>
              <w:rPr>
                <w:rFonts w:hint="eastAsia"/>
                <w:color w:val="auto"/>
                <w:szCs w:val="18"/>
              </w:rPr>
              <w:t>—</w:t>
            </w:r>
          </w:p>
        </w:tc>
        <w:tc>
          <w:tcPr>
            <w:tcW w:w="1334" w:type="dxa"/>
            <w:tcBorders>
              <w:bottom w:val="single" w:color="auto" w:sz="8" w:space="0"/>
            </w:tcBorders>
            <w:shd w:val="clear" w:color="auto" w:fill="auto"/>
            <w:vAlign w:val="center"/>
          </w:tcPr>
          <w:p>
            <w:pPr>
              <w:pStyle w:val="182"/>
              <w:rPr>
                <w:color w:val="auto"/>
              </w:rPr>
            </w:pPr>
            <w:r>
              <w:rPr>
                <w:rFonts w:hint="eastAsia"/>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vAlign w:val="center"/>
          </w:tcPr>
          <w:p>
            <w:pPr>
              <w:pStyle w:val="183"/>
              <w:rPr>
                <w:color w:val="auto"/>
              </w:rPr>
            </w:pPr>
            <w:r>
              <w:rPr>
                <w:rFonts w:hint="eastAsia"/>
                <w:color w:val="auto"/>
              </w:rPr>
              <w:t>●为必检测内容，○为推荐检测内容，—为不必进行的检测内容。</w:t>
            </w:r>
          </w:p>
        </w:tc>
      </w:tr>
    </w:tbl>
    <w:p>
      <w:pPr>
        <w:pStyle w:val="109"/>
        <w:spacing w:before="156" w:after="156"/>
        <w:rPr>
          <w:color w:val="auto"/>
        </w:rPr>
      </w:pPr>
      <w:bookmarkStart w:id="83" w:name="_Toc332829190"/>
      <w:bookmarkEnd w:id="83"/>
      <w:bookmarkStart w:id="84" w:name="_Toc332391318"/>
      <w:bookmarkEnd w:id="84"/>
      <w:bookmarkStart w:id="85" w:name="_Toc58340939"/>
      <w:bookmarkStart w:id="86" w:name="_Toc203209004"/>
      <w:bookmarkStart w:id="87" w:name="_Toc14373"/>
      <w:r>
        <w:rPr>
          <w:rFonts w:hint="eastAsia"/>
          <w:color w:val="auto"/>
        </w:rPr>
        <w:t>入围检测</w:t>
      </w:r>
      <w:bookmarkEnd w:id="85"/>
      <w:r>
        <w:rPr>
          <w:rFonts w:hint="eastAsia"/>
          <w:color w:val="auto"/>
        </w:rPr>
        <w:t>要求</w:t>
      </w:r>
      <w:bookmarkEnd w:id="86"/>
      <w:bookmarkEnd w:id="87"/>
    </w:p>
    <w:p>
      <w:pPr>
        <w:pStyle w:val="60"/>
        <w:ind w:firstLine="420"/>
        <w:rPr>
          <w:color w:val="auto"/>
        </w:rPr>
      </w:pPr>
      <w:r>
        <w:rPr>
          <w:rFonts w:hint="eastAsia"/>
          <w:color w:val="auto"/>
        </w:rPr>
        <w:t>入围检测应符合如下要求：</w:t>
      </w:r>
    </w:p>
    <w:p>
      <w:pPr>
        <w:pStyle w:val="178"/>
        <w:numPr>
          <w:ilvl w:val="0"/>
          <w:numId w:val="37"/>
        </w:numPr>
        <w:rPr>
          <w:color w:val="auto"/>
        </w:rPr>
      </w:pPr>
      <w:r>
        <w:rPr>
          <w:rFonts w:hint="eastAsia"/>
          <w:color w:val="auto"/>
        </w:rPr>
        <w:t>在轨道交通自动售检票系统中使用的专用模块和终端应通过入围检测；</w:t>
      </w:r>
    </w:p>
    <w:p>
      <w:pPr>
        <w:pStyle w:val="178"/>
        <w:rPr>
          <w:color w:val="auto"/>
        </w:rPr>
      </w:pPr>
      <w:r>
        <w:rPr>
          <w:rFonts w:hint="eastAsia"/>
          <w:color w:val="auto"/>
        </w:rPr>
        <w:t>专用模块和终端的主要设计、工艺、原材料和零部件变更时应重新进行入围检测；</w:t>
      </w:r>
    </w:p>
    <w:p>
      <w:pPr>
        <w:pStyle w:val="178"/>
        <w:rPr>
          <w:color w:val="auto"/>
        </w:rPr>
      </w:pPr>
      <w:r>
        <w:rPr>
          <w:rFonts w:hint="eastAsia"/>
          <w:color w:val="auto"/>
        </w:rPr>
        <w:t>检测样品数应为1台；</w:t>
      </w:r>
    </w:p>
    <w:p>
      <w:pPr>
        <w:pStyle w:val="178"/>
        <w:rPr>
          <w:color w:val="auto"/>
        </w:rPr>
      </w:pPr>
      <w:r>
        <w:rPr>
          <w:rFonts w:hint="eastAsia"/>
          <w:color w:val="auto"/>
        </w:rPr>
        <w:t>各项检测项目问题的判断和计入方法见第6章；</w:t>
      </w:r>
    </w:p>
    <w:p>
      <w:pPr>
        <w:pStyle w:val="178"/>
        <w:rPr>
          <w:color w:val="auto"/>
        </w:rPr>
      </w:pPr>
      <w:r>
        <w:rPr>
          <w:rFonts w:hint="eastAsia"/>
          <w:color w:val="auto"/>
        </w:rPr>
        <w:t>检测周期为3年，通过入围检测的专用模块和终端应重新进行入围检测。</w:t>
      </w:r>
    </w:p>
    <w:p>
      <w:pPr>
        <w:pStyle w:val="109"/>
        <w:spacing w:before="156" w:after="156"/>
        <w:rPr>
          <w:color w:val="auto"/>
        </w:rPr>
      </w:pPr>
      <w:bookmarkStart w:id="88" w:name="_Toc332829191"/>
      <w:bookmarkEnd w:id="88"/>
      <w:bookmarkStart w:id="89" w:name="_Toc332391319"/>
      <w:bookmarkEnd w:id="89"/>
      <w:bookmarkStart w:id="90" w:name="_Toc58340940"/>
      <w:bookmarkStart w:id="91" w:name="_Toc203209005"/>
      <w:bookmarkStart w:id="92" w:name="_Toc28531"/>
      <w:r>
        <w:rPr>
          <w:rFonts w:hint="eastAsia"/>
          <w:color w:val="auto"/>
        </w:rPr>
        <w:t>样机检测</w:t>
      </w:r>
      <w:bookmarkEnd w:id="90"/>
      <w:r>
        <w:rPr>
          <w:rFonts w:hint="eastAsia"/>
          <w:color w:val="auto"/>
        </w:rPr>
        <w:t>要求</w:t>
      </w:r>
      <w:bookmarkEnd w:id="91"/>
      <w:bookmarkEnd w:id="92"/>
    </w:p>
    <w:p>
      <w:pPr>
        <w:pStyle w:val="60"/>
        <w:ind w:firstLine="420"/>
        <w:rPr>
          <w:color w:val="auto"/>
        </w:rPr>
      </w:pPr>
      <w:r>
        <w:rPr>
          <w:rFonts w:hint="eastAsia"/>
          <w:color w:val="auto"/>
        </w:rPr>
        <w:t>样机检测应符合如下要求：</w:t>
      </w:r>
    </w:p>
    <w:p>
      <w:pPr>
        <w:pStyle w:val="178"/>
        <w:numPr>
          <w:ilvl w:val="0"/>
          <w:numId w:val="38"/>
        </w:numPr>
        <w:rPr>
          <w:color w:val="auto"/>
        </w:rPr>
      </w:pPr>
      <w:r>
        <w:rPr>
          <w:rFonts w:hint="eastAsia"/>
          <w:color w:val="auto"/>
        </w:rPr>
        <w:t>终端在批量生产前，应通过样机检测；</w:t>
      </w:r>
    </w:p>
    <w:p>
      <w:pPr>
        <w:pStyle w:val="178"/>
        <w:rPr>
          <w:color w:val="auto"/>
        </w:rPr>
      </w:pPr>
      <w:r>
        <w:rPr>
          <w:rFonts w:hint="eastAsia"/>
          <w:color w:val="auto"/>
        </w:rPr>
        <w:t>受检专用模块和终端应为通过入围检测的专用模块和样机；</w:t>
      </w:r>
    </w:p>
    <w:p>
      <w:pPr>
        <w:pStyle w:val="178"/>
        <w:rPr>
          <w:color w:val="auto"/>
        </w:rPr>
      </w:pPr>
      <w:r>
        <w:rPr>
          <w:rFonts w:hint="eastAsia"/>
          <w:color w:val="auto"/>
        </w:rPr>
        <w:t>检测样品数为1台；</w:t>
      </w:r>
    </w:p>
    <w:p>
      <w:pPr>
        <w:pStyle w:val="178"/>
        <w:rPr>
          <w:color w:val="auto"/>
        </w:rPr>
      </w:pPr>
      <w:r>
        <w:rPr>
          <w:rFonts w:hint="eastAsia"/>
          <w:color w:val="auto"/>
        </w:rPr>
        <w:t>各项检测项目问题的判断和计入方法见第6章。</w:t>
      </w:r>
    </w:p>
    <w:p>
      <w:pPr>
        <w:pStyle w:val="109"/>
        <w:spacing w:before="156" w:after="156"/>
        <w:rPr>
          <w:color w:val="auto"/>
        </w:rPr>
      </w:pPr>
      <w:bookmarkStart w:id="93" w:name="_Toc58340941"/>
      <w:bookmarkEnd w:id="93"/>
      <w:bookmarkStart w:id="94" w:name="_Toc203209006"/>
      <w:bookmarkStart w:id="95" w:name="_Toc8279"/>
      <w:r>
        <w:rPr>
          <w:rFonts w:hint="eastAsia"/>
          <w:color w:val="auto"/>
        </w:rPr>
        <w:t>扩大范围检测要求</w:t>
      </w:r>
      <w:bookmarkEnd w:id="94"/>
      <w:bookmarkEnd w:id="95"/>
    </w:p>
    <w:p>
      <w:pPr>
        <w:pStyle w:val="60"/>
        <w:ind w:firstLine="420"/>
        <w:rPr>
          <w:color w:val="auto"/>
        </w:rPr>
      </w:pPr>
      <w:r>
        <w:rPr>
          <w:rFonts w:hint="eastAsia"/>
          <w:color w:val="auto"/>
        </w:rPr>
        <w:t>扩大范围检测应符合如下要求：</w:t>
      </w:r>
    </w:p>
    <w:p>
      <w:pPr>
        <w:pStyle w:val="178"/>
        <w:numPr>
          <w:ilvl w:val="0"/>
          <w:numId w:val="39"/>
        </w:numPr>
        <w:rPr>
          <w:color w:val="auto"/>
        </w:rPr>
      </w:pPr>
      <w:r>
        <w:rPr>
          <w:rFonts w:hint="eastAsia"/>
          <w:color w:val="auto"/>
        </w:rPr>
        <w:t>终端在进入现场安装之前，应通过扩大范围检测；</w:t>
      </w:r>
    </w:p>
    <w:p>
      <w:pPr>
        <w:pStyle w:val="178"/>
        <w:rPr>
          <w:color w:val="auto"/>
        </w:rPr>
      </w:pPr>
      <w:r>
        <w:rPr>
          <w:rFonts w:hint="eastAsia"/>
          <w:color w:val="auto"/>
        </w:rPr>
        <w:t>检测对象应包括所建线路所采购的所有车站降级系统和终端；</w:t>
      </w:r>
    </w:p>
    <w:p>
      <w:pPr>
        <w:pStyle w:val="178"/>
        <w:rPr>
          <w:color w:val="auto"/>
        </w:rPr>
      </w:pPr>
      <w:r>
        <w:rPr>
          <w:rFonts w:hint="eastAsia"/>
          <w:color w:val="auto"/>
        </w:rPr>
        <w:t>检测的内容，除表 1规定的范围外，还应包括单站口小时高峰客流压力测试、整站小时高峰客流压力测试、数据准确性测试、样机一致性测试、样机问题整改测试；</w:t>
      </w:r>
    </w:p>
    <w:p>
      <w:pPr>
        <w:pStyle w:val="178"/>
        <w:rPr>
          <w:color w:val="auto"/>
        </w:rPr>
      </w:pPr>
      <w:r>
        <w:rPr>
          <w:rFonts w:hint="eastAsia"/>
          <w:color w:val="auto"/>
        </w:rPr>
        <w:t>各项检测项目问题的判断和计入方法见第6章。</w:t>
      </w:r>
    </w:p>
    <w:p>
      <w:pPr>
        <w:pStyle w:val="109"/>
        <w:spacing w:before="156" w:after="156"/>
        <w:rPr>
          <w:color w:val="auto"/>
        </w:rPr>
      </w:pPr>
      <w:bookmarkStart w:id="96" w:name="_Toc332829192"/>
      <w:bookmarkEnd w:id="96"/>
      <w:bookmarkStart w:id="97" w:name="_Toc332391320"/>
      <w:bookmarkEnd w:id="97"/>
      <w:bookmarkStart w:id="98" w:name="_Toc58340942"/>
      <w:bookmarkStart w:id="99" w:name="_Toc203209007"/>
      <w:bookmarkStart w:id="100" w:name="_Toc22063"/>
      <w:r>
        <w:rPr>
          <w:rFonts w:hint="eastAsia"/>
          <w:color w:val="auto"/>
        </w:rPr>
        <w:t>接入检测</w:t>
      </w:r>
      <w:bookmarkEnd w:id="98"/>
      <w:r>
        <w:rPr>
          <w:rFonts w:hint="eastAsia"/>
          <w:color w:val="auto"/>
        </w:rPr>
        <w:t>要求</w:t>
      </w:r>
      <w:bookmarkEnd w:id="99"/>
      <w:bookmarkEnd w:id="100"/>
    </w:p>
    <w:p>
      <w:pPr>
        <w:pStyle w:val="60"/>
        <w:ind w:firstLine="420"/>
        <w:rPr>
          <w:color w:val="auto"/>
        </w:rPr>
      </w:pPr>
      <w:r>
        <w:rPr>
          <w:rFonts w:hint="eastAsia"/>
          <w:color w:val="auto"/>
        </w:rPr>
        <w:t>接入检测应符合如下要求：</w:t>
      </w:r>
    </w:p>
    <w:p>
      <w:pPr>
        <w:pStyle w:val="178"/>
        <w:numPr>
          <w:ilvl w:val="0"/>
          <w:numId w:val="40"/>
        </w:numPr>
        <w:rPr>
          <w:color w:val="auto"/>
        </w:rPr>
      </w:pPr>
      <w:r>
        <w:rPr>
          <w:rFonts w:hint="eastAsia"/>
          <w:color w:val="auto"/>
        </w:rPr>
        <w:t>终端和中心系统在试运行前，应通过接入检测；</w:t>
      </w:r>
    </w:p>
    <w:p>
      <w:pPr>
        <w:pStyle w:val="178"/>
        <w:rPr>
          <w:color w:val="auto"/>
        </w:rPr>
      </w:pPr>
      <w:r>
        <w:rPr>
          <w:rFonts w:hint="eastAsia"/>
          <w:color w:val="auto"/>
        </w:rPr>
        <w:t>检测样品数为每条线路配备模拟一个车站的系统和设备，其中车站降级系统共1套，每个车站配备2个通道的闸机、1台TVM、1台BOM、1台ITVM、1台TSM、1台PCA、紧急按钮、顶棚向导标识；</w:t>
      </w:r>
    </w:p>
    <w:p>
      <w:pPr>
        <w:pStyle w:val="178"/>
        <w:rPr>
          <w:color w:val="auto"/>
        </w:rPr>
      </w:pPr>
      <w:r>
        <w:rPr>
          <w:rFonts w:hint="eastAsia"/>
          <w:color w:val="auto"/>
        </w:rPr>
        <w:t>各项检测项目问题的判断和计入方法见第6章。</w:t>
      </w:r>
    </w:p>
    <w:p>
      <w:pPr>
        <w:pStyle w:val="108"/>
        <w:spacing w:before="312" w:after="312"/>
        <w:rPr>
          <w:color w:val="auto"/>
        </w:rPr>
      </w:pPr>
      <w:bookmarkStart w:id="101" w:name="_Toc203209008"/>
      <w:bookmarkStart w:id="102" w:name="_Toc13387"/>
      <w:r>
        <w:rPr>
          <w:rFonts w:hint="eastAsia"/>
          <w:color w:val="auto"/>
        </w:rPr>
        <w:t>问题定义与判据</w:t>
      </w:r>
      <w:bookmarkEnd w:id="101"/>
      <w:bookmarkEnd w:id="102"/>
    </w:p>
    <w:p>
      <w:pPr>
        <w:pStyle w:val="109"/>
        <w:spacing w:before="156" w:after="156"/>
        <w:rPr>
          <w:color w:val="auto"/>
        </w:rPr>
      </w:pPr>
      <w:bookmarkStart w:id="103" w:name="_Toc203209009"/>
      <w:bookmarkStart w:id="104" w:name="_Toc20352"/>
      <w:r>
        <w:rPr>
          <w:rFonts w:hint="eastAsia"/>
          <w:color w:val="auto"/>
        </w:rPr>
        <w:t>问题定义</w:t>
      </w:r>
      <w:bookmarkEnd w:id="103"/>
      <w:bookmarkEnd w:id="104"/>
    </w:p>
    <w:p>
      <w:pPr>
        <w:pStyle w:val="60"/>
        <w:ind w:firstLine="420"/>
        <w:rPr>
          <w:color w:val="auto"/>
        </w:rPr>
      </w:pPr>
      <w:r>
        <w:rPr>
          <w:rFonts w:hint="eastAsia"/>
          <w:color w:val="auto"/>
        </w:rPr>
        <w:t>受检设备应符合DB11/T 1164.1、DB11/T 1164.2、DB11/T 1164.3、DB11/T 1164.7和DB11/T 1164.9等相关规定，不符合以及受检设备失效导致检测无法进行的均应视为问题。</w:t>
      </w:r>
    </w:p>
    <w:p>
      <w:pPr>
        <w:pStyle w:val="109"/>
        <w:spacing w:before="156" w:after="156"/>
        <w:rPr>
          <w:color w:val="auto"/>
        </w:rPr>
      </w:pPr>
      <w:bookmarkStart w:id="105" w:name="_Toc203209011"/>
      <w:bookmarkStart w:id="106" w:name="_Toc32759"/>
      <w:r>
        <w:rPr>
          <w:rFonts w:hint="eastAsia"/>
          <w:color w:val="auto"/>
        </w:rPr>
        <w:t>问题分类</w:t>
      </w:r>
      <w:bookmarkEnd w:id="105"/>
      <w:bookmarkEnd w:id="106"/>
    </w:p>
    <w:p>
      <w:pPr>
        <w:pStyle w:val="69"/>
        <w:spacing w:before="156" w:after="156"/>
        <w:rPr>
          <w:color w:val="auto"/>
        </w:rPr>
      </w:pPr>
      <w:r>
        <w:rPr>
          <w:rFonts w:hint="eastAsia"/>
          <w:color w:val="auto"/>
        </w:rPr>
        <w:t>严重问题</w:t>
      </w:r>
    </w:p>
    <w:p>
      <w:pPr>
        <w:pStyle w:val="60"/>
        <w:ind w:firstLine="420"/>
        <w:rPr>
          <w:color w:val="auto"/>
        </w:rPr>
      </w:pPr>
      <w:r>
        <w:rPr>
          <w:rFonts w:hint="eastAsia"/>
          <w:color w:val="auto"/>
        </w:rPr>
        <w:t>严重问题应包含受检设备或系统不符合轨道交通AFC相关标准规范要求或用户需求；受检设备硬件一致性不符合要求，及以下功能处理失败或处理不准确，具体功能为：参数管理、票卡处理、财务管理、运营管理、交易管理、客流管理、通信恢复/开关机管理、SAM卡认证、权限管理、设备监控、票务管理、时钟同步、维修维护、设备配置、导入导出。</w:t>
      </w:r>
    </w:p>
    <w:p>
      <w:pPr>
        <w:pStyle w:val="69"/>
        <w:spacing w:before="156" w:after="156"/>
        <w:rPr>
          <w:color w:val="auto"/>
        </w:rPr>
      </w:pPr>
      <w:r>
        <w:rPr>
          <w:rFonts w:hint="eastAsia"/>
          <w:color w:val="auto"/>
        </w:rPr>
        <w:t>一般问题</w:t>
      </w:r>
    </w:p>
    <w:p>
      <w:pPr>
        <w:pStyle w:val="60"/>
        <w:ind w:firstLine="420"/>
        <w:rPr>
          <w:color w:val="auto"/>
        </w:rPr>
      </w:pPr>
      <w:r>
        <w:rPr>
          <w:rFonts w:hint="eastAsia"/>
          <w:color w:val="auto"/>
        </w:rPr>
        <w:t>一般问题应包含受检设备或系统辅助功能处理失败或处理不准确。</w:t>
      </w:r>
    </w:p>
    <w:p>
      <w:pPr>
        <w:pStyle w:val="69"/>
        <w:spacing w:before="156" w:after="156"/>
        <w:rPr>
          <w:color w:val="auto"/>
        </w:rPr>
      </w:pPr>
      <w:r>
        <w:rPr>
          <w:rFonts w:hint="eastAsia"/>
          <w:color w:val="auto"/>
        </w:rPr>
        <w:t>轻微问题</w:t>
      </w:r>
    </w:p>
    <w:p>
      <w:pPr>
        <w:pStyle w:val="60"/>
        <w:ind w:firstLine="420"/>
        <w:rPr>
          <w:color w:val="auto"/>
        </w:rPr>
      </w:pPr>
      <w:r>
        <w:rPr>
          <w:rFonts w:hint="eastAsia"/>
          <w:color w:val="auto"/>
        </w:rPr>
        <w:t>轻微问题应包含受检设备或系统的非功能性要求不符合轨道交通AFC相关标准规范或用户需求的规定。</w:t>
      </w:r>
    </w:p>
    <w:p>
      <w:pPr>
        <w:pStyle w:val="109"/>
        <w:spacing w:before="156" w:after="156"/>
        <w:rPr>
          <w:color w:val="auto"/>
        </w:rPr>
      </w:pPr>
      <w:bookmarkStart w:id="107" w:name="_Toc203209012"/>
      <w:bookmarkStart w:id="108" w:name="_Toc16449"/>
      <w:r>
        <w:rPr>
          <w:rFonts w:hint="eastAsia"/>
          <w:color w:val="auto"/>
        </w:rPr>
        <w:t>问题判定</w:t>
      </w:r>
      <w:bookmarkEnd w:id="107"/>
      <w:bookmarkEnd w:id="108"/>
    </w:p>
    <w:p>
      <w:pPr>
        <w:pStyle w:val="60"/>
        <w:ind w:firstLine="420"/>
        <w:rPr>
          <w:color w:val="auto"/>
        </w:rPr>
      </w:pPr>
      <w:r>
        <w:rPr>
          <w:rFonts w:hint="eastAsia"/>
          <w:color w:val="auto"/>
        </w:rPr>
        <w:t>当发生3个轻微问题或1个一般问题或1个严重问题时，视为检测未通过。问题分类和等级划分</w:t>
      </w:r>
      <w:r>
        <w:rPr>
          <w:rFonts w:hint="eastAsia"/>
          <w:color w:val="auto"/>
          <w:lang w:val="en-US" w:eastAsia="zh-CN"/>
        </w:rPr>
        <w:t>应符合</w:t>
      </w:r>
      <w:r>
        <w:rPr>
          <w:rFonts w:hint="eastAsia"/>
          <w:color w:val="auto"/>
        </w:rPr>
        <w:t>附录A。</w:t>
      </w:r>
    </w:p>
    <w:p>
      <w:pPr>
        <w:pStyle w:val="108"/>
        <w:spacing w:before="312" w:after="312"/>
        <w:rPr>
          <w:color w:val="auto"/>
        </w:rPr>
      </w:pPr>
      <w:bookmarkStart w:id="109" w:name="_Toc203209013"/>
      <w:bookmarkStart w:id="110" w:name="_Toc17025"/>
      <w:r>
        <w:rPr>
          <w:rFonts w:hint="eastAsia"/>
          <w:color w:val="auto"/>
        </w:rPr>
        <w:t>通用检测</w:t>
      </w:r>
      <w:bookmarkEnd w:id="109"/>
      <w:bookmarkEnd w:id="110"/>
    </w:p>
    <w:p>
      <w:pPr>
        <w:pStyle w:val="109"/>
        <w:spacing w:before="156" w:after="156"/>
        <w:rPr>
          <w:color w:val="auto"/>
        </w:rPr>
      </w:pPr>
      <w:bookmarkStart w:id="111" w:name="_Toc203209014"/>
      <w:bookmarkStart w:id="112" w:name="_Toc2518"/>
      <w:r>
        <w:rPr>
          <w:rFonts w:hint="eastAsia"/>
          <w:color w:val="auto"/>
        </w:rPr>
        <w:t>通信接口检测</w:t>
      </w:r>
      <w:bookmarkEnd w:id="111"/>
      <w:bookmarkEnd w:id="112"/>
    </w:p>
    <w:p>
      <w:pPr>
        <w:pStyle w:val="69"/>
        <w:spacing w:before="156" w:after="156"/>
        <w:rPr>
          <w:color w:val="auto"/>
        </w:rPr>
      </w:pPr>
      <w:r>
        <w:rPr>
          <w:rFonts w:hint="eastAsia"/>
          <w:color w:val="auto"/>
        </w:rPr>
        <w:t>通信协议检测</w:t>
      </w:r>
    </w:p>
    <w:p>
      <w:pPr>
        <w:pStyle w:val="98"/>
        <w:spacing w:before="156" w:after="156"/>
        <w:rPr>
          <w:color w:val="auto"/>
        </w:rPr>
      </w:pPr>
      <w:r>
        <w:rPr>
          <w:rFonts w:hint="eastAsia"/>
          <w:color w:val="auto"/>
        </w:rPr>
        <w:t xml:space="preserve">数据传输检测 </w:t>
      </w:r>
    </w:p>
    <w:p>
      <w:pPr>
        <w:pStyle w:val="60"/>
        <w:ind w:firstLine="420"/>
        <w:rPr>
          <w:color w:val="auto"/>
        </w:rPr>
      </w:pPr>
      <w:r>
        <w:rPr>
          <w:rFonts w:hint="eastAsia"/>
          <w:color w:val="auto"/>
        </w:rPr>
        <w:t>数据传输检测包含中心系统与车站降级系统、中心系统与终端之间的传输检测，具体要求如下：</w:t>
      </w:r>
    </w:p>
    <w:p>
      <w:pPr>
        <w:pStyle w:val="178"/>
        <w:numPr>
          <w:ilvl w:val="0"/>
          <w:numId w:val="41"/>
        </w:numPr>
        <w:rPr>
          <w:color w:val="auto"/>
        </w:rPr>
      </w:pPr>
      <w:r>
        <w:rPr>
          <w:rFonts w:hint="eastAsia"/>
          <w:color w:val="auto"/>
        </w:rPr>
        <w:t>检测内容要求如下：</w:t>
      </w:r>
    </w:p>
    <w:p>
      <w:pPr>
        <w:pStyle w:val="113"/>
        <w:numPr>
          <w:ilvl w:val="1"/>
          <w:numId w:val="42"/>
        </w:numPr>
        <w:rPr>
          <w:color w:val="auto"/>
        </w:rPr>
      </w:pPr>
      <w:r>
        <w:rPr>
          <w:rFonts w:hint="eastAsia"/>
          <w:color w:val="auto"/>
        </w:rPr>
        <w:t>在线数据传输双方采用TCP/IP长连接方式进行发送消息和接收消息。受检设备/系统作为上位系统时，应可作为通信服务端监听指定端口，响应客户端系统或设备的连接请求，并对连接请求进行合法性检验；受检设备/系统作为下位系统时，应可主动尝试连接服务器，连接建立后应保证在最小消息间隔时间内至少向服务器发送1 个消息；</w:t>
      </w:r>
    </w:p>
    <w:p>
      <w:pPr>
        <w:pStyle w:val="113"/>
        <w:rPr>
          <w:color w:val="auto"/>
        </w:rPr>
      </w:pPr>
      <w:r>
        <w:rPr>
          <w:rFonts w:hint="eastAsia"/>
          <w:color w:val="auto"/>
        </w:rPr>
        <w:t>受检设备/系统应按DB11/T 1164.3的要求正确发送和处理协议命令，并在消息应答延时时间内针对不同情况进行应答和反馈。消息构成应符合DB11/T 1164.3的要求；</w:t>
      </w:r>
    </w:p>
    <w:p>
      <w:pPr>
        <w:pStyle w:val="113"/>
        <w:rPr>
          <w:color w:val="auto"/>
        </w:rPr>
      </w:pPr>
      <w:r>
        <w:rPr>
          <w:rFonts w:hint="eastAsia"/>
          <w:color w:val="auto"/>
        </w:rPr>
        <w:t>受检设备/系统在规定通信超时时间内，未收到消息，作为上位应主动关闭TCP连接；作为下位应主动关闭TCP连接，并在重复连接间隔时间之后，自动重复尝试连接；</w:t>
      </w:r>
    </w:p>
    <w:p>
      <w:pPr>
        <w:pStyle w:val="113"/>
        <w:rPr>
          <w:color w:val="auto"/>
        </w:rPr>
      </w:pPr>
      <w:r>
        <w:rPr>
          <w:rFonts w:hint="eastAsia"/>
          <w:color w:val="auto"/>
        </w:rPr>
        <w:t>受检设备/系统收到异常消息，应对收到的异常消息采用“消息不正确应答”命令予以应答，同时根据判定的错误类型，采取相应的方法处理。错误的类型包含关键性消息错误、协议命令错误、数据类型编码错误、校验码错误、重复消息、包相关错误、消息超时、消息冲突共8 类；</w:t>
      </w:r>
    </w:p>
    <w:p>
      <w:pPr>
        <w:pStyle w:val="113"/>
        <w:rPr>
          <w:color w:val="auto"/>
        </w:rPr>
      </w:pPr>
      <w:r>
        <w:rPr>
          <w:rFonts w:hint="eastAsia"/>
          <w:color w:val="auto"/>
        </w:rPr>
        <w:t>受检设备/系统发送的消息长度大于允许值时，应将消息数据体分拆到多个消息中依次发送，发送方和接收方应将该系列消息视为一个消息；</w:t>
      </w:r>
    </w:p>
    <w:p>
      <w:pPr>
        <w:pStyle w:val="113"/>
        <w:rPr>
          <w:color w:val="auto"/>
        </w:rPr>
      </w:pPr>
      <w:r>
        <w:rPr>
          <w:rFonts w:hint="eastAsia"/>
          <w:color w:val="auto"/>
        </w:rPr>
        <w:t>当下位产生多条上传数据时，上位收到的两次即时传输数据之间的时间间隔平均值应小于规定值。</w:t>
      </w:r>
    </w:p>
    <w:p>
      <w:pPr>
        <w:pStyle w:val="113"/>
        <w:rPr>
          <w:color w:val="auto"/>
        </w:rPr>
      </w:pPr>
      <w:r>
        <w:rPr>
          <w:rFonts w:hint="eastAsia"/>
          <w:color w:val="auto"/>
        </w:rPr>
        <w:t>联机交互数据传输双方采用HTTP长连接方式进行数据交换。受检设备/系统作为服务端时，应具备监听指定端口的能力，正确处理客户端的HTTP连接请求，并对请求头及身份凭证进行合法性验证；受检设备/系统作为客户端时，应能通过HTTP协议主动发起持久连接请求，连接建立后须在最小数据交互间隔时间内至少向服务端发送1个有效请求；</w:t>
      </w:r>
    </w:p>
    <w:p>
      <w:pPr>
        <w:pStyle w:val="113"/>
        <w:rPr>
          <w:color w:val="auto"/>
        </w:rPr>
      </w:pPr>
      <w:r>
        <w:rPr>
          <w:rFonts w:hint="eastAsia"/>
          <w:color w:val="auto"/>
        </w:rPr>
        <w:t>受检设备/系统应按照既定技术规范要求构造合法的HTTP请求与响应报文，头部字段和实体内容应符合RFC 2616及相关扩展标准，并在规定响应时限内完成请求处理与状态反馈；</w:t>
      </w:r>
    </w:p>
    <w:p>
      <w:pPr>
        <w:pStyle w:val="113"/>
        <w:rPr>
          <w:color w:val="auto"/>
        </w:rPr>
      </w:pPr>
      <w:r>
        <w:rPr>
          <w:rFonts w:hint="eastAsia"/>
          <w:color w:val="auto"/>
        </w:rPr>
        <w:t>当连接持续空闲时间超过规定阈值时，服务端应主动关闭HTTP连接并发送相关指令；客户端检测到连接中断后，应在预设重连间隔后自动发起新的连接请求；</w:t>
      </w:r>
    </w:p>
    <w:p>
      <w:pPr>
        <w:pStyle w:val="113"/>
        <w:rPr>
          <w:color w:val="auto"/>
        </w:rPr>
      </w:pPr>
      <w:r>
        <w:rPr>
          <w:rFonts w:hint="eastAsia"/>
          <w:color w:val="auto"/>
        </w:rPr>
        <w:t>受检设备/系统接收到非法HTTP报文时，应返回相应状态码，并根据错误类型采取差异化处理策略；</w:t>
      </w:r>
    </w:p>
    <w:p>
      <w:pPr>
        <w:pStyle w:val="113"/>
        <w:rPr>
          <w:color w:val="auto"/>
        </w:rPr>
      </w:pPr>
      <w:r>
        <w:rPr>
          <w:rFonts w:hint="eastAsia"/>
          <w:color w:val="auto"/>
        </w:rPr>
        <w:t>当传输数据量超过单次HTTP报文承载限制时，应按照RFC 2616规范实现分块传输编码，或通过多部分媒体类型拆分数据，确保发送方与接收方能正确重组完整数据；</w:t>
      </w:r>
    </w:p>
    <w:p>
      <w:pPr>
        <w:pStyle w:val="113"/>
        <w:rPr>
          <w:color w:val="auto"/>
        </w:rPr>
      </w:pPr>
      <w:r>
        <w:rPr>
          <w:rFonts w:hint="eastAsia"/>
          <w:color w:val="auto"/>
        </w:rPr>
        <w:t>客户端提交连续数据请求时，服务端处理相邻请求的时间间隔平均值应小于协议规定的服务质量阈值，且保持连接的持久化特性。</w:t>
      </w:r>
    </w:p>
    <w:p>
      <w:pPr>
        <w:pStyle w:val="113"/>
        <w:rPr>
          <w:color w:val="auto"/>
        </w:rPr>
      </w:pPr>
      <w:r>
        <w:rPr>
          <w:rFonts w:hint="eastAsia"/>
          <w:color w:val="auto"/>
        </w:rPr>
        <w:t>消息冲突处理，TCP/IP长连接方式：若通信双方因时序或并发问题导致消息冲突，受检设备/系统应依据协议规范进行冲突检测，并通过错误码或特定应答命令通知对端，必要时关闭并重建连接以确保数据一致性。HTTP长连接方式：当客户端与服务端发生资源冲突时，服务端应返回对应状态码，并在响应中提供冲突详情；客户端应依据响应采取相应措施。</w:t>
      </w:r>
    </w:p>
    <w:p>
      <w:pPr>
        <w:pStyle w:val="178"/>
        <w:rPr>
          <w:color w:val="auto"/>
        </w:rPr>
      </w:pPr>
      <w:r>
        <w:rPr>
          <w:rFonts w:hint="eastAsia"/>
          <w:color w:val="auto"/>
        </w:rPr>
        <w:t>检测方法应使用仿真系统/仿真工具分别模拟上位系统和下位系统检测受检设备/系统，通过仿真系统/仿真工具的记录判断受检设备/系统应满足DB11/T 1164.3的要求。</w:t>
      </w:r>
    </w:p>
    <w:p>
      <w:pPr>
        <w:pStyle w:val="98"/>
        <w:spacing w:before="156" w:after="156"/>
        <w:rPr>
          <w:color w:val="auto"/>
        </w:rPr>
      </w:pPr>
      <w:r>
        <w:rPr>
          <w:rFonts w:hint="eastAsia"/>
          <w:color w:val="auto"/>
        </w:rPr>
        <w:t>文件交换检测</w:t>
      </w:r>
    </w:p>
    <w:p>
      <w:pPr>
        <w:pStyle w:val="60"/>
        <w:ind w:firstLine="420"/>
        <w:rPr>
          <w:color w:val="auto"/>
        </w:rPr>
      </w:pPr>
      <w:r>
        <w:rPr>
          <w:rFonts w:hint="eastAsia"/>
          <w:color w:val="auto"/>
        </w:rPr>
        <w:t>文件交换检测要求如下：</w:t>
      </w:r>
    </w:p>
    <w:p>
      <w:pPr>
        <w:pStyle w:val="178"/>
        <w:numPr>
          <w:ilvl w:val="0"/>
          <w:numId w:val="43"/>
        </w:numPr>
        <w:rPr>
          <w:color w:val="auto"/>
        </w:rPr>
      </w:pPr>
      <w:r>
        <w:rPr>
          <w:rFonts w:hint="eastAsia"/>
          <w:color w:val="auto"/>
        </w:rPr>
        <w:t>检测内容要求如下：</w:t>
      </w:r>
    </w:p>
    <w:p>
      <w:pPr>
        <w:pStyle w:val="113"/>
        <w:rPr>
          <w:color w:val="auto"/>
        </w:rPr>
      </w:pPr>
      <w:r>
        <w:rPr>
          <w:color w:val="auto"/>
        </w:rPr>
        <w:t>各层级系统采用HTTP协议对文件类数据进行传输交换；</w:t>
      </w:r>
    </w:p>
    <w:p>
      <w:pPr>
        <w:pStyle w:val="113"/>
        <w:rPr>
          <w:color w:val="auto"/>
        </w:rPr>
      </w:pPr>
      <w:r>
        <w:rPr>
          <w:color w:val="auto"/>
        </w:rPr>
        <w:t>受检系统作为服务端时，应作为HTTP服务端监听指定端口，响应客户端系统的连接请求，并对请求头信息进行合法性验证。当连接空闲时间超过规定阈值时，服务端应主动关闭连接并返回适当的HTTP状态码；</w:t>
      </w:r>
    </w:p>
    <w:p>
      <w:pPr>
        <w:pStyle w:val="113"/>
        <w:rPr>
          <w:color w:val="auto"/>
        </w:rPr>
      </w:pPr>
      <w:r>
        <w:rPr>
          <w:color w:val="auto"/>
        </w:rPr>
        <w:t>受检设备/系统作为客户端时，应主动发起HTTP连接请求，连接建立后应保证在协议规定的最小请求间隔时间内至少向服务端发送1个有效HTTP请求；</w:t>
      </w:r>
    </w:p>
    <w:p>
      <w:pPr>
        <w:pStyle w:val="113"/>
        <w:rPr>
          <w:color w:val="auto"/>
        </w:rPr>
      </w:pPr>
      <w:r>
        <w:rPr>
          <w:color w:val="auto"/>
        </w:rPr>
        <w:t>当受检系统作为HTTP服务器时，应支持并发连接数不少于250个，且系统需满足以下要求：在最大设计负载下保持稳定运行</w:t>
      </w:r>
      <w:r>
        <w:rPr>
          <w:rFonts w:hint="eastAsia"/>
          <w:color w:val="auto"/>
        </w:rPr>
        <w:t>，</w:t>
      </w:r>
      <w:r>
        <w:rPr>
          <w:color w:val="auto"/>
        </w:rPr>
        <w:t>文件传输的完整性和准确性应符合DB11/T 1164.3标准要求</w:t>
      </w:r>
      <w:r>
        <w:rPr>
          <w:rFonts w:hint="eastAsia"/>
          <w:color w:val="auto"/>
        </w:rPr>
        <w:t>，</w:t>
      </w:r>
      <w:r>
        <w:rPr>
          <w:color w:val="auto"/>
        </w:rPr>
        <w:t>支持标准HTTP文件传输机制</w:t>
      </w:r>
      <w:r>
        <w:rPr>
          <w:rFonts w:hint="eastAsia"/>
          <w:color w:val="auto"/>
        </w:rPr>
        <w:t>。</w:t>
      </w:r>
    </w:p>
    <w:p>
      <w:pPr>
        <w:pStyle w:val="113"/>
        <w:rPr>
          <w:color w:val="auto"/>
        </w:rPr>
      </w:pPr>
      <w:r>
        <w:rPr>
          <w:color w:val="auto"/>
        </w:rPr>
        <w:t>所有实现应符合RFC 2616（HTTP/1.1）及相关扩展协议规范，确保协议实现的标准化和互操作性。</w:t>
      </w:r>
    </w:p>
    <w:p>
      <w:pPr>
        <w:pStyle w:val="178"/>
        <w:rPr>
          <w:color w:val="auto"/>
        </w:rPr>
      </w:pPr>
      <w:r>
        <w:rPr>
          <w:rFonts w:hint="eastAsia"/>
          <w:color w:val="auto"/>
        </w:rPr>
        <w:t>检测方法应使用仿真系统/仿真工具分别模拟上位系统和下位设备/系统检测受检设备/系统，通过仿真系统/仿真工具的记录判断受检设备/系统应满足DB11/T 1164.3的要求。</w:t>
      </w:r>
    </w:p>
    <w:p>
      <w:pPr>
        <w:pStyle w:val="98"/>
        <w:spacing w:before="156" w:after="156"/>
        <w:rPr>
          <w:color w:val="auto"/>
        </w:rPr>
      </w:pPr>
      <w:r>
        <w:rPr>
          <w:rFonts w:hint="eastAsia"/>
          <w:color w:val="auto"/>
        </w:rPr>
        <w:t>时钟同步检测</w:t>
      </w:r>
    </w:p>
    <w:p>
      <w:pPr>
        <w:pStyle w:val="60"/>
        <w:ind w:firstLine="420"/>
        <w:rPr>
          <w:color w:val="auto"/>
        </w:rPr>
      </w:pPr>
      <w:r>
        <w:rPr>
          <w:rFonts w:hint="eastAsia"/>
          <w:color w:val="auto"/>
        </w:rPr>
        <w:t>时钟同步检测要求如下：</w:t>
      </w:r>
    </w:p>
    <w:p>
      <w:pPr>
        <w:pStyle w:val="178"/>
        <w:numPr>
          <w:ilvl w:val="0"/>
          <w:numId w:val="44"/>
        </w:numPr>
        <w:rPr>
          <w:color w:val="auto"/>
        </w:rPr>
      </w:pPr>
      <w:r>
        <w:rPr>
          <w:rFonts w:hint="eastAsia"/>
          <w:color w:val="auto"/>
        </w:rPr>
        <w:t>检测内容要求如下：</w:t>
      </w:r>
    </w:p>
    <w:p>
      <w:pPr>
        <w:pStyle w:val="113"/>
        <w:rPr>
          <w:color w:val="auto"/>
        </w:rPr>
      </w:pPr>
      <w:r>
        <w:rPr>
          <w:rFonts w:hint="eastAsia"/>
          <w:color w:val="auto"/>
        </w:rPr>
        <w:t>当受检系统为上位系统时，应作为下位设备/系统的时钟源，为其提供标准NTP时钟服务；</w:t>
      </w:r>
    </w:p>
    <w:p>
      <w:pPr>
        <w:pStyle w:val="113"/>
        <w:rPr>
          <w:color w:val="auto"/>
        </w:rPr>
      </w:pPr>
      <w:r>
        <w:rPr>
          <w:rFonts w:hint="eastAsia"/>
          <w:color w:val="auto"/>
        </w:rPr>
        <w:t>受检设备/系统为下位系统时，应依据需求规定的触发条件与上位系统进行时钟同步，并且根据实际的时钟差异情况按照DB11/T 1164.1和DB11/T 1164.2相关时钟同步功能的规定进行的处理。时钟同步后受检设备/系统与上位系统之间的时钟差异应小于需求规定值。</w:t>
      </w:r>
    </w:p>
    <w:p>
      <w:pPr>
        <w:pStyle w:val="178"/>
        <w:rPr>
          <w:color w:val="auto"/>
        </w:rPr>
      </w:pPr>
      <w:r>
        <w:rPr>
          <w:rFonts w:hint="eastAsia"/>
          <w:color w:val="auto"/>
        </w:rPr>
        <w:t>检测方法应使用仿真系统/仿真工具分别模拟上位系统和下位设备/系统检测受检设备/系统，通过仿真系统/仿真工具的记录判断受检设备/系统应满足DB11/T 1164.1和DB11/T 1164.2相关时钟同步功能的要求。</w:t>
      </w:r>
    </w:p>
    <w:p>
      <w:pPr>
        <w:pStyle w:val="98"/>
        <w:spacing w:before="156" w:after="156"/>
        <w:rPr>
          <w:color w:val="auto"/>
        </w:rPr>
      </w:pPr>
      <w:r>
        <w:rPr>
          <w:rFonts w:hint="eastAsia"/>
          <w:color w:val="auto"/>
        </w:rPr>
        <w:t>离线数据交换检测</w:t>
      </w:r>
    </w:p>
    <w:p>
      <w:pPr>
        <w:pStyle w:val="60"/>
        <w:ind w:firstLine="420"/>
        <w:rPr>
          <w:color w:val="auto"/>
        </w:rPr>
      </w:pPr>
      <w:r>
        <w:rPr>
          <w:rFonts w:hint="eastAsia"/>
          <w:color w:val="auto"/>
        </w:rPr>
        <w:t>离线数据交换检测要求如下：</w:t>
      </w:r>
    </w:p>
    <w:p>
      <w:pPr>
        <w:pStyle w:val="178"/>
        <w:numPr>
          <w:ilvl w:val="0"/>
          <w:numId w:val="45"/>
        </w:numPr>
        <w:rPr>
          <w:color w:val="auto"/>
        </w:rPr>
      </w:pPr>
      <w:r>
        <w:rPr>
          <w:rFonts w:hint="eastAsia"/>
          <w:color w:val="auto"/>
        </w:rPr>
        <w:t>检测内容要求如下：</w:t>
      </w:r>
    </w:p>
    <w:p>
      <w:pPr>
        <w:pStyle w:val="113"/>
        <w:rPr>
          <w:color w:val="auto"/>
        </w:rPr>
      </w:pPr>
      <w:r>
        <w:rPr>
          <w:rFonts w:hint="eastAsia"/>
          <w:color w:val="auto"/>
        </w:rPr>
        <w:t>受检方导出数据要求如下：</w:t>
      </w:r>
    </w:p>
    <w:p>
      <w:pPr>
        <w:pStyle w:val="178"/>
        <w:numPr>
          <w:ilvl w:val="1"/>
          <w:numId w:val="46"/>
        </w:numPr>
        <w:rPr>
          <w:color w:val="auto"/>
        </w:rPr>
      </w:pPr>
      <w:r>
        <w:rPr>
          <w:rFonts w:hint="eastAsia"/>
          <w:color w:val="auto"/>
        </w:rPr>
        <w:t>网络中断情况下，受检方应以文件形式将离线数据存储在移动介质，并且当用于数据传输的移动存储介质上没有相关目录时，受检方应创建相应目录；</w:t>
      </w:r>
    </w:p>
    <w:p>
      <w:pPr>
        <w:pStyle w:val="178"/>
        <w:numPr>
          <w:ilvl w:val="1"/>
          <w:numId w:val="46"/>
        </w:numPr>
        <w:rPr>
          <w:color w:val="auto"/>
        </w:rPr>
      </w:pPr>
      <w:r>
        <w:rPr>
          <w:rFonts w:hint="eastAsia"/>
          <w:color w:val="auto"/>
        </w:rPr>
        <w:t>网络恢复正常连接后，受检方应按正常的连接方式传输所有未传输的数据（包括在有效期内的、已经通过离线方式传输的数据）。</w:t>
      </w:r>
    </w:p>
    <w:p>
      <w:pPr>
        <w:pStyle w:val="113"/>
        <w:rPr>
          <w:color w:val="auto"/>
        </w:rPr>
      </w:pPr>
      <w:r>
        <w:rPr>
          <w:rFonts w:hint="eastAsia"/>
          <w:color w:val="auto"/>
        </w:rPr>
        <w:t>受检方导入数据要求如下：</w:t>
      </w:r>
    </w:p>
    <w:p>
      <w:pPr>
        <w:pStyle w:val="178"/>
        <w:numPr>
          <w:ilvl w:val="1"/>
          <w:numId w:val="46"/>
        </w:numPr>
        <w:rPr>
          <w:color w:val="auto"/>
        </w:rPr>
      </w:pPr>
      <w:r>
        <w:rPr>
          <w:rFonts w:hint="eastAsia"/>
          <w:color w:val="auto"/>
        </w:rPr>
        <w:t>网络中断情况下，受检方应正确导入数据，并按网络正常传输时获得相关数据的生效方式生效；</w:t>
      </w:r>
    </w:p>
    <w:p>
      <w:pPr>
        <w:pStyle w:val="178"/>
        <w:numPr>
          <w:ilvl w:val="1"/>
          <w:numId w:val="46"/>
        </w:numPr>
        <w:rPr>
          <w:color w:val="auto"/>
        </w:rPr>
      </w:pPr>
      <w:r>
        <w:rPr>
          <w:rFonts w:hint="eastAsia"/>
          <w:color w:val="auto"/>
        </w:rPr>
        <w:t>网络恢复正常连接后，受检方应对数据进行重复处理。</w:t>
      </w:r>
    </w:p>
    <w:p>
      <w:pPr>
        <w:pStyle w:val="178"/>
        <w:rPr>
          <w:color w:val="auto"/>
        </w:rPr>
      </w:pPr>
      <w:r>
        <w:rPr>
          <w:rFonts w:hint="eastAsia"/>
          <w:color w:val="auto"/>
        </w:rPr>
        <w:t>检测方法应使用仿真系统/仿真工具分别导入或导出相关数据，通过仿真系统/仿真工具的记录判断受检设备/系统应满足DB11/T 1164.1和DB11/T 1164.3相关导入导出功能的要求。</w:t>
      </w:r>
    </w:p>
    <w:p>
      <w:pPr>
        <w:pStyle w:val="98"/>
        <w:spacing w:before="156" w:after="156"/>
        <w:rPr>
          <w:color w:val="auto"/>
        </w:rPr>
      </w:pPr>
      <w:r>
        <w:rPr>
          <w:rFonts w:hint="eastAsia"/>
          <w:color w:val="auto"/>
        </w:rPr>
        <w:t>读写器传输协议检测</w:t>
      </w:r>
    </w:p>
    <w:p>
      <w:pPr>
        <w:pStyle w:val="60"/>
        <w:ind w:firstLine="420"/>
        <w:rPr>
          <w:color w:val="auto"/>
        </w:rPr>
      </w:pPr>
      <w:r>
        <w:rPr>
          <w:rFonts w:hint="eastAsia"/>
          <w:color w:val="auto"/>
        </w:rPr>
        <w:t>读写器传输协议检测要求如下：</w:t>
      </w:r>
    </w:p>
    <w:p>
      <w:pPr>
        <w:pStyle w:val="178"/>
        <w:numPr>
          <w:ilvl w:val="0"/>
          <w:numId w:val="47"/>
        </w:numPr>
        <w:rPr>
          <w:color w:val="auto"/>
        </w:rPr>
      </w:pPr>
      <w:r>
        <w:rPr>
          <w:rFonts w:hint="eastAsia"/>
          <w:color w:val="auto"/>
        </w:rPr>
        <w:t>检测内容要求如下：</w:t>
      </w:r>
    </w:p>
    <w:p>
      <w:pPr>
        <w:pStyle w:val="113"/>
        <w:rPr>
          <w:color w:val="auto"/>
        </w:rPr>
      </w:pPr>
      <w:r>
        <w:rPr>
          <w:rFonts w:hint="eastAsia"/>
          <w:color w:val="auto"/>
        </w:rPr>
        <w:t>TPU与SLE的连接应采用USB端口/串口方式进行数据传输；</w:t>
      </w:r>
    </w:p>
    <w:p>
      <w:pPr>
        <w:pStyle w:val="113"/>
        <w:rPr>
          <w:color w:val="auto"/>
        </w:rPr>
      </w:pPr>
      <w:r>
        <w:rPr>
          <w:rFonts w:hint="eastAsia"/>
          <w:color w:val="auto"/>
        </w:rPr>
        <w:t>SLE为主控方，TPU为被控方。SLE总是命令数据的发起方，TPU总是在接收并处理命令数据后向SLE发送反馈数据，TPU从不主动发送反馈数据包；</w:t>
      </w:r>
    </w:p>
    <w:p>
      <w:pPr>
        <w:pStyle w:val="113"/>
        <w:rPr>
          <w:color w:val="auto"/>
        </w:rPr>
      </w:pPr>
      <w:r>
        <w:rPr>
          <w:rFonts w:hint="eastAsia"/>
          <w:color w:val="auto"/>
        </w:rPr>
        <w:t>受检设备/TPU的数据传输编码、数据包校验方式、通信超时等待时间、重试次数应遵循DB11/T 1164.3的要求。</w:t>
      </w:r>
    </w:p>
    <w:p>
      <w:pPr>
        <w:pStyle w:val="178"/>
        <w:rPr>
          <w:color w:val="auto"/>
        </w:rPr>
      </w:pPr>
      <w:r>
        <w:rPr>
          <w:rFonts w:hint="eastAsia"/>
          <w:color w:val="auto"/>
        </w:rPr>
        <w:t>检测方法应使用仿真系统/仿真工具分别模拟终端和TPU检测受检设备/TPU，通过仿真系统/仿真工具的记录判断受检设备/TPU应满足DB11/T 1164.3的要求。</w:t>
      </w:r>
    </w:p>
    <w:p>
      <w:pPr>
        <w:pStyle w:val="69"/>
        <w:spacing w:before="156" w:after="156"/>
        <w:rPr>
          <w:color w:val="auto"/>
          <w:szCs w:val="21"/>
        </w:rPr>
      </w:pPr>
      <w:r>
        <w:rPr>
          <w:rFonts w:hint="eastAsia"/>
          <w:color w:val="auto"/>
          <w:lang w:val="en-US" w:eastAsia="zh-CN"/>
        </w:rPr>
        <w:t>读写器通信</w:t>
      </w:r>
      <w:r>
        <w:rPr>
          <w:rFonts w:hint="eastAsia"/>
          <w:color w:val="auto"/>
        </w:rPr>
        <w:t>时序检测</w:t>
      </w:r>
    </w:p>
    <w:p>
      <w:pPr>
        <w:pStyle w:val="60"/>
        <w:ind w:firstLine="420"/>
        <w:rPr>
          <w:color w:val="auto"/>
        </w:rPr>
      </w:pPr>
      <w:r>
        <w:rPr>
          <w:rFonts w:hint="eastAsia"/>
          <w:color w:val="auto"/>
        </w:rPr>
        <w:t>读写器通信时序检测要求如下：</w:t>
      </w:r>
    </w:p>
    <w:p>
      <w:pPr>
        <w:pStyle w:val="178"/>
        <w:numPr>
          <w:ilvl w:val="0"/>
          <w:numId w:val="48"/>
        </w:numPr>
        <w:rPr>
          <w:color w:val="auto"/>
        </w:rPr>
      </w:pPr>
      <w:r>
        <w:rPr>
          <w:rFonts w:hint="eastAsia"/>
          <w:color w:val="auto"/>
        </w:rPr>
        <w:t>检测内容要求如下：</w:t>
      </w:r>
    </w:p>
    <w:p>
      <w:pPr>
        <w:pStyle w:val="113"/>
        <w:rPr>
          <w:color w:val="auto"/>
        </w:rPr>
      </w:pPr>
      <w:r>
        <w:rPr>
          <w:rFonts w:hint="eastAsia"/>
          <w:color w:val="auto"/>
        </w:rPr>
        <w:t>TPU与SLE之间采用异步串行通信模式；</w:t>
      </w:r>
    </w:p>
    <w:p>
      <w:pPr>
        <w:pStyle w:val="113"/>
        <w:rPr>
          <w:color w:val="auto"/>
        </w:rPr>
      </w:pPr>
      <w:r>
        <w:rPr>
          <w:rFonts w:hint="eastAsia"/>
          <w:color w:val="auto"/>
        </w:rPr>
        <w:t>受检TPU对于即时命令应在规定时间内发送反馈数据；对于非即时命令应在内部处理结束或有卡进入时发送反馈数据；对于命令组合，应遵循即时命令反馈优先原则；</w:t>
      </w:r>
    </w:p>
    <w:p>
      <w:pPr>
        <w:pStyle w:val="113"/>
        <w:rPr>
          <w:color w:val="auto"/>
        </w:rPr>
      </w:pPr>
      <w:r>
        <w:rPr>
          <w:rFonts w:hint="eastAsia"/>
          <w:color w:val="auto"/>
        </w:rPr>
        <w:t>受检TPU连续接收到SLE传送命令数据时，应逐个响应；</w:t>
      </w:r>
    </w:p>
    <w:p>
      <w:pPr>
        <w:pStyle w:val="113"/>
        <w:rPr>
          <w:color w:val="auto"/>
        </w:rPr>
      </w:pPr>
      <w:r>
        <w:rPr>
          <w:rFonts w:hint="eastAsia"/>
          <w:color w:val="auto"/>
        </w:rPr>
        <w:t>对于即时响应通信，受检TPU/设备应按DB11/T 1164.3要求的规定限制重发次数；</w:t>
      </w:r>
    </w:p>
    <w:p>
      <w:pPr>
        <w:pStyle w:val="113"/>
        <w:rPr>
          <w:color w:val="auto"/>
        </w:rPr>
      </w:pPr>
      <w:r>
        <w:rPr>
          <w:rFonts w:hint="eastAsia"/>
          <w:color w:val="auto"/>
        </w:rPr>
        <w:t>对于非即时响应通信，受检TPU/设备应按DB11/T 1164.3要求的规定限制重发次数。</w:t>
      </w:r>
    </w:p>
    <w:p>
      <w:pPr>
        <w:pStyle w:val="178"/>
        <w:rPr>
          <w:color w:val="auto"/>
        </w:rPr>
      </w:pPr>
      <w:r>
        <w:rPr>
          <w:rFonts w:hint="eastAsia"/>
          <w:color w:val="auto"/>
        </w:rPr>
        <w:t>检测方法应使用仿真系统/仿真工具分别模拟设备和TPU检测受检设备和TPU，通过仿真系统/仿真工具的记录判断受检设备和TPU应满足DB11/T 1164.3的要求。</w:t>
      </w:r>
    </w:p>
    <w:p>
      <w:pPr>
        <w:pStyle w:val="109"/>
        <w:spacing w:before="156" w:after="156"/>
        <w:rPr>
          <w:color w:val="auto"/>
        </w:rPr>
      </w:pPr>
      <w:bookmarkStart w:id="113" w:name="_Toc203209015"/>
      <w:bookmarkStart w:id="114" w:name="_Toc17230"/>
      <w:r>
        <w:rPr>
          <w:rFonts w:hint="eastAsia"/>
          <w:color w:val="auto"/>
        </w:rPr>
        <w:t>外观与结构检测</w:t>
      </w:r>
      <w:bookmarkEnd w:id="113"/>
      <w:bookmarkEnd w:id="114"/>
    </w:p>
    <w:p>
      <w:pPr>
        <w:pStyle w:val="60"/>
        <w:ind w:firstLine="420"/>
        <w:rPr>
          <w:color w:val="auto"/>
        </w:rPr>
      </w:pPr>
      <w:r>
        <w:rPr>
          <w:rFonts w:hint="eastAsia"/>
          <w:color w:val="auto"/>
        </w:rPr>
        <w:t>终端和专用模块的外观与结构检测要求如下：</w:t>
      </w:r>
    </w:p>
    <w:p>
      <w:pPr>
        <w:pStyle w:val="178"/>
        <w:numPr>
          <w:ilvl w:val="0"/>
          <w:numId w:val="49"/>
        </w:numPr>
        <w:rPr>
          <w:color w:val="auto"/>
        </w:rPr>
      </w:pPr>
      <w:r>
        <w:rPr>
          <w:rFonts w:hint="eastAsia"/>
          <w:color w:val="auto"/>
        </w:rPr>
        <w:t>检测内容应依据DB11/T 1164.7</w:t>
      </w:r>
      <w:r>
        <w:rPr>
          <w:rFonts w:hint="eastAsia"/>
          <w:color w:val="auto"/>
          <w:lang w:val="en-US" w:eastAsia="zh-CN"/>
        </w:rPr>
        <w:t>-2020</w:t>
      </w:r>
      <w:r>
        <w:rPr>
          <w:rFonts w:hint="eastAsia"/>
          <w:color w:val="auto"/>
        </w:rPr>
        <w:t>中5.1章的要求逐项检测；</w:t>
      </w:r>
    </w:p>
    <w:p>
      <w:pPr>
        <w:pStyle w:val="178"/>
        <w:rPr>
          <w:color w:val="auto"/>
        </w:rPr>
      </w:pPr>
      <w:r>
        <w:rPr>
          <w:rFonts w:hint="eastAsia"/>
          <w:color w:val="auto"/>
        </w:rPr>
        <w:t>检测方法应使用测量、目测及触摸法进行检测。</w:t>
      </w:r>
    </w:p>
    <w:p>
      <w:pPr>
        <w:pStyle w:val="109"/>
        <w:spacing w:before="156" w:after="156"/>
        <w:rPr>
          <w:color w:val="auto"/>
        </w:rPr>
      </w:pPr>
      <w:bookmarkStart w:id="115" w:name="_Toc203209016"/>
      <w:bookmarkStart w:id="116" w:name="_Toc15213"/>
      <w:r>
        <w:rPr>
          <w:rFonts w:hint="eastAsia"/>
          <w:color w:val="auto"/>
        </w:rPr>
        <w:t>装配检测</w:t>
      </w:r>
      <w:bookmarkEnd w:id="115"/>
      <w:bookmarkEnd w:id="116"/>
    </w:p>
    <w:p>
      <w:pPr>
        <w:pStyle w:val="60"/>
        <w:ind w:firstLine="420"/>
        <w:rPr>
          <w:color w:val="auto"/>
        </w:rPr>
      </w:pPr>
      <w:r>
        <w:rPr>
          <w:rFonts w:hint="eastAsia"/>
          <w:color w:val="auto"/>
        </w:rPr>
        <w:t>终端装配检测要求如下：</w:t>
      </w:r>
    </w:p>
    <w:p>
      <w:pPr>
        <w:pStyle w:val="178"/>
        <w:numPr>
          <w:ilvl w:val="0"/>
          <w:numId w:val="50"/>
        </w:numPr>
        <w:rPr>
          <w:color w:val="auto"/>
        </w:rPr>
      </w:pPr>
      <w:r>
        <w:rPr>
          <w:rFonts w:hint="eastAsia"/>
          <w:color w:val="auto"/>
        </w:rPr>
        <w:t>检测内容应依据DB11/T 1164.7</w:t>
      </w:r>
      <w:r>
        <w:rPr>
          <w:rFonts w:hint="eastAsia"/>
          <w:color w:val="auto"/>
          <w:lang w:val="en-US" w:eastAsia="zh-CN"/>
        </w:rPr>
        <w:t>-2020</w:t>
      </w:r>
      <w:r>
        <w:rPr>
          <w:rFonts w:hint="eastAsia"/>
          <w:color w:val="auto"/>
        </w:rPr>
        <w:t>中5.2章的要求逐项检测；</w:t>
      </w:r>
    </w:p>
    <w:p>
      <w:pPr>
        <w:pStyle w:val="178"/>
        <w:rPr>
          <w:color w:val="auto"/>
        </w:rPr>
      </w:pPr>
      <w:r>
        <w:rPr>
          <w:rFonts w:hint="eastAsia"/>
          <w:color w:val="auto"/>
        </w:rPr>
        <w:t>检测方法应使用目测的方法进行检测。</w:t>
      </w:r>
    </w:p>
    <w:p>
      <w:pPr>
        <w:pStyle w:val="109"/>
        <w:spacing w:before="156" w:after="156"/>
        <w:rPr>
          <w:color w:val="auto"/>
        </w:rPr>
      </w:pPr>
      <w:bookmarkStart w:id="117" w:name="_Toc203209017"/>
      <w:bookmarkStart w:id="118" w:name="_Toc11433"/>
      <w:r>
        <w:rPr>
          <w:rFonts w:hint="eastAsia"/>
          <w:color w:val="auto"/>
        </w:rPr>
        <w:t>硬件一致性检测</w:t>
      </w:r>
      <w:bookmarkEnd w:id="117"/>
      <w:bookmarkEnd w:id="118"/>
    </w:p>
    <w:p>
      <w:pPr>
        <w:pStyle w:val="60"/>
        <w:ind w:firstLine="420"/>
        <w:rPr>
          <w:color w:val="auto"/>
        </w:rPr>
      </w:pPr>
      <w:r>
        <w:rPr>
          <w:rFonts w:hint="eastAsia"/>
          <w:color w:val="auto"/>
        </w:rPr>
        <w:t>终端和专用模块的外观与结构检测要求如下：</w:t>
      </w:r>
    </w:p>
    <w:p>
      <w:pPr>
        <w:pStyle w:val="178"/>
        <w:numPr>
          <w:ilvl w:val="0"/>
          <w:numId w:val="51"/>
        </w:numPr>
        <w:rPr>
          <w:color w:val="auto"/>
        </w:rPr>
      </w:pPr>
      <w:r>
        <w:rPr>
          <w:rFonts w:hint="eastAsia"/>
          <w:color w:val="auto"/>
        </w:rPr>
        <w:t>依据上一检测阶段模块硬件信息，逐项检查受检设备的专用模块硬件信息是否一致；</w:t>
      </w:r>
    </w:p>
    <w:p>
      <w:pPr>
        <w:pStyle w:val="178"/>
        <w:rPr>
          <w:color w:val="auto"/>
        </w:rPr>
      </w:pPr>
      <w:r>
        <w:rPr>
          <w:rFonts w:hint="eastAsia"/>
          <w:color w:val="auto"/>
        </w:rPr>
        <w:t>检测方法应使用目测法进行检测。</w:t>
      </w:r>
    </w:p>
    <w:p>
      <w:pPr>
        <w:pStyle w:val="109"/>
        <w:spacing w:before="156" w:after="156"/>
        <w:rPr>
          <w:color w:val="auto"/>
        </w:rPr>
      </w:pPr>
      <w:bookmarkStart w:id="119" w:name="_Toc203209018"/>
      <w:bookmarkStart w:id="120" w:name="_Toc13980"/>
      <w:r>
        <w:rPr>
          <w:rFonts w:hint="eastAsia"/>
          <w:color w:val="auto"/>
        </w:rPr>
        <w:t>电气性能检测</w:t>
      </w:r>
      <w:bookmarkEnd w:id="119"/>
      <w:bookmarkEnd w:id="120"/>
    </w:p>
    <w:p>
      <w:pPr>
        <w:pStyle w:val="69"/>
        <w:spacing w:before="156" w:after="156"/>
        <w:rPr>
          <w:color w:val="auto"/>
        </w:rPr>
      </w:pPr>
      <w:r>
        <w:rPr>
          <w:rFonts w:hint="eastAsia"/>
          <w:color w:val="auto"/>
        </w:rPr>
        <w:t>产品认证要求</w:t>
      </w:r>
    </w:p>
    <w:p>
      <w:pPr>
        <w:pStyle w:val="60"/>
        <w:ind w:firstLine="420"/>
        <w:rPr>
          <w:color w:val="auto"/>
        </w:rPr>
      </w:pPr>
      <w:r>
        <w:rPr>
          <w:rFonts w:hint="eastAsia"/>
          <w:color w:val="auto"/>
        </w:rPr>
        <w:t>电源模块应</w:t>
      </w:r>
      <w:r>
        <w:rPr>
          <w:rFonts w:hint="eastAsia"/>
          <w:color w:val="auto"/>
          <w:lang w:val="en-US" w:eastAsia="zh-CN"/>
        </w:rPr>
        <w:t>符合</w:t>
      </w:r>
      <w:r>
        <w:rPr>
          <w:rFonts w:hint="eastAsia"/>
          <w:color w:val="auto"/>
        </w:rPr>
        <w:t>CCC认证</w:t>
      </w:r>
      <w:r>
        <w:rPr>
          <w:rFonts w:hint="eastAsia"/>
          <w:color w:val="auto"/>
          <w:lang w:val="en-US" w:eastAsia="zh-CN"/>
        </w:rPr>
        <w:t>要求</w:t>
      </w:r>
      <w:r>
        <w:rPr>
          <w:rFonts w:hint="eastAsia"/>
          <w:color w:val="auto"/>
        </w:rPr>
        <w:t>。</w:t>
      </w:r>
    </w:p>
    <w:p>
      <w:pPr>
        <w:pStyle w:val="69"/>
        <w:spacing w:before="156" w:after="156"/>
        <w:rPr>
          <w:color w:val="auto"/>
        </w:rPr>
      </w:pPr>
      <w:r>
        <w:rPr>
          <w:rFonts w:hint="eastAsia"/>
          <w:color w:val="auto"/>
        </w:rPr>
        <w:t>抗电强度检测</w:t>
      </w:r>
    </w:p>
    <w:p>
      <w:pPr>
        <w:pStyle w:val="60"/>
        <w:ind w:firstLine="420"/>
        <w:rPr>
          <w:color w:val="auto"/>
        </w:rPr>
      </w:pPr>
      <w:r>
        <w:rPr>
          <w:rFonts w:hint="eastAsia"/>
          <w:color w:val="auto"/>
        </w:rPr>
        <w:t>抗电强度检测要求如下：</w:t>
      </w:r>
    </w:p>
    <w:p>
      <w:pPr>
        <w:pStyle w:val="178"/>
        <w:numPr>
          <w:ilvl w:val="0"/>
          <w:numId w:val="52"/>
        </w:numPr>
        <w:rPr>
          <w:color w:val="auto"/>
        </w:rPr>
      </w:pPr>
      <w:r>
        <w:rPr>
          <w:rFonts w:hint="eastAsia"/>
          <w:color w:val="auto"/>
        </w:rPr>
        <w:t>检测内容为检测终端和专用模块的耐电压强度应符合DB11/T 1164.7的规定；</w:t>
      </w:r>
    </w:p>
    <w:p>
      <w:pPr>
        <w:pStyle w:val="178"/>
        <w:rPr>
          <w:color w:val="auto"/>
        </w:rPr>
      </w:pPr>
      <w:r>
        <w:rPr>
          <w:rFonts w:hint="eastAsia"/>
          <w:color w:val="auto"/>
        </w:rPr>
        <w:t>检测方法要求如下：</w:t>
      </w:r>
    </w:p>
    <w:p>
      <w:pPr>
        <w:pStyle w:val="113"/>
        <w:numPr>
          <w:ilvl w:val="1"/>
          <w:numId w:val="53"/>
        </w:numPr>
        <w:rPr>
          <w:color w:val="auto"/>
        </w:rPr>
      </w:pPr>
      <w:r>
        <w:rPr>
          <w:rFonts w:hint="eastAsia"/>
          <w:color w:val="auto"/>
        </w:rPr>
        <w:t>终端：将电源线插到耐压测试仪输出的插座上，打开测试仪电源，设置电压为1500 V，测试时间为1 分钟，按“开始”。不应有飞弧和击穿现象；</w:t>
      </w:r>
    </w:p>
    <w:p>
      <w:pPr>
        <w:pStyle w:val="113"/>
        <w:rPr>
          <w:color w:val="auto"/>
        </w:rPr>
      </w:pPr>
      <w:r>
        <w:rPr>
          <w:rFonts w:hint="eastAsia"/>
          <w:color w:val="auto"/>
        </w:rPr>
        <w:t>专用模块：将电源线插到耐压测试仪输出的插座上，打开测试仪电源，设置电压为500 V，测试时间为1 分钟，按“开始”。不应有飞弧和击穿现象。</w:t>
      </w:r>
    </w:p>
    <w:p>
      <w:pPr>
        <w:pStyle w:val="69"/>
        <w:spacing w:before="156" w:after="156"/>
        <w:rPr>
          <w:color w:val="auto"/>
        </w:rPr>
      </w:pPr>
      <w:r>
        <w:rPr>
          <w:rFonts w:hint="eastAsia"/>
          <w:color w:val="auto"/>
        </w:rPr>
        <w:t>绝缘电阻检测</w:t>
      </w:r>
    </w:p>
    <w:p>
      <w:pPr>
        <w:pStyle w:val="60"/>
        <w:ind w:firstLine="420"/>
        <w:rPr>
          <w:color w:val="auto"/>
        </w:rPr>
      </w:pPr>
      <w:r>
        <w:rPr>
          <w:rFonts w:hint="eastAsia"/>
          <w:color w:val="auto"/>
        </w:rPr>
        <w:t>绝缘电阻检测要求如下：</w:t>
      </w:r>
    </w:p>
    <w:p>
      <w:pPr>
        <w:pStyle w:val="178"/>
        <w:numPr>
          <w:ilvl w:val="0"/>
          <w:numId w:val="54"/>
        </w:numPr>
        <w:rPr>
          <w:color w:val="auto"/>
        </w:rPr>
      </w:pPr>
      <w:r>
        <w:rPr>
          <w:rFonts w:hint="eastAsia"/>
          <w:color w:val="auto"/>
        </w:rPr>
        <w:t>检测内容为检测终端和专用模块的绝缘电阻应符合DB11/T 1164.7的规定；</w:t>
      </w:r>
    </w:p>
    <w:p>
      <w:pPr>
        <w:pStyle w:val="178"/>
        <w:rPr>
          <w:color w:val="auto"/>
        </w:rPr>
      </w:pPr>
      <w:r>
        <w:rPr>
          <w:rFonts w:hint="eastAsia"/>
          <w:color w:val="auto"/>
        </w:rPr>
        <w:t>检测方法要求如下：</w:t>
      </w:r>
    </w:p>
    <w:p>
      <w:pPr>
        <w:pStyle w:val="113"/>
        <w:numPr>
          <w:ilvl w:val="1"/>
          <w:numId w:val="55"/>
        </w:numPr>
        <w:rPr>
          <w:color w:val="auto"/>
        </w:rPr>
      </w:pPr>
      <w:r>
        <w:rPr>
          <w:rFonts w:hint="eastAsia"/>
          <w:color w:val="auto"/>
        </w:rPr>
        <w:t>终端：设置测试电压为500 V直流，测试时间1 分钟，测得的绝缘电阻值应不小于2 MΩ；</w:t>
      </w:r>
    </w:p>
    <w:p>
      <w:pPr>
        <w:pStyle w:val="113"/>
        <w:rPr>
          <w:color w:val="auto"/>
        </w:rPr>
      </w:pPr>
      <w:r>
        <w:rPr>
          <w:rFonts w:hint="eastAsia"/>
          <w:color w:val="auto"/>
        </w:rPr>
        <w:t>专用模块：设置测试电压为100 V直流，测试时间1 分钟，测得的绝缘电阻值应不小于20 MΩ。</w:t>
      </w:r>
    </w:p>
    <w:p>
      <w:pPr>
        <w:pStyle w:val="69"/>
        <w:spacing w:before="156" w:after="156"/>
        <w:rPr>
          <w:color w:val="auto"/>
        </w:rPr>
      </w:pPr>
      <w:r>
        <w:rPr>
          <w:rFonts w:hint="eastAsia"/>
          <w:color w:val="auto"/>
        </w:rPr>
        <w:t>接触电流检测</w:t>
      </w:r>
    </w:p>
    <w:p>
      <w:pPr>
        <w:pStyle w:val="60"/>
        <w:ind w:firstLine="420"/>
        <w:rPr>
          <w:color w:val="auto"/>
        </w:rPr>
      </w:pPr>
      <w:r>
        <w:rPr>
          <w:rFonts w:hint="eastAsia"/>
          <w:color w:val="auto"/>
        </w:rPr>
        <w:t>接触电流检测要求如下：</w:t>
      </w:r>
    </w:p>
    <w:p>
      <w:pPr>
        <w:pStyle w:val="178"/>
        <w:numPr>
          <w:ilvl w:val="0"/>
          <w:numId w:val="56"/>
        </w:numPr>
        <w:rPr>
          <w:color w:val="auto"/>
        </w:rPr>
      </w:pPr>
      <w:r>
        <w:rPr>
          <w:rFonts w:hint="eastAsia"/>
          <w:color w:val="auto"/>
        </w:rPr>
        <w:t>检测内容为检测终端的接触电流应符合DB11/T 1164.7的规定；</w:t>
      </w:r>
    </w:p>
    <w:p>
      <w:pPr>
        <w:pStyle w:val="178"/>
        <w:rPr>
          <w:color w:val="auto"/>
        </w:rPr>
      </w:pPr>
      <w:r>
        <w:rPr>
          <w:rFonts w:hint="eastAsia"/>
          <w:color w:val="auto"/>
        </w:rPr>
        <w:t>检测方法应设置测试电压为额定电压或额定电压的110%，测试时间60 s，接触电流不能超过3.5 mA。</w:t>
      </w:r>
    </w:p>
    <w:p>
      <w:pPr>
        <w:pStyle w:val="69"/>
        <w:spacing w:before="156" w:after="156"/>
        <w:rPr>
          <w:color w:val="auto"/>
        </w:rPr>
      </w:pPr>
      <w:r>
        <w:rPr>
          <w:rFonts w:hint="eastAsia"/>
          <w:color w:val="auto"/>
        </w:rPr>
        <w:t>接地阻抗检测</w:t>
      </w:r>
    </w:p>
    <w:p>
      <w:pPr>
        <w:pStyle w:val="60"/>
        <w:ind w:firstLine="420"/>
        <w:rPr>
          <w:color w:val="auto"/>
        </w:rPr>
      </w:pPr>
      <w:r>
        <w:rPr>
          <w:rFonts w:hint="eastAsia"/>
          <w:color w:val="auto"/>
        </w:rPr>
        <w:t>接地阻抗检测要求如下：</w:t>
      </w:r>
    </w:p>
    <w:p>
      <w:pPr>
        <w:pStyle w:val="178"/>
        <w:numPr>
          <w:ilvl w:val="0"/>
          <w:numId w:val="57"/>
        </w:numPr>
        <w:rPr>
          <w:color w:val="auto"/>
        </w:rPr>
      </w:pPr>
      <w:r>
        <w:rPr>
          <w:rFonts w:hint="eastAsia"/>
          <w:color w:val="auto"/>
        </w:rPr>
        <w:t>检测内容为检测终端的接地阻抗应符合DB11/T 1164.7的规定；</w:t>
      </w:r>
    </w:p>
    <w:p>
      <w:pPr>
        <w:pStyle w:val="178"/>
        <w:rPr>
          <w:color w:val="auto"/>
        </w:rPr>
      </w:pPr>
      <w:r>
        <w:rPr>
          <w:rFonts w:hint="eastAsia"/>
          <w:color w:val="auto"/>
        </w:rPr>
        <w:t>检测方法应设置测试电流为25 A，测试时间60 s，接地阻抗应不大于0.1 Ω。</w:t>
      </w:r>
    </w:p>
    <w:p>
      <w:pPr>
        <w:pStyle w:val="69"/>
        <w:spacing w:before="156" w:after="156"/>
        <w:rPr>
          <w:color w:val="auto"/>
        </w:rPr>
      </w:pPr>
      <w:r>
        <w:rPr>
          <w:rFonts w:hint="eastAsia"/>
          <w:color w:val="auto"/>
        </w:rPr>
        <w:t>电源适应性检测</w:t>
      </w:r>
    </w:p>
    <w:p>
      <w:pPr>
        <w:pStyle w:val="98"/>
        <w:spacing w:before="156" w:after="156"/>
        <w:rPr>
          <w:color w:val="auto"/>
        </w:rPr>
      </w:pPr>
      <w:r>
        <w:rPr>
          <w:rFonts w:hint="eastAsia"/>
          <w:color w:val="auto"/>
        </w:rPr>
        <w:t>电源电压适应性检测</w:t>
      </w:r>
    </w:p>
    <w:p>
      <w:pPr>
        <w:pStyle w:val="60"/>
        <w:ind w:firstLine="420"/>
        <w:rPr>
          <w:color w:val="auto"/>
        </w:rPr>
      </w:pPr>
      <w:r>
        <w:rPr>
          <w:rFonts w:hint="eastAsia"/>
          <w:color w:val="auto"/>
        </w:rPr>
        <w:t>电源电压适应性检测要求如下：</w:t>
      </w:r>
    </w:p>
    <w:p>
      <w:pPr>
        <w:pStyle w:val="178"/>
        <w:numPr>
          <w:ilvl w:val="0"/>
          <w:numId w:val="58"/>
        </w:numPr>
        <w:rPr>
          <w:color w:val="auto"/>
        </w:rPr>
      </w:pPr>
      <w:r>
        <w:rPr>
          <w:rFonts w:hint="eastAsia"/>
          <w:color w:val="auto"/>
        </w:rPr>
        <w:t>检测内容为检测终端和专用模块的工作电压和电源频率应符合DB11/T 1164.7的规定；</w:t>
      </w:r>
    </w:p>
    <w:p>
      <w:pPr>
        <w:pStyle w:val="178"/>
        <w:rPr>
          <w:color w:val="auto"/>
        </w:rPr>
      </w:pPr>
      <w:r>
        <w:rPr>
          <w:rFonts w:hint="eastAsia"/>
          <w:color w:val="auto"/>
        </w:rPr>
        <w:t>检测方法要求如下：</w:t>
      </w:r>
    </w:p>
    <w:p>
      <w:pPr>
        <w:pStyle w:val="113"/>
        <w:numPr>
          <w:ilvl w:val="1"/>
          <w:numId w:val="59"/>
        </w:numPr>
        <w:rPr>
          <w:color w:val="auto"/>
        </w:rPr>
      </w:pPr>
      <w:r>
        <w:rPr>
          <w:rFonts w:hint="eastAsia"/>
          <w:color w:val="auto"/>
        </w:rPr>
        <w:t>终端：对受检设备施加标称电压和频率的四个极限条件，受检终端应能正常工作；</w:t>
      </w:r>
    </w:p>
    <w:p>
      <w:pPr>
        <w:pStyle w:val="113"/>
        <w:rPr>
          <w:color w:val="auto"/>
        </w:rPr>
      </w:pPr>
      <w:r>
        <w:rPr>
          <w:rFonts w:hint="eastAsia"/>
          <w:color w:val="auto"/>
        </w:rPr>
        <w:t>专用模块：对受试模块施加标称电压两个极限条件，受检专用模块应能正常工作。</w:t>
      </w:r>
    </w:p>
    <w:p>
      <w:pPr>
        <w:pStyle w:val="69"/>
        <w:spacing w:before="156" w:after="156"/>
        <w:rPr>
          <w:color w:val="auto"/>
        </w:rPr>
      </w:pPr>
      <w:r>
        <w:rPr>
          <w:rFonts w:hint="eastAsia"/>
          <w:color w:val="auto"/>
        </w:rPr>
        <w:t>用电功率检测</w:t>
      </w:r>
    </w:p>
    <w:p>
      <w:pPr>
        <w:pStyle w:val="60"/>
        <w:ind w:firstLine="420"/>
        <w:rPr>
          <w:color w:val="auto"/>
        </w:rPr>
      </w:pPr>
      <w:r>
        <w:rPr>
          <w:rFonts w:hint="eastAsia"/>
          <w:color w:val="auto"/>
        </w:rPr>
        <w:t>用电功率要求如下：</w:t>
      </w:r>
    </w:p>
    <w:p>
      <w:pPr>
        <w:pStyle w:val="178"/>
        <w:numPr>
          <w:ilvl w:val="0"/>
          <w:numId w:val="60"/>
        </w:numPr>
        <w:rPr>
          <w:color w:val="auto"/>
        </w:rPr>
      </w:pPr>
      <w:r>
        <w:rPr>
          <w:rFonts w:hint="eastAsia"/>
          <w:color w:val="auto"/>
        </w:rPr>
        <w:t>检测内容为检测终端的用电功率应符合DB11/T 1164.7的规定；</w:t>
      </w:r>
    </w:p>
    <w:p>
      <w:pPr>
        <w:pStyle w:val="178"/>
        <w:rPr>
          <w:color w:val="auto"/>
        </w:rPr>
      </w:pPr>
      <w:r>
        <w:rPr>
          <w:rFonts w:hint="eastAsia"/>
          <w:color w:val="auto"/>
        </w:rPr>
        <w:t>检测方法应使用专用工具测试终端用电功率。</w:t>
      </w:r>
    </w:p>
    <w:p>
      <w:pPr>
        <w:pStyle w:val="109"/>
        <w:spacing w:before="156" w:after="156"/>
        <w:rPr>
          <w:color w:val="auto"/>
        </w:rPr>
      </w:pPr>
      <w:bookmarkStart w:id="121" w:name="_Toc332391355"/>
      <w:bookmarkEnd w:id="121"/>
      <w:bookmarkStart w:id="122" w:name="_Toc331436296"/>
      <w:bookmarkEnd w:id="122"/>
      <w:bookmarkStart w:id="123" w:name="_Toc58340954"/>
      <w:bookmarkEnd w:id="123"/>
      <w:bookmarkStart w:id="124" w:name="_Toc330802296"/>
      <w:bookmarkEnd w:id="124"/>
      <w:bookmarkStart w:id="125" w:name="_Toc322562761"/>
      <w:bookmarkEnd w:id="125"/>
      <w:bookmarkStart w:id="126" w:name="_Toc332829227"/>
      <w:bookmarkStart w:id="127" w:name="_Toc203209019"/>
      <w:bookmarkStart w:id="128" w:name="_Toc123"/>
      <w:r>
        <w:rPr>
          <w:rFonts w:hint="eastAsia"/>
          <w:color w:val="auto"/>
        </w:rPr>
        <w:t>电磁兼容性</w:t>
      </w:r>
      <w:bookmarkEnd w:id="126"/>
      <w:r>
        <w:rPr>
          <w:rFonts w:hint="eastAsia"/>
          <w:color w:val="auto"/>
        </w:rPr>
        <w:t>检测</w:t>
      </w:r>
      <w:bookmarkEnd w:id="127"/>
      <w:bookmarkEnd w:id="128"/>
    </w:p>
    <w:p>
      <w:pPr>
        <w:pStyle w:val="69"/>
        <w:spacing w:before="156" w:after="156"/>
        <w:rPr>
          <w:color w:val="auto"/>
        </w:rPr>
      </w:pPr>
      <w:r>
        <w:rPr>
          <w:rFonts w:hint="eastAsia"/>
          <w:color w:val="auto"/>
        </w:rPr>
        <w:t>产品认证要求</w:t>
      </w:r>
    </w:p>
    <w:p>
      <w:pPr>
        <w:pStyle w:val="60"/>
        <w:ind w:firstLine="420"/>
        <w:rPr>
          <w:color w:val="auto"/>
        </w:rPr>
      </w:pPr>
      <w:r>
        <w:rPr>
          <w:rFonts w:hint="eastAsia"/>
          <w:color w:val="auto"/>
        </w:rPr>
        <w:t>自动售票机和电源模块应</w:t>
      </w:r>
      <w:r>
        <w:rPr>
          <w:rFonts w:hint="eastAsia"/>
          <w:color w:val="auto"/>
          <w:lang w:val="en-US" w:eastAsia="zh-CN"/>
        </w:rPr>
        <w:t>符合</w:t>
      </w:r>
      <w:r>
        <w:rPr>
          <w:rFonts w:hint="eastAsia"/>
          <w:color w:val="auto"/>
        </w:rPr>
        <w:t>CCC认证</w:t>
      </w:r>
      <w:r>
        <w:rPr>
          <w:rFonts w:hint="eastAsia"/>
          <w:color w:val="auto"/>
          <w:lang w:val="en-US" w:eastAsia="zh-CN"/>
        </w:rPr>
        <w:t>要求</w:t>
      </w:r>
      <w:r>
        <w:rPr>
          <w:rFonts w:hint="eastAsia"/>
          <w:color w:val="auto"/>
        </w:rPr>
        <w:t>。</w:t>
      </w:r>
    </w:p>
    <w:p>
      <w:pPr>
        <w:pStyle w:val="69"/>
        <w:spacing w:before="156" w:after="156"/>
        <w:rPr>
          <w:color w:val="auto"/>
        </w:rPr>
      </w:pPr>
      <w:bookmarkStart w:id="129" w:name="_Toc332391357"/>
      <w:bookmarkEnd w:id="129"/>
      <w:bookmarkStart w:id="130" w:name="_Toc331436298"/>
      <w:bookmarkEnd w:id="130"/>
      <w:bookmarkStart w:id="131" w:name="_Toc322562763"/>
      <w:bookmarkEnd w:id="131"/>
      <w:bookmarkStart w:id="132" w:name="_Toc330802298"/>
      <w:bookmarkEnd w:id="132"/>
      <w:bookmarkStart w:id="133" w:name="_Toc332829229"/>
      <w:bookmarkEnd w:id="133"/>
      <w:bookmarkStart w:id="134" w:name="_Ref57390062"/>
      <w:r>
        <w:rPr>
          <w:rFonts w:hint="eastAsia"/>
          <w:color w:val="auto"/>
        </w:rPr>
        <w:t>无线电骚扰</w:t>
      </w:r>
      <w:bookmarkEnd w:id="134"/>
      <w:r>
        <w:rPr>
          <w:rFonts w:hint="eastAsia"/>
          <w:color w:val="auto"/>
        </w:rPr>
        <w:t>检测</w:t>
      </w:r>
    </w:p>
    <w:p>
      <w:pPr>
        <w:pStyle w:val="60"/>
        <w:ind w:firstLine="420"/>
        <w:rPr>
          <w:color w:val="auto"/>
        </w:rPr>
      </w:pPr>
      <w:r>
        <w:rPr>
          <w:rFonts w:hint="eastAsia"/>
          <w:color w:val="auto"/>
        </w:rPr>
        <w:t>无线电骚扰检测应满足如下要求：</w:t>
      </w:r>
    </w:p>
    <w:p>
      <w:pPr>
        <w:pStyle w:val="178"/>
        <w:numPr>
          <w:ilvl w:val="0"/>
          <w:numId w:val="61"/>
        </w:numPr>
        <w:rPr>
          <w:color w:val="auto"/>
        </w:rPr>
      </w:pPr>
      <w:r>
        <w:rPr>
          <w:rFonts w:hint="eastAsia"/>
          <w:color w:val="auto"/>
        </w:rPr>
        <w:t>按GB 9254规定的试验设备和方法对受试样品进行试验。</w:t>
      </w:r>
    </w:p>
    <w:p>
      <w:pPr>
        <w:pStyle w:val="178"/>
        <w:rPr>
          <w:color w:val="auto"/>
        </w:rPr>
      </w:pPr>
      <w:r>
        <w:rPr>
          <w:rFonts w:hint="eastAsia"/>
          <w:color w:val="auto"/>
        </w:rPr>
        <w:t>A级设备不应超过表 2、表 4、表 6的限值，B级设备不应超过表 3、表 5、表 7的限值。</w:t>
      </w:r>
    </w:p>
    <w:p>
      <w:pPr>
        <w:pStyle w:val="113"/>
        <w:numPr>
          <w:ilvl w:val="1"/>
          <w:numId w:val="62"/>
        </w:numPr>
        <w:rPr>
          <w:color w:val="auto"/>
        </w:rPr>
      </w:pPr>
      <w:r>
        <w:rPr>
          <w:rFonts w:hint="eastAsia"/>
          <w:color w:val="auto"/>
        </w:rPr>
        <w:t>A级设备辐射骚扰限值</w:t>
      </w:r>
      <w:r>
        <w:rPr>
          <w:rFonts w:hint="eastAsia"/>
          <w:color w:val="auto"/>
          <w:lang w:val="en-US" w:eastAsia="zh-CN"/>
        </w:rPr>
        <w:t>应符合</w:t>
      </w:r>
      <w:r>
        <w:rPr>
          <w:rFonts w:hint="eastAsia"/>
          <w:color w:val="auto"/>
        </w:rPr>
        <w:t>表 2。</w:t>
      </w:r>
    </w:p>
    <w:p>
      <w:pPr>
        <w:pStyle w:val="116"/>
        <w:spacing w:before="156" w:after="156"/>
        <w:rPr>
          <w:color w:val="auto"/>
          <w:szCs w:val="21"/>
        </w:rPr>
      </w:pPr>
      <w:bookmarkStart w:id="135" w:name="_Ref49766128"/>
      <w:bookmarkEnd w:id="135"/>
      <w:r>
        <w:rPr>
          <w:rFonts w:hint="eastAsia"/>
          <w:color w:val="auto"/>
        </w:rPr>
        <w:t>A级ITE在10m测量距离处的辐射骚扰限值</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667" w:type="dxa"/>
            <w:tcBorders>
              <w:top w:val="single" w:color="auto" w:sz="8" w:space="0"/>
              <w:bottom w:val="single" w:color="auto" w:sz="8" w:space="0"/>
            </w:tcBorders>
            <w:shd w:val="clear" w:color="auto" w:fill="auto"/>
            <w:vAlign w:val="center"/>
          </w:tcPr>
          <w:p>
            <w:pPr>
              <w:spacing w:line="240" w:lineRule="auto"/>
              <w:jc w:val="center"/>
              <w:rPr>
                <w:rFonts w:ascii="宋体"/>
                <w:color w:val="auto"/>
                <w:sz w:val="18"/>
                <w:szCs w:val="18"/>
              </w:rPr>
            </w:pPr>
            <w:r>
              <w:rPr>
                <w:rFonts w:hint="eastAsia" w:ascii="宋体" w:hAnsi="宋体"/>
                <w:color w:val="auto"/>
                <w:sz w:val="18"/>
                <w:szCs w:val="18"/>
              </w:rPr>
              <w:t>频率范围（</w:t>
            </w:r>
            <w:r>
              <w:rPr>
                <w:rFonts w:hint="eastAsia" w:ascii="宋体"/>
                <w:color w:val="auto"/>
                <w:sz w:val="18"/>
                <w:szCs w:val="18"/>
              </w:rPr>
              <w:t>MHz</w:t>
            </w:r>
            <w:r>
              <w:rPr>
                <w:rFonts w:hint="eastAsia" w:ascii="宋体" w:hAnsi="宋体"/>
                <w:color w:val="auto"/>
                <w:sz w:val="18"/>
                <w:szCs w:val="18"/>
              </w:rPr>
              <w:t>）</w:t>
            </w:r>
          </w:p>
        </w:tc>
        <w:tc>
          <w:tcPr>
            <w:tcW w:w="4667" w:type="dxa"/>
            <w:tcBorders>
              <w:top w:val="single" w:color="auto" w:sz="8" w:space="0"/>
              <w:bottom w:val="single" w:color="auto" w:sz="8" w:space="0"/>
            </w:tcBorders>
            <w:shd w:val="clear" w:color="auto" w:fill="auto"/>
            <w:vAlign w:val="center"/>
          </w:tcPr>
          <w:p>
            <w:pPr>
              <w:spacing w:line="240" w:lineRule="auto"/>
              <w:jc w:val="center"/>
              <w:rPr>
                <w:rFonts w:ascii="宋体"/>
                <w:color w:val="auto"/>
                <w:sz w:val="18"/>
                <w:szCs w:val="18"/>
              </w:rPr>
            </w:pPr>
            <w:r>
              <w:rPr>
                <w:rFonts w:hint="eastAsia" w:ascii="宋体" w:hAnsi="宋体"/>
                <w:color w:val="auto"/>
                <w:sz w:val="18"/>
                <w:szCs w:val="18"/>
              </w:rPr>
              <w:t>准峰值限值</w:t>
            </w:r>
            <w:r>
              <w:rPr>
                <w:rFonts w:hint="eastAsia" w:ascii="宋体"/>
                <w:color w:val="auto"/>
                <w:sz w:val="18"/>
                <w:szCs w:val="18"/>
              </w:rPr>
              <w:t>dB</w:t>
            </w:r>
            <w:r>
              <w:rPr>
                <w:rFonts w:hint="eastAsia" w:ascii="宋体" w:hAnsi="宋体"/>
                <w:color w:val="auto"/>
                <w:sz w:val="18"/>
                <w:szCs w:val="18"/>
              </w:rPr>
              <w:t>（</w:t>
            </w:r>
            <w:r>
              <w:rPr>
                <w:rFonts w:hint="eastAsia" w:ascii="宋体"/>
                <w:color w:val="auto"/>
                <w:sz w:val="18"/>
                <w:szCs w:val="18"/>
              </w:rPr>
              <w:t>µ</w:t>
            </w:r>
            <w:r>
              <w:rPr>
                <w:rFonts w:hint="eastAsia" w:ascii="宋体" w:hAnsi="宋体"/>
                <w:color w:val="auto"/>
                <w:sz w:val="18"/>
                <w:szCs w:val="18"/>
              </w:rPr>
              <w:t>V/m）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667" w:type="dxa"/>
            <w:tcBorders>
              <w:top w:val="single" w:color="auto" w:sz="8" w:space="0"/>
            </w:tcBorders>
            <w:shd w:val="clear" w:color="auto" w:fill="auto"/>
            <w:vAlign w:val="center"/>
          </w:tcPr>
          <w:p>
            <w:pPr>
              <w:spacing w:line="240" w:lineRule="auto"/>
              <w:jc w:val="center"/>
              <w:rPr>
                <w:rFonts w:ascii="宋体"/>
                <w:color w:val="auto"/>
                <w:sz w:val="18"/>
                <w:szCs w:val="18"/>
              </w:rPr>
            </w:pPr>
            <w:r>
              <w:rPr>
                <w:rFonts w:hint="eastAsia" w:ascii="宋体"/>
                <w:color w:val="auto"/>
                <w:sz w:val="18"/>
                <w:szCs w:val="18"/>
              </w:rPr>
              <w:t>30</w:t>
            </w:r>
            <w:r>
              <w:rPr>
                <w:rFonts w:hint="eastAsia" w:ascii="宋体" w:hAnsi="宋体"/>
                <w:color w:val="auto"/>
                <w:sz w:val="18"/>
                <w:szCs w:val="18"/>
              </w:rPr>
              <w:t>～</w:t>
            </w:r>
            <w:r>
              <w:rPr>
                <w:rFonts w:hint="eastAsia" w:ascii="宋体"/>
                <w:color w:val="auto"/>
                <w:sz w:val="18"/>
                <w:szCs w:val="18"/>
              </w:rPr>
              <w:t>230</w:t>
            </w:r>
          </w:p>
        </w:tc>
        <w:tc>
          <w:tcPr>
            <w:tcW w:w="4667" w:type="dxa"/>
            <w:tcBorders>
              <w:top w:val="single" w:color="auto" w:sz="8" w:space="0"/>
            </w:tcBorders>
            <w:shd w:val="clear" w:color="auto" w:fill="auto"/>
            <w:vAlign w:val="center"/>
          </w:tcPr>
          <w:p>
            <w:pPr>
              <w:spacing w:line="240" w:lineRule="auto"/>
              <w:jc w:val="center"/>
              <w:rPr>
                <w:rFonts w:ascii="宋体"/>
                <w:color w:val="auto"/>
                <w:sz w:val="18"/>
                <w:szCs w:val="18"/>
              </w:rPr>
            </w:pPr>
            <w:r>
              <w:rPr>
                <w:rFonts w:hint="eastAsia" w:ascii="宋体"/>
                <w:color w:val="auto"/>
                <w:sz w:val="18"/>
                <w:szCs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 w:hRule="atLeast"/>
          <w:jc w:val="center"/>
        </w:trPr>
        <w:tc>
          <w:tcPr>
            <w:tcW w:w="4667" w:type="dxa"/>
            <w:shd w:val="clear" w:color="auto" w:fill="auto"/>
            <w:vAlign w:val="center"/>
          </w:tcPr>
          <w:p>
            <w:pPr>
              <w:spacing w:line="240" w:lineRule="auto"/>
              <w:jc w:val="center"/>
              <w:rPr>
                <w:rFonts w:ascii="宋体"/>
                <w:color w:val="auto"/>
                <w:sz w:val="18"/>
                <w:szCs w:val="18"/>
              </w:rPr>
            </w:pPr>
            <w:r>
              <w:rPr>
                <w:rFonts w:hint="eastAsia" w:ascii="宋体"/>
                <w:color w:val="auto"/>
                <w:sz w:val="18"/>
                <w:szCs w:val="18"/>
              </w:rPr>
              <w:t>230</w:t>
            </w:r>
            <w:r>
              <w:rPr>
                <w:rFonts w:hint="eastAsia" w:ascii="宋体" w:hAnsi="宋体"/>
                <w:color w:val="auto"/>
                <w:sz w:val="18"/>
                <w:szCs w:val="18"/>
              </w:rPr>
              <w:t>～</w:t>
            </w:r>
            <w:r>
              <w:rPr>
                <w:rFonts w:hint="eastAsia" w:ascii="宋体"/>
                <w:color w:val="auto"/>
                <w:sz w:val="18"/>
                <w:szCs w:val="18"/>
              </w:rPr>
              <w:t>1000</w:t>
            </w:r>
          </w:p>
        </w:tc>
        <w:tc>
          <w:tcPr>
            <w:tcW w:w="4667" w:type="dxa"/>
            <w:shd w:val="clear" w:color="auto" w:fill="auto"/>
            <w:vAlign w:val="center"/>
          </w:tcPr>
          <w:p>
            <w:pPr>
              <w:spacing w:line="240" w:lineRule="auto"/>
              <w:jc w:val="center"/>
              <w:rPr>
                <w:rFonts w:ascii="宋体"/>
                <w:color w:val="auto"/>
                <w:sz w:val="18"/>
                <w:szCs w:val="18"/>
              </w:rPr>
            </w:pPr>
            <w:r>
              <w:rPr>
                <w:rFonts w:hint="eastAsia" w:ascii="宋体"/>
                <w:color w:val="auto"/>
                <w:sz w:val="18"/>
                <w:szCs w:val="18"/>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334" w:type="dxa"/>
            <w:gridSpan w:val="2"/>
            <w:shd w:val="clear" w:color="auto" w:fill="auto"/>
            <w:vAlign w:val="center"/>
          </w:tcPr>
          <w:p>
            <w:pPr>
              <w:pStyle w:val="184"/>
              <w:rPr>
                <w:color w:val="auto"/>
              </w:rPr>
            </w:pPr>
            <w:r>
              <w:rPr>
                <w:rFonts w:hint="eastAsia"/>
                <w:color w:val="auto"/>
              </w:rPr>
              <w:t>在过渡频率（230 MHz）处应采用较低的限值；</w:t>
            </w:r>
          </w:p>
          <w:p>
            <w:pPr>
              <w:pStyle w:val="184"/>
              <w:rPr>
                <w:color w:val="auto"/>
              </w:rPr>
            </w:pPr>
            <w:r>
              <w:rPr>
                <w:rFonts w:hint="eastAsia"/>
                <w:color w:val="auto"/>
              </w:rPr>
              <w:t>当发生干扰时，允许补充其他的规定。</w:t>
            </w:r>
          </w:p>
        </w:tc>
      </w:tr>
    </w:tbl>
    <w:p>
      <w:pPr>
        <w:pStyle w:val="113"/>
        <w:numPr>
          <w:ilvl w:val="1"/>
          <w:numId w:val="62"/>
        </w:numPr>
        <w:rPr>
          <w:color w:val="auto"/>
        </w:rPr>
      </w:pPr>
      <w:r>
        <w:rPr>
          <w:rFonts w:hint="eastAsia"/>
          <w:color w:val="auto"/>
        </w:rPr>
        <w:t>B级设备辐射骚扰限值</w:t>
      </w:r>
      <w:r>
        <w:rPr>
          <w:rFonts w:hint="eastAsia"/>
          <w:color w:val="auto"/>
          <w:lang w:val="en-US" w:eastAsia="zh-CN"/>
        </w:rPr>
        <w:t>应符合</w:t>
      </w:r>
      <w:r>
        <w:rPr>
          <w:rFonts w:hint="eastAsia"/>
          <w:color w:val="auto"/>
        </w:rPr>
        <w:t>表 3。</w:t>
      </w:r>
    </w:p>
    <w:p>
      <w:pPr>
        <w:pStyle w:val="116"/>
        <w:spacing w:before="156" w:after="156"/>
        <w:rPr>
          <w:color w:val="auto"/>
        </w:rPr>
      </w:pPr>
      <w:bookmarkStart w:id="136" w:name="_Ref49766152"/>
      <w:bookmarkEnd w:id="136"/>
      <w:bookmarkStart w:id="137" w:name="_Toc449538962"/>
      <w:bookmarkEnd w:id="137"/>
      <w:bookmarkStart w:id="138" w:name="_Toc332391796"/>
      <w:bookmarkEnd w:id="138"/>
      <w:bookmarkStart w:id="139" w:name="_Toc322563200"/>
      <w:bookmarkEnd w:id="139"/>
      <w:bookmarkStart w:id="140" w:name="_Toc330802559"/>
      <w:bookmarkEnd w:id="140"/>
      <w:bookmarkStart w:id="141" w:name="_Toc331436561"/>
      <w:r>
        <w:rPr>
          <w:rFonts w:hint="eastAsia"/>
          <w:color w:val="auto"/>
        </w:rPr>
        <w:t>B</w:t>
      </w:r>
      <w:bookmarkEnd w:id="141"/>
      <w:r>
        <w:rPr>
          <w:rFonts w:hint="eastAsia"/>
          <w:color w:val="auto"/>
        </w:rPr>
        <w:t>级ITE在10m测量距离处的辐射骚扰限值</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频率范围（MHz）</w:t>
            </w:r>
          </w:p>
        </w:tc>
        <w:tc>
          <w:tcPr>
            <w:tcW w:w="4785" w:type="dxa"/>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准峰值限值dB（µV/m）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tcBorders>
              <w:top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30～230</w:t>
            </w:r>
          </w:p>
        </w:tc>
        <w:tc>
          <w:tcPr>
            <w:tcW w:w="4785" w:type="dxa"/>
            <w:tcBorders>
              <w:top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0" w:firstLineChars="0"/>
              <w:jc w:val="center"/>
              <w:rPr>
                <w:color w:val="auto"/>
                <w:sz w:val="18"/>
              </w:rPr>
            </w:pPr>
            <w:r>
              <w:rPr>
                <w:rFonts w:hint="eastAsia"/>
                <w:color w:val="auto"/>
                <w:sz w:val="18"/>
              </w:rPr>
              <w:t>230～1000</w:t>
            </w:r>
          </w:p>
        </w:tc>
        <w:tc>
          <w:tcPr>
            <w:tcW w:w="4785" w:type="dxa"/>
            <w:shd w:val="clear" w:color="auto" w:fill="auto"/>
            <w:vAlign w:val="center"/>
          </w:tcPr>
          <w:p>
            <w:pPr>
              <w:pStyle w:val="60"/>
              <w:ind w:firstLine="0" w:firstLineChars="0"/>
              <w:jc w:val="center"/>
              <w:rPr>
                <w:color w:val="auto"/>
                <w:sz w:val="18"/>
              </w:rPr>
            </w:pPr>
            <w:r>
              <w:rPr>
                <w:rFonts w:hint="eastAsia"/>
                <w:color w:val="auto"/>
                <w:sz w:val="18"/>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570" w:type="dxa"/>
            <w:gridSpan w:val="2"/>
            <w:shd w:val="clear" w:color="auto" w:fill="auto"/>
            <w:vAlign w:val="center"/>
          </w:tcPr>
          <w:p>
            <w:pPr>
              <w:pStyle w:val="184"/>
              <w:numPr>
                <w:ilvl w:val="0"/>
                <w:numId w:val="63"/>
              </w:numPr>
              <w:rPr>
                <w:color w:val="auto"/>
              </w:rPr>
            </w:pPr>
            <w:r>
              <w:rPr>
                <w:rFonts w:hint="eastAsia"/>
                <w:color w:val="auto"/>
              </w:rPr>
              <w:t>在过渡频率（230 MHz）处应采用较低的限值；</w:t>
            </w:r>
          </w:p>
          <w:p>
            <w:pPr>
              <w:pStyle w:val="184"/>
              <w:rPr>
                <w:color w:val="auto"/>
              </w:rPr>
            </w:pPr>
            <w:r>
              <w:rPr>
                <w:rFonts w:hint="eastAsia"/>
                <w:color w:val="auto"/>
              </w:rPr>
              <w:t>当发生干扰时，允许补充其他的规定。</w:t>
            </w:r>
          </w:p>
        </w:tc>
      </w:tr>
    </w:tbl>
    <w:p>
      <w:pPr>
        <w:pStyle w:val="60"/>
        <w:ind w:firstLine="420"/>
        <w:rPr>
          <w:color w:val="auto"/>
        </w:rPr>
      </w:pPr>
    </w:p>
    <w:p>
      <w:pPr>
        <w:pStyle w:val="60"/>
        <w:ind w:firstLine="420"/>
        <w:rPr>
          <w:color w:val="auto"/>
        </w:rPr>
      </w:pPr>
    </w:p>
    <w:p>
      <w:pPr>
        <w:pStyle w:val="60"/>
        <w:ind w:firstLine="420"/>
        <w:rPr>
          <w:color w:val="auto"/>
        </w:rPr>
      </w:pPr>
    </w:p>
    <w:p>
      <w:pPr>
        <w:pStyle w:val="60"/>
        <w:ind w:firstLine="420"/>
        <w:rPr>
          <w:color w:val="auto"/>
        </w:rPr>
      </w:pPr>
    </w:p>
    <w:p>
      <w:pPr>
        <w:pStyle w:val="60"/>
        <w:ind w:firstLine="420"/>
        <w:rPr>
          <w:color w:val="auto"/>
        </w:rPr>
      </w:pPr>
    </w:p>
    <w:p>
      <w:pPr>
        <w:pStyle w:val="60"/>
        <w:ind w:firstLine="420"/>
        <w:rPr>
          <w:color w:val="auto"/>
        </w:rPr>
      </w:pPr>
    </w:p>
    <w:p>
      <w:pPr>
        <w:pStyle w:val="60"/>
        <w:ind w:firstLine="420"/>
        <w:rPr>
          <w:color w:val="auto"/>
        </w:rPr>
      </w:pPr>
    </w:p>
    <w:p>
      <w:pPr>
        <w:pStyle w:val="113"/>
        <w:numPr>
          <w:ilvl w:val="1"/>
          <w:numId w:val="62"/>
        </w:numPr>
        <w:rPr>
          <w:color w:val="auto"/>
        </w:rPr>
      </w:pPr>
      <w:r>
        <w:rPr>
          <w:rFonts w:hint="eastAsia"/>
          <w:color w:val="auto"/>
        </w:rPr>
        <w:t>A级设备传导骚扰限值</w:t>
      </w:r>
      <w:r>
        <w:rPr>
          <w:rFonts w:hint="eastAsia"/>
          <w:color w:val="auto"/>
          <w:lang w:val="en-US" w:eastAsia="zh-CN"/>
        </w:rPr>
        <w:t>应符合</w:t>
      </w:r>
      <w:r>
        <w:rPr>
          <w:rFonts w:hint="eastAsia"/>
          <w:color w:val="auto"/>
        </w:rPr>
        <w:t>表 4。</w:t>
      </w:r>
    </w:p>
    <w:p>
      <w:pPr>
        <w:pStyle w:val="116"/>
        <w:spacing w:before="156" w:after="156"/>
        <w:rPr>
          <w:color w:val="auto"/>
        </w:rPr>
      </w:pPr>
      <w:bookmarkStart w:id="142" w:name="_Toc322563201"/>
      <w:bookmarkEnd w:id="142"/>
      <w:bookmarkStart w:id="143" w:name="_Ref49766135"/>
      <w:bookmarkEnd w:id="143"/>
      <w:bookmarkStart w:id="144" w:name="_Toc449538963"/>
      <w:bookmarkEnd w:id="144"/>
      <w:bookmarkStart w:id="145" w:name="_Toc332391797"/>
      <w:bookmarkEnd w:id="145"/>
      <w:bookmarkStart w:id="146" w:name="_Toc331436562"/>
      <w:bookmarkEnd w:id="146"/>
      <w:bookmarkStart w:id="147" w:name="_Toc330802560"/>
      <w:r>
        <w:rPr>
          <w:rFonts w:hint="eastAsia"/>
          <w:color w:val="auto"/>
        </w:rPr>
        <w:t>A</w:t>
      </w:r>
      <w:bookmarkEnd w:id="147"/>
      <w:r>
        <w:rPr>
          <w:rFonts w:hint="eastAsia"/>
          <w:color w:val="auto"/>
        </w:rPr>
        <w:t>级ITE电源端子传导骚扰限值</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bottom w:val="single" w:color="auto" w:sz="4" w:space="0"/>
            </w:tcBorders>
            <w:shd w:val="clear" w:color="auto" w:fill="auto"/>
            <w:vAlign w:val="center"/>
          </w:tcPr>
          <w:p>
            <w:pPr>
              <w:pStyle w:val="182"/>
              <w:rPr>
                <w:color w:val="auto"/>
              </w:rPr>
            </w:pPr>
            <w:r>
              <w:rPr>
                <w:rFonts w:hint="eastAsia"/>
                <w:color w:val="auto"/>
              </w:rPr>
              <w:t>频率范围（MHz）</w:t>
            </w:r>
          </w:p>
        </w:tc>
        <w:tc>
          <w:tcPr>
            <w:tcW w:w="6224" w:type="dxa"/>
            <w:gridSpan w:val="2"/>
            <w:tcBorders>
              <w:top w:val="single" w:color="auto" w:sz="8" w:space="0"/>
              <w:bottom w:val="single" w:color="auto" w:sz="4" w:space="0"/>
            </w:tcBorders>
            <w:shd w:val="clear" w:color="auto" w:fill="auto"/>
            <w:vAlign w:val="center"/>
          </w:tcPr>
          <w:p>
            <w:pPr>
              <w:pStyle w:val="182"/>
              <w:rPr>
                <w:color w:val="auto"/>
              </w:rPr>
            </w:pPr>
            <w:r>
              <w:rPr>
                <w:rFonts w:hint="eastAsia"/>
                <w:color w:val="auto"/>
              </w:rPr>
              <w:t>限值dBµV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bottom w:val="single" w:color="auto" w:sz="8" w:space="0"/>
            </w:tcBorders>
            <w:shd w:val="clear" w:color="auto" w:fill="auto"/>
            <w:vAlign w:val="center"/>
          </w:tcPr>
          <w:p>
            <w:pPr>
              <w:pStyle w:val="182"/>
              <w:rPr>
                <w:color w:val="auto"/>
              </w:rPr>
            </w:pPr>
          </w:p>
        </w:tc>
        <w:tc>
          <w:tcPr>
            <w:tcW w:w="3112"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准峰值</w:t>
            </w:r>
          </w:p>
        </w:tc>
        <w:tc>
          <w:tcPr>
            <w:tcW w:w="3112"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pPr>
              <w:pStyle w:val="182"/>
              <w:rPr>
                <w:color w:val="auto"/>
              </w:rPr>
            </w:pPr>
            <w:r>
              <w:rPr>
                <w:rFonts w:hint="eastAsia"/>
                <w:color w:val="auto"/>
                <w:szCs w:val="18"/>
              </w:rPr>
              <w:t>0.15</w:t>
            </w:r>
            <w:r>
              <w:rPr>
                <w:rFonts w:hint="eastAsia" w:hAnsi="宋体"/>
                <w:color w:val="auto"/>
                <w:szCs w:val="18"/>
              </w:rPr>
              <w:t>～</w:t>
            </w:r>
            <w:r>
              <w:rPr>
                <w:rFonts w:hint="eastAsia"/>
                <w:color w:val="auto"/>
                <w:szCs w:val="18"/>
              </w:rPr>
              <w:t>0.5</w:t>
            </w:r>
          </w:p>
        </w:tc>
        <w:tc>
          <w:tcPr>
            <w:tcW w:w="3112" w:type="dxa"/>
            <w:tcBorders>
              <w:top w:val="single" w:color="auto" w:sz="8" w:space="0"/>
            </w:tcBorders>
            <w:shd w:val="clear" w:color="auto" w:fill="auto"/>
          </w:tcPr>
          <w:p>
            <w:pPr>
              <w:pStyle w:val="182"/>
              <w:rPr>
                <w:color w:val="auto"/>
              </w:rPr>
            </w:pPr>
            <w:r>
              <w:rPr>
                <w:rFonts w:hint="eastAsia"/>
                <w:color w:val="auto"/>
                <w:szCs w:val="18"/>
              </w:rPr>
              <w:t>79</w:t>
            </w:r>
          </w:p>
        </w:tc>
        <w:tc>
          <w:tcPr>
            <w:tcW w:w="3112" w:type="dxa"/>
            <w:tcBorders>
              <w:top w:val="single" w:color="auto" w:sz="8" w:space="0"/>
            </w:tcBorders>
            <w:shd w:val="clear" w:color="auto" w:fill="auto"/>
          </w:tcPr>
          <w:p>
            <w:pPr>
              <w:pStyle w:val="182"/>
              <w:rPr>
                <w:color w:val="auto"/>
              </w:rPr>
            </w:pPr>
            <w:r>
              <w:rPr>
                <w:rFonts w:hint="eastAsia"/>
                <w:color w:val="auto"/>
                <w:szCs w:val="18"/>
              </w:rPr>
              <w:t>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bottom w:val="single" w:color="auto" w:sz="8" w:space="0"/>
            </w:tcBorders>
            <w:shd w:val="clear" w:color="auto" w:fill="auto"/>
          </w:tcPr>
          <w:p>
            <w:pPr>
              <w:pStyle w:val="182"/>
              <w:rPr>
                <w:color w:val="auto"/>
              </w:rPr>
            </w:pPr>
            <w:r>
              <w:rPr>
                <w:rFonts w:hint="eastAsia"/>
                <w:color w:val="auto"/>
                <w:szCs w:val="18"/>
              </w:rPr>
              <w:t>0.5</w:t>
            </w:r>
            <w:r>
              <w:rPr>
                <w:rFonts w:hint="eastAsia" w:hAnsi="宋体"/>
                <w:color w:val="auto"/>
                <w:szCs w:val="18"/>
              </w:rPr>
              <w:t>～</w:t>
            </w:r>
            <w:r>
              <w:rPr>
                <w:rFonts w:hint="eastAsia"/>
                <w:color w:val="auto"/>
                <w:szCs w:val="18"/>
              </w:rPr>
              <w:t>30</w:t>
            </w:r>
          </w:p>
        </w:tc>
        <w:tc>
          <w:tcPr>
            <w:tcW w:w="3112" w:type="dxa"/>
            <w:tcBorders>
              <w:bottom w:val="single" w:color="auto" w:sz="8" w:space="0"/>
            </w:tcBorders>
            <w:shd w:val="clear" w:color="auto" w:fill="auto"/>
          </w:tcPr>
          <w:p>
            <w:pPr>
              <w:pStyle w:val="182"/>
              <w:rPr>
                <w:color w:val="auto"/>
              </w:rPr>
            </w:pPr>
            <w:r>
              <w:rPr>
                <w:rFonts w:hint="eastAsia"/>
                <w:color w:val="auto"/>
                <w:szCs w:val="18"/>
              </w:rPr>
              <w:t>73</w:t>
            </w:r>
          </w:p>
        </w:tc>
        <w:tc>
          <w:tcPr>
            <w:tcW w:w="3112" w:type="dxa"/>
            <w:tcBorders>
              <w:bottom w:val="single" w:color="auto" w:sz="8" w:space="0"/>
            </w:tcBorders>
            <w:shd w:val="clear" w:color="auto" w:fill="auto"/>
          </w:tcPr>
          <w:p>
            <w:pPr>
              <w:pStyle w:val="182"/>
              <w:rPr>
                <w:color w:val="auto"/>
              </w:rPr>
            </w:pPr>
            <w:r>
              <w:rPr>
                <w:rFonts w:hint="eastAsia"/>
                <w:color w:val="auto"/>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pPr>
              <w:pStyle w:val="183"/>
              <w:rPr>
                <w:color w:val="auto"/>
              </w:rPr>
            </w:pPr>
            <w:r>
              <w:rPr>
                <w:rFonts w:hint="eastAsia"/>
                <w:color w:val="auto"/>
              </w:rPr>
              <w:t>在过渡频率（0.50 MHz）处应采用较低的限值。</w:t>
            </w:r>
          </w:p>
        </w:tc>
      </w:tr>
    </w:tbl>
    <w:p>
      <w:pPr>
        <w:pStyle w:val="113"/>
        <w:numPr>
          <w:ilvl w:val="1"/>
          <w:numId w:val="62"/>
        </w:numPr>
        <w:rPr>
          <w:color w:val="auto"/>
        </w:rPr>
      </w:pPr>
      <w:r>
        <w:rPr>
          <w:rFonts w:hint="eastAsia"/>
          <w:color w:val="auto"/>
        </w:rPr>
        <w:t>B级设备传导骚扰限值</w:t>
      </w:r>
      <w:r>
        <w:rPr>
          <w:rFonts w:hint="eastAsia"/>
          <w:color w:val="auto"/>
          <w:lang w:val="en-US" w:eastAsia="zh-CN"/>
        </w:rPr>
        <w:t>应符合</w:t>
      </w:r>
      <w:r>
        <w:rPr>
          <w:rFonts w:hint="eastAsia"/>
          <w:color w:val="auto"/>
        </w:rPr>
        <w:t>表 5。</w:t>
      </w:r>
    </w:p>
    <w:p>
      <w:pPr>
        <w:pStyle w:val="116"/>
        <w:spacing w:before="156" w:after="156"/>
        <w:rPr>
          <w:color w:val="auto"/>
        </w:rPr>
      </w:pPr>
      <w:bookmarkStart w:id="148" w:name="_Toc332391798"/>
      <w:bookmarkEnd w:id="148"/>
      <w:bookmarkStart w:id="149" w:name="_Toc322563203"/>
      <w:bookmarkEnd w:id="149"/>
      <w:bookmarkStart w:id="150" w:name="_Ref49766157"/>
      <w:bookmarkEnd w:id="150"/>
      <w:bookmarkStart w:id="151" w:name="_Toc331436563"/>
      <w:bookmarkEnd w:id="151"/>
      <w:bookmarkStart w:id="152" w:name="_Toc330802561"/>
      <w:bookmarkEnd w:id="152"/>
      <w:bookmarkStart w:id="153" w:name="_Toc449538964"/>
      <w:r>
        <w:rPr>
          <w:rFonts w:hint="eastAsia"/>
          <w:color w:val="auto"/>
        </w:rPr>
        <w:t>B</w:t>
      </w:r>
      <w:bookmarkEnd w:id="153"/>
      <w:r>
        <w:rPr>
          <w:rFonts w:hint="eastAsia"/>
          <w:color w:val="auto"/>
        </w:rPr>
        <w:t>级ITE电源端子传导骚扰限值</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8" w:space="0"/>
              <w:bottom w:val="single" w:color="auto" w:sz="4" w:space="0"/>
            </w:tcBorders>
            <w:shd w:val="clear" w:color="auto" w:fill="auto"/>
            <w:vAlign w:val="center"/>
          </w:tcPr>
          <w:p>
            <w:pPr>
              <w:pStyle w:val="182"/>
              <w:rPr>
                <w:color w:val="auto"/>
              </w:rPr>
            </w:pPr>
            <w:bookmarkStart w:id="154" w:name="_Toc322563204"/>
            <w:bookmarkEnd w:id="154"/>
            <w:r>
              <w:rPr>
                <w:rFonts w:hint="eastAsia"/>
                <w:color w:val="auto"/>
              </w:rPr>
              <w:t>频率范围（MHz）</w:t>
            </w:r>
          </w:p>
        </w:tc>
        <w:tc>
          <w:tcPr>
            <w:tcW w:w="6224" w:type="dxa"/>
            <w:gridSpan w:val="2"/>
            <w:tcBorders>
              <w:top w:val="single" w:color="auto" w:sz="8" w:space="0"/>
              <w:bottom w:val="single" w:color="auto" w:sz="4" w:space="0"/>
            </w:tcBorders>
            <w:shd w:val="clear" w:color="auto" w:fill="auto"/>
            <w:vAlign w:val="center"/>
          </w:tcPr>
          <w:p>
            <w:pPr>
              <w:pStyle w:val="182"/>
              <w:rPr>
                <w:color w:val="auto"/>
              </w:rPr>
            </w:pPr>
            <w:r>
              <w:rPr>
                <w:rFonts w:hint="eastAsia"/>
                <w:color w:val="auto"/>
              </w:rPr>
              <w:t>限值dBµV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top w:val="single" w:color="auto" w:sz="4" w:space="0"/>
              <w:bottom w:val="single" w:color="auto" w:sz="8" w:space="0"/>
            </w:tcBorders>
            <w:shd w:val="clear" w:color="auto" w:fill="auto"/>
            <w:vAlign w:val="center"/>
          </w:tcPr>
          <w:p>
            <w:pPr>
              <w:pStyle w:val="182"/>
              <w:rPr>
                <w:color w:val="auto"/>
              </w:rPr>
            </w:pPr>
          </w:p>
        </w:tc>
        <w:tc>
          <w:tcPr>
            <w:tcW w:w="3112"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准峰值</w:t>
            </w:r>
          </w:p>
        </w:tc>
        <w:tc>
          <w:tcPr>
            <w:tcW w:w="3112" w:type="dxa"/>
            <w:tcBorders>
              <w:top w:val="single" w:color="auto" w:sz="4" w:space="0"/>
              <w:bottom w:val="single" w:color="auto" w:sz="8" w:space="0"/>
            </w:tcBorders>
            <w:shd w:val="clear" w:color="auto" w:fill="auto"/>
          </w:tcPr>
          <w:p>
            <w:pPr>
              <w:pStyle w:val="182"/>
              <w:rPr>
                <w:color w:val="auto"/>
              </w:rPr>
            </w:pPr>
            <w:r>
              <w:rPr>
                <w:rFonts w:hint="eastAsia" w:hAnsi="宋体"/>
                <w:color w:val="auto"/>
                <w:szCs w:val="18"/>
              </w:rPr>
              <w:t>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tcPr>
          <w:p>
            <w:pPr>
              <w:pStyle w:val="182"/>
              <w:rPr>
                <w:color w:val="auto"/>
              </w:rPr>
            </w:pPr>
            <w:r>
              <w:rPr>
                <w:rFonts w:hint="eastAsia"/>
                <w:color w:val="auto"/>
                <w:szCs w:val="18"/>
              </w:rPr>
              <w:t>0.15</w:t>
            </w:r>
            <w:r>
              <w:rPr>
                <w:rFonts w:hint="eastAsia" w:hAnsi="宋体"/>
                <w:color w:val="auto"/>
                <w:szCs w:val="18"/>
              </w:rPr>
              <w:t>～</w:t>
            </w:r>
            <w:r>
              <w:rPr>
                <w:rFonts w:hint="eastAsia"/>
                <w:color w:val="auto"/>
                <w:szCs w:val="18"/>
              </w:rPr>
              <w:t>0.5</w:t>
            </w:r>
          </w:p>
        </w:tc>
        <w:tc>
          <w:tcPr>
            <w:tcW w:w="3112" w:type="dxa"/>
            <w:tcBorders>
              <w:top w:val="single" w:color="auto" w:sz="8" w:space="0"/>
            </w:tcBorders>
            <w:shd w:val="clear" w:color="auto" w:fill="auto"/>
          </w:tcPr>
          <w:p>
            <w:pPr>
              <w:pStyle w:val="182"/>
              <w:rPr>
                <w:color w:val="auto"/>
              </w:rPr>
            </w:pPr>
            <w:r>
              <w:rPr>
                <w:rFonts w:hint="eastAsia"/>
                <w:color w:val="auto"/>
                <w:szCs w:val="18"/>
              </w:rPr>
              <w:t>66</w:t>
            </w:r>
            <w:r>
              <w:rPr>
                <w:rFonts w:hint="eastAsia" w:hAnsi="宋体"/>
                <w:color w:val="auto"/>
                <w:szCs w:val="18"/>
              </w:rPr>
              <w:t>～</w:t>
            </w:r>
            <w:r>
              <w:rPr>
                <w:rFonts w:hint="eastAsia"/>
                <w:color w:val="auto"/>
                <w:szCs w:val="18"/>
              </w:rPr>
              <w:t>56</w:t>
            </w:r>
          </w:p>
        </w:tc>
        <w:tc>
          <w:tcPr>
            <w:tcW w:w="3112" w:type="dxa"/>
            <w:tcBorders>
              <w:top w:val="single" w:color="auto" w:sz="8" w:space="0"/>
            </w:tcBorders>
            <w:shd w:val="clear" w:color="auto" w:fill="auto"/>
          </w:tcPr>
          <w:p>
            <w:pPr>
              <w:pStyle w:val="182"/>
              <w:rPr>
                <w:color w:val="auto"/>
              </w:rPr>
            </w:pPr>
            <w:r>
              <w:rPr>
                <w:rFonts w:hint="eastAsia"/>
                <w:color w:val="auto"/>
                <w:szCs w:val="18"/>
              </w:rPr>
              <w:t>56</w:t>
            </w:r>
            <w:r>
              <w:rPr>
                <w:rFonts w:hint="eastAsia" w:hAnsi="宋体"/>
                <w:color w:val="auto"/>
                <w:szCs w:val="18"/>
              </w:rPr>
              <w:t>～</w:t>
            </w:r>
            <w:r>
              <w:rPr>
                <w:rFonts w:hint="eastAsia"/>
                <w:color w:val="auto"/>
                <w:szCs w:val="18"/>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bottom w:val="single" w:color="auto" w:sz="8" w:space="0"/>
            </w:tcBorders>
            <w:shd w:val="clear" w:color="auto" w:fill="auto"/>
          </w:tcPr>
          <w:p>
            <w:pPr>
              <w:pStyle w:val="182"/>
              <w:rPr>
                <w:color w:val="auto"/>
              </w:rPr>
            </w:pPr>
            <w:r>
              <w:rPr>
                <w:rFonts w:hint="eastAsia"/>
                <w:color w:val="auto"/>
                <w:szCs w:val="18"/>
              </w:rPr>
              <w:t>0.5</w:t>
            </w:r>
            <w:r>
              <w:rPr>
                <w:rFonts w:hint="eastAsia" w:hAnsi="宋体"/>
                <w:color w:val="auto"/>
                <w:szCs w:val="18"/>
              </w:rPr>
              <w:t>～</w:t>
            </w:r>
            <w:r>
              <w:rPr>
                <w:rFonts w:hint="eastAsia"/>
                <w:color w:val="auto"/>
                <w:szCs w:val="18"/>
              </w:rPr>
              <w:t>5</w:t>
            </w:r>
          </w:p>
        </w:tc>
        <w:tc>
          <w:tcPr>
            <w:tcW w:w="3112" w:type="dxa"/>
            <w:tcBorders>
              <w:bottom w:val="single" w:color="auto" w:sz="8" w:space="0"/>
            </w:tcBorders>
            <w:shd w:val="clear" w:color="auto" w:fill="auto"/>
          </w:tcPr>
          <w:p>
            <w:pPr>
              <w:pStyle w:val="182"/>
              <w:rPr>
                <w:color w:val="auto"/>
              </w:rPr>
            </w:pPr>
            <w:r>
              <w:rPr>
                <w:rFonts w:hint="eastAsia"/>
                <w:color w:val="auto"/>
                <w:szCs w:val="18"/>
              </w:rPr>
              <w:t>56</w:t>
            </w:r>
          </w:p>
        </w:tc>
        <w:tc>
          <w:tcPr>
            <w:tcW w:w="3112" w:type="dxa"/>
            <w:tcBorders>
              <w:bottom w:val="single" w:color="auto" w:sz="8" w:space="0"/>
            </w:tcBorders>
            <w:shd w:val="clear" w:color="auto" w:fill="auto"/>
          </w:tcPr>
          <w:p>
            <w:pPr>
              <w:pStyle w:val="182"/>
              <w:rPr>
                <w:color w:val="auto"/>
              </w:rPr>
            </w:pPr>
            <w:r>
              <w:rPr>
                <w:rFonts w:hint="eastAsia"/>
                <w:color w:val="auto"/>
                <w:szCs w:val="18"/>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pPr>
              <w:pStyle w:val="183"/>
              <w:rPr>
                <w:color w:val="auto"/>
              </w:rPr>
            </w:pPr>
            <w:r>
              <w:rPr>
                <w:rFonts w:hint="eastAsia"/>
                <w:color w:val="auto"/>
              </w:rPr>
              <w:t>在过渡频率（0.50 MHz）处应采用较低的限值。</w:t>
            </w:r>
          </w:p>
        </w:tc>
      </w:tr>
    </w:tbl>
    <w:p>
      <w:pPr>
        <w:pStyle w:val="113"/>
        <w:numPr>
          <w:ilvl w:val="1"/>
          <w:numId w:val="62"/>
        </w:numPr>
        <w:rPr>
          <w:color w:val="auto"/>
        </w:rPr>
      </w:pPr>
      <w:r>
        <w:rPr>
          <w:rFonts w:hint="eastAsia"/>
          <w:color w:val="auto"/>
        </w:rPr>
        <w:t>A级设备传导共模（不对称）骚扰限值</w:t>
      </w:r>
      <w:r>
        <w:rPr>
          <w:rFonts w:hint="eastAsia"/>
          <w:color w:val="auto"/>
          <w:lang w:val="en-US" w:eastAsia="zh-CN"/>
        </w:rPr>
        <w:t>应符合</w:t>
      </w:r>
      <w:r>
        <w:rPr>
          <w:rFonts w:hint="eastAsia"/>
          <w:color w:val="auto"/>
        </w:rPr>
        <w:t>表 6。</w:t>
      </w:r>
    </w:p>
    <w:p>
      <w:pPr>
        <w:pStyle w:val="116"/>
        <w:spacing w:before="156" w:after="156"/>
        <w:rPr>
          <w:color w:val="auto"/>
        </w:rPr>
      </w:pPr>
      <w:bookmarkStart w:id="155" w:name="_Toc331436564"/>
      <w:bookmarkEnd w:id="155"/>
      <w:bookmarkStart w:id="156" w:name="_Toc332391799"/>
      <w:bookmarkEnd w:id="156"/>
      <w:bookmarkStart w:id="157" w:name="_Toc330802562"/>
      <w:bookmarkEnd w:id="157"/>
      <w:bookmarkStart w:id="158" w:name="_Ref49766144"/>
      <w:bookmarkEnd w:id="158"/>
      <w:bookmarkStart w:id="159" w:name="_Toc449538965"/>
      <w:bookmarkEnd w:id="159"/>
      <w:bookmarkStart w:id="160" w:name="_Toc322563205"/>
      <w:r>
        <w:rPr>
          <w:rFonts w:hint="eastAsia"/>
          <w:color w:val="auto"/>
        </w:rPr>
        <w:t>A</w:t>
      </w:r>
      <w:bookmarkEnd w:id="160"/>
      <w:r>
        <w:rPr>
          <w:rFonts w:hint="eastAsia"/>
          <w:color w:val="auto"/>
        </w:rPr>
        <w:t>级电信端口传导共模（不对称）骚扰限值</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vMerge w:val="restart"/>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频率范围（MHz）</w:t>
            </w:r>
          </w:p>
        </w:tc>
        <w:tc>
          <w:tcPr>
            <w:tcW w:w="3828" w:type="dxa"/>
            <w:gridSpan w:val="2"/>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电压限值dBµV</w:t>
            </w:r>
          </w:p>
        </w:tc>
        <w:tc>
          <w:tcPr>
            <w:tcW w:w="3828" w:type="dxa"/>
            <w:gridSpan w:val="2"/>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电流限值dBµA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570" w:type="dxa"/>
            <w:vMerge w:val="continue"/>
            <w:shd w:val="clear" w:color="auto" w:fill="auto"/>
            <w:vAlign w:val="center"/>
          </w:tcPr>
          <w:p>
            <w:pPr>
              <w:pStyle w:val="60"/>
              <w:ind w:firstLine="360"/>
              <w:jc w:val="center"/>
              <w:rPr>
                <w:rFonts w:hint="eastAsia" w:hAnsi="宋体"/>
                <w:color w:val="auto"/>
                <w:sz w:val="18"/>
                <w:szCs w:val="18"/>
              </w:rPr>
            </w:pP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准峰值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平均值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准峰值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0.15～0.5</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97～87</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84～74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53～43</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40～30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0.5～30</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87</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74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43</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570" w:type="dxa"/>
            <w:gridSpan w:val="5"/>
            <w:shd w:val="clear" w:color="auto" w:fill="auto"/>
          </w:tcPr>
          <w:p>
            <w:pPr>
              <w:pStyle w:val="184"/>
              <w:numPr>
                <w:ilvl w:val="0"/>
                <w:numId w:val="64"/>
              </w:numPr>
              <w:rPr>
                <w:color w:val="auto"/>
              </w:rPr>
            </w:pPr>
            <w:r>
              <w:rPr>
                <w:rFonts w:hint="eastAsia"/>
                <w:color w:val="auto"/>
              </w:rPr>
              <w:t>在0.15 MHz~0.5 MHz频率范围内，限值随频率的对数呈线性减少；</w:t>
            </w:r>
          </w:p>
          <w:p>
            <w:pPr>
              <w:pStyle w:val="184"/>
              <w:rPr>
                <w:color w:val="auto"/>
              </w:rPr>
            </w:pPr>
            <w:r>
              <w:rPr>
                <w:rFonts w:hint="eastAsia"/>
                <w:color w:val="auto"/>
              </w:rPr>
              <w:t>电流和电压的骚扰限值是在使用了规定阻抗的阻抗稳定网络（ISN）的条件下导出的，该阻抗稳定网络相对于受试的电信端口呈现150 Ω的共模（非对称）阻抗（转换因子为20lg150=44 dB）。</w:t>
            </w:r>
          </w:p>
        </w:tc>
      </w:tr>
    </w:tbl>
    <w:p>
      <w:pPr>
        <w:pStyle w:val="113"/>
        <w:numPr>
          <w:ilvl w:val="1"/>
          <w:numId w:val="62"/>
        </w:numPr>
        <w:rPr>
          <w:color w:val="auto"/>
        </w:rPr>
      </w:pPr>
      <w:bookmarkStart w:id="161" w:name="_Toc322563206"/>
      <w:bookmarkEnd w:id="161"/>
      <w:bookmarkStart w:id="162" w:name="_Toc336089554"/>
      <w:bookmarkEnd w:id="162"/>
      <w:r>
        <w:rPr>
          <w:rFonts w:hint="eastAsia"/>
          <w:color w:val="auto"/>
        </w:rPr>
        <w:t>B级设备传导共模（不对称）骚扰限值</w:t>
      </w:r>
      <w:r>
        <w:rPr>
          <w:rFonts w:hint="eastAsia"/>
          <w:color w:val="auto"/>
          <w:lang w:val="en-US" w:eastAsia="zh-CN"/>
        </w:rPr>
        <w:t>应符合</w:t>
      </w:r>
      <w:r>
        <w:rPr>
          <w:rFonts w:hint="eastAsia"/>
          <w:color w:val="auto"/>
        </w:rPr>
        <w:t>表 7。</w:t>
      </w:r>
    </w:p>
    <w:p>
      <w:pPr>
        <w:pStyle w:val="116"/>
        <w:spacing w:before="156" w:after="156"/>
        <w:rPr>
          <w:color w:val="auto"/>
        </w:rPr>
      </w:pPr>
      <w:bookmarkStart w:id="163" w:name="_Ref49766221"/>
      <w:bookmarkEnd w:id="163"/>
      <w:bookmarkStart w:id="164" w:name="_Toc330802563"/>
      <w:bookmarkEnd w:id="164"/>
      <w:bookmarkStart w:id="165" w:name="_Toc332391800"/>
      <w:bookmarkEnd w:id="165"/>
      <w:bookmarkStart w:id="166" w:name="_Toc322563207"/>
      <w:bookmarkEnd w:id="166"/>
      <w:bookmarkStart w:id="167" w:name="_Toc331436565"/>
      <w:bookmarkEnd w:id="167"/>
      <w:r>
        <w:rPr>
          <w:rFonts w:hint="eastAsia"/>
          <w:color w:val="auto"/>
        </w:rPr>
        <w:t>B级电信端口传导共模（不对称）骚扰限值</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14"/>
        <w:gridCol w:w="1914"/>
        <w:gridCol w:w="1914"/>
        <w:gridCol w:w="1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vMerge w:val="restart"/>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频率范围（MHz）</w:t>
            </w:r>
          </w:p>
        </w:tc>
        <w:tc>
          <w:tcPr>
            <w:tcW w:w="3828" w:type="dxa"/>
            <w:gridSpan w:val="2"/>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电压限值dBµV</w:t>
            </w:r>
          </w:p>
        </w:tc>
        <w:tc>
          <w:tcPr>
            <w:tcW w:w="3828" w:type="dxa"/>
            <w:gridSpan w:val="2"/>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电流限值dBµA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570" w:type="dxa"/>
            <w:vMerge w:val="continue"/>
            <w:shd w:val="clear" w:color="auto" w:fill="auto"/>
            <w:vAlign w:val="center"/>
          </w:tcPr>
          <w:p>
            <w:pPr>
              <w:pStyle w:val="60"/>
              <w:ind w:firstLine="360"/>
              <w:jc w:val="center"/>
              <w:rPr>
                <w:rFonts w:hint="eastAsia" w:hAnsi="宋体"/>
                <w:color w:val="auto"/>
                <w:sz w:val="18"/>
                <w:szCs w:val="18"/>
              </w:rPr>
            </w:pP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准峰值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平均值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准峰值</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平均值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0.15～0.5</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84～74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74～64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40～30</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30～20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0.5～30</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74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64</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30</w:t>
            </w:r>
          </w:p>
        </w:tc>
        <w:tc>
          <w:tcPr>
            <w:tcW w:w="1914" w:type="dxa"/>
            <w:shd w:val="clear" w:color="auto" w:fill="auto"/>
          </w:tcPr>
          <w:p>
            <w:pPr>
              <w:pStyle w:val="60"/>
              <w:ind w:firstLine="0" w:firstLineChars="0"/>
              <w:jc w:val="center"/>
              <w:rPr>
                <w:rFonts w:hint="eastAsia" w:hAnsi="宋体"/>
                <w:color w:val="auto"/>
                <w:sz w:val="18"/>
                <w:szCs w:val="18"/>
              </w:rPr>
            </w:pPr>
            <w:r>
              <w:rPr>
                <w:rFonts w:hint="eastAsia" w:hAnsi="宋体"/>
                <w:color w:val="auto"/>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9570" w:type="dxa"/>
            <w:gridSpan w:val="5"/>
            <w:shd w:val="clear" w:color="auto" w:fill="auto"/>
          </w:tcPr>
          <w:p>
            <w:pPr>
              <w:pStyle w:val="184"/>
              <w:numPr>
                <w:ilvl w:val="0"/>
                <w:numId w:val="65"/>
              </w:numPr>
              <w:rPr>
                <w:color w:val="auto"/>
              </w:rPr>
            </w:pPr>
            <w:r>
              <w:rPr>
                <w:rFonts w:hint="eastAsia"/>
                <w:color w:val="auto"/>
              </w:rPr>
              <w:t>在0.15 MHz~0.5 MHz频率范围内，限值随频率的对数呈线性减少；</w:t>
            </w:r>
          </w:p>
          <w:p>
            <w:pPr>
              <w:pStyle w:val="184"/>
              <w:rPr>
                <w:color w:val="auto"/>
              </w:rPr>
            </w:pPr>
            <w:r>
              <w:rPr>
                <w:rFonts w:hint="eastAsia"/>
                <w:color w:val="auto"/>
              </w:rPr>
              <w:t>电流和电压的骚扰限值是在使用了规定阻抗的阻抗稳定网络（ISN）的条件下导出的，该阻抗稳定网络相对于受试的电信端口呈现150 Ω的共模（非对称）阻抗（转换因子为20lg150=44 dB）。</w:t>
            </w:r>
          </w:p>
        </w:tc>
      </w:tr>
    </w:tbl>
    <w:p>
      <w:pPr>
        <w:pStyle w:val="69"/>
        <w:spacing w:before="156" w:after="156"/>
        <w:rPr>
          <w:color w:val="auto"/>
        </w:rPr>
      </w:pPr>
      <w:bookmarkStart w:id="168" w:name="_Toc330802299"/>
      <w:bookmarkEnd w:id="168"/>
      <w:bookmarkStart w:id="169" w:name="_Toc322562764"/>
      <w:bookmarkEnd w:id="169"/>
      <w:bookmarkStart w:id="170" w:name="_Toc332391358"/>
      <w:bookmarkEnd w:id="170"/>
      <w:bookmarkStart w:id="171" w:name="_Toc332829230"/>
      <w:bookmarkEnd w:id="171"/>
      <w:bookmarkStart w:id="172" w:name="_Toc331436299"/>
      <w:bookmarkEnd w:id="172"/>
      <w:bookmarkStart w:id="173" w:name="_Ref57390084"/>
      <w:r>
        <w:rPr>
          <w:rFonts w:hint="eastAsia"/>
          <w:color w:val="auto"/>
        </w:rPr>
        <w:t>谐波电流骚扰</w:t>
      </w:r>
      <w:bookmarkEnd w:id="173"/>
      <w:r>
        <w:rPr>
          <w:rFonts w:hint="eastAsia"/>
          <w:color w:val="auto"/>
        </w:rPr>
        <w:t>检测</w:t>
      </w:r>
    </w:p>
    <w:p>
      <w:pPr>
        <w:pStyle w:val="60"/>
        <w:ind w:firstLine="420"/>
        <w:rPr>
          <w:color w:val="auto"/>
        </w:rPr>
      </w:pPr>
      <w:r>
        <w:rPr>
          <w:rFonts w:hint="eastAsia"/>
          <w:color w:val="auto"/>
        </w:rPr>
        <w:t>按GB/T 17625.1规定的试验设备和方法对受试样品进行试验。当终端供电电压为220V，每相输入电流不大于16A且额定功率不大于75W时，其谐波电流骚扰应符合GB 17625.1中A类设备的限值要求，</w:t>
      </w:r>
      <w:r>
        <w:rPr>
          <w:rFonts w:hint="eastAsia"/>
          <w:color w:val="auto"/>
          <w:lang w:val="en-US" w:eastAsia="zh-CN"/>
        </w:rPr>
        <w:t>应符合</w:t>
      </w:r>
      <w:r>
        <w:rPr>
          <w:rFonts w:hint="eastAsia"/>
          <w:color w:val="auto"/>
        </w:rPr>
        <w:t>表 8。</w:t>
      </w:r>
    </w:p>
    <w:p>
      <w:pPr>
        <w:pStyle w:val="60"/>
        <w:ind w:firstLine="420"/>
        <w:rPr>
          <w:color w:val="auto"/>
        </w:rPr>
      </w:pPr>
      <w:r>
        <w:rPr>
          <w:rFonts w:hint="eastAsia"/>
          <w:color w:val="auto"/>
        </w:rPr>
        <w:t xml:space="preserve"> </w:t>
      </w:r>
    </w:p>
    <w:p>
      <w:pPr>
        <w:pStyle w:val="116"/>
        <w:spacing w:before="156" w:after="156"/>
        <w:rPr>
          <w:color w:val="auto"/>
        </w:rPr>
      </w:pPr>
      <w:bookmarkStart w:id="174" w:name="_Toc449538967"/>
      <w:bookmarkEnd w:id="174"/>
      <w:bookmarkStart w:id="175" w:name="_Toc330802564"/>
      <w:bookmarkEnd w:id="175"/>
      <w:bookmarkStart w:id="176" w:name="_Ref49766268"/>
      <w:bookmarkEnd w:id="176"/>
      <w:bookmarkStart w:id="177" w:name="_Toc332391801"/>
      <w:bookmarkEnd w:id="177"/>
      <w:bookmarkStart w:id="178" w:name="_Toc331436566"/>
      <w:bookmarkEnd w:id="178"/>
      <w:r>
        <w:rPr>
          <w:rFonts w:hint="eastAsia"/>
          <w:color w:val="auto"/>
        </w:rPr>
        <w:t>谐波电流骚扰限值</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87"/>
        <w:gridCol w:w="4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570" w:type="dxa"/>
            <w:gridSpan w:val="2"/>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A类设备的限值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谐波次数n</w:t>
            </w:r>
          </w:p>
        </w:tc>
        <w:tc>
          <w:tcPr>
            <w:tcW w:w="4785"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最大允许谐波电流A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570" w:type="dxa"/>
            <w:gridSpan w:val="2"/>
            <w:shd w:val="clear" w:color="auto" w:fill="auto"/>
            <w:vAlign w:val="center"/>
          </w:tcPr>
          <w:p>
            <w:pPr>
              <w:pStyle w:val="60"/>
              <w:ind w:firstLine="0" w:firstLineChars="0"/>
              <w:jc w:val="center"/>
              <w:rPr>
                <w:color w:val="auto"/>
                <w:sz w:val="18"/>
              </w:rPr>
            </w:pPr>
            <w:r>
              <w:rPr>
                <w:rFonts w:hint="eastAsia"/>
                <w:color w:val="auto"/>
                <w:sz w:val="18"/>
              </w:rPr>
              <w:t>奇次谐波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3</w:t>
            </w:r>
          </w:p>
        </w:tc>
        <w:tc>
          <w:tcPr>
            <w:tcW w:w="4785" w:type="dxa"/>
            <w:shd w:val="clear" w:color="auto" w:fill="auto"/>
            <w:vAlign w:val="center"/>
          </w:tcPr>
          <w:p>
            <w:pPr>
              <w:pStyle w:val="60"/>
              <w:ind w:firstLine="360"/>
              <w:rPr>
                <w:color w:val="auto"/>
                <w:sz w:val="18"/>
              </w:rPr>
            </w:pPr>
            <w:r>
              <w:rPr>
                <w:rFonts w:hint="eastAsia"/>
                <w:color w:val="auto"/>
                <w:sz w:val="18"/>
              </w:rPr>
              <w:t>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5</w:t>
            </w:r>
          </w:p>
        </w:tc>
        <w:tc>
          <w:tcPr>
            <w:tcW w:w="4785" w:type="dxa"/>
            <w:shd w:val="clear" w:color="auto" w:fill="auto"/>
            <w:vAlign w:val="center"/>
          </w:tcPr>
          <w:p>
            <w:pPr>
              <w:pStyle w:val="60"/>
              <w:ind w:firstLine="360"/>
              <w:rPr>
                <w:color w:val="auto"/>
                <w:sz w:val="18"/>
              </w:rPr>
            </w:pPr>
            <w:r>
              <w:rPr>
                <w:rFonts w:hint="eastAsia"/>
                <w:color w:val="auto"/>
                <w:sz w:val="18"/>
              </w:rPr>
              <w:t>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7</w:t>
            </w:r>
          </w:p>
        </w:tc>
        <w:tc>
          <w:tcPr>
            <w:tcW w:w="4785" w:type="dxa"/>
            <w:shd w:val="clear" w:color="auto" w:fill="auto"/>
            <w:vAlign w:val="center"/>
          </w:tcPr>
          <w:p>
            <w:pPr>
              <w:pStyle w:val="60"/>
              <w:ind w:firstLine="360"/>
              <w:rPr>
                <w:color w:val="auto"/>
                <w:sz w:val="18"/>
              </w:rPr>
            </w:pPr>
            <w:r>
              <w:rPr>
                <w:rFonts w:hint="eastAsia"/>
                <w:color w:val="auto"/>
                <w:sz w:val="18"/>
              </w:rPr>
              <w:t>0.77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9</w:t>
            </w:r>
          </w:p>
        </w:tc>
        <w:tc>
          <w:tcPr>
            <w:tcW w:w="4785" w:type="dxa"/>
            <w:shd w:val="clear" w:color="auto" w:fill="auto"/>
            <w:vAlign w:val="center"/>
          </w:tcPr>
          <w:p>
            <w:pPr>
              <w:pStyle w:val="60"/>
              <w:ind w:firstLine="360"/>
              <w:rPr>
                <w:color w:val="auto"/>
                <w:sz w:val="18"/>
              </w:rPr>
            </w:pPr>
            <w:r>
              <w:rPr>
                <w:rFonts w:hint="eastAsia"/>
                <w:color w:val="auto"/>
                <w:sz w:val="18"/>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11</w:t>
            </w:r>
          </w:p>
        </w:tc>
        <w:tc>
          <w:tcPr>
            <w:tcW w:w="4785" w:type="dxa"/>
            <w:shd w:val="clear" w:color="auto" w:fill="auto"/>
            <w:vAlign w:val="center"/>
          </w:tcPr>
          <w:p>
            <w:pPr>
              <w:pStyle w:val="60"/>
              <w:ind w:firstLine="360"/>
              <w:rPr>
                <w:color w:val="auto"/>
                <w:sz w:val="18"/>
              </w:rPr>
            </w:pPr>
            <w:r>
              <w:rPr>
                <w:rFonts w:hint="eastAsia"/>
                <w:color w:val="auto"/>
                <w:sz w:val="18"/>
              </w:rPr>
              <w:t>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13</w:t>
            </w:r>
          </w:p>
        </w:tc>
        <w:tc>
          <w:tcPr>
            <w:tcW w:w="4785" w:type="dxa"/>
            <w:shd w:val="clear" w:color="auto" w:fill="auto"/>
            <w:vAlign w:val="center"/>
          </w:tcPr>
          <w:p>
            <w:pPr>
              <w:pStyle w:val="60"/>
              <w:ind w:firstLine="360"/>
              <w:rPr>
                <w:color w:val="auto"/>
                <w:sz w:val="18"/>
              </w:rPr>
            </w:pPr>
            <w:r>
              <w:rPr>
                <w:rFonts w:hint="eastAsia"/>
                <w:color w:val="auto"/>
                <w:sz w:val="18"/>
              </w:rPr>
              <w:t>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15≤n≤39</w:t>
            </w:r>
          </w:p>
        </w:tc>
        <w:tc>
          <w:tcPr>
            <w:tcW w:w="4785" w:type="dxa"/>
            <w:shd w:val="clear" w:color="auto" w:fill="auto"/>
            <w:vAlign w:val="center"/>
          </w:tcPr>
          <w:p>
            <w:pPr>
              <w:pStyle w:val="60"/>
              <w:ind w:firstLine="360"/>
              <w:rPr>
                <w:color w:val="auto"/>
                <w:sz w:val="18"/>
              </w:rPr>
            </w:pPr>
            <w:r>
              <w:rPr>
                <w:rFonts w:hint="eastAsia"/>
                <w:color w:val="auto"/>
                <w:sz w:val="18"/>
              </w:rPr>
              <w:t>0.15×15/n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9570" w:type="dxa"/>
            <w:gridSpan w:val="2"/>
            <w:shd w:val="clear" w:color="auto" w:fill="auto"/>
            <w:vAlign w:val="center"/>
          </w:tcPr>
          <w:p>
            <w:pPr>
              <w:pStyle w:val="60"/>
              <w:ind w:firstLine="0" w:firstLineChars="0"/>
              <w:jc w:val="center"/>
              <w:rPr>
                <w:color w:val="auto"/>
                <w:sz w:val="18"/>
              </w:rPr>
            </w:pPr>
            <w:r>
              <w:rPr>
                <w:rFonts w:hint="eastAsia"/>
                <w:color w:val="auto"/>
                <w:sz w:val="18"/>
              </w:rPr>
              <w:t>偶次谐波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2</w:t>
            </w:r>
          </w:p>
        </w:tc>
        <w:tc>
          <w:tcPr>
            <w:tcW w:w="4785" w:type="dxa"/>
            <w:shd w:val="clear" w:color="auto" w:fill="auto"/>
            <w:vAlign w:val="center"/>
          </w:tcPr>
          <w:p>
            <w:pPr>
              <w:pStyle w:val="60"/>
              <w:ind w:firstLine="360"/>
              <w:rPr>
                <w:color w:val="auto"/>
                <w:sz w:val="18"/>
              </w:rPr>
            </w:pPr>
            <w:r>
              <w:rPr>
                <w:rFonts w:hint="eastAsia"/>
                <w:color w:val="auto"/>
                <w:sz w:val="18"/>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4</w:t>
            </w:r>
          </w:p>
        </w:tc>
        <w:tc>
          <w:tcPr>
            <w:tcW w:w="4785" w:type="dxa"/>
            <w:shd w:val="clear" w:color="auto" w:fill="auto"/>
            <w:vAlign w:val="center"/>
          </w:tcPr>
          <w:p>
            <w:pPr>
              <w:pStyle w:val="60"/>
              <w:ind w:firstLine="360"/>
              <w:rPr>
                <w:color w:val="auto"/>
                <w:sz w:val="18"/>
              </w:rPr>
            </w:pPr>
            <w:r>
              <w:rPr>
                <w:rFonts w:hint="eastAsia"/>
                <w:color w:val="auto"/>
                <w:sz w:val="18"/>
              </w:rPr>
              <w:t>0.43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6</w:t>
            </w:r>
          </w:p>
        </w:tc>
        <w:tc>
          <w:tcPr>
            <w:tcW w:w="4785" w:type="dxa"/>
            <w:shd w:val="clear" w:color="auto" w:fill="auto"/>
            <w:vAlign w:val="center"/>
          </w:tcPr>
          <w:p>
            <w:pPr>
              <w:pStyle w:val="60"/>
              <w:ind w:firstLine="360"/>
              <w:rPr>
                <w:color w:val="auto"/>
                <w:sz w:val="18"/>
              </w:rPr>
            </w:pPr>
            <w:r>
              <w:rPr>
                <w:rFonts w:hint="eastAsia"/>
                <w:color w:val="auto"/>
                <w:sz w:val="18"/>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4785" w:type="dxa"/>
            <w:shd w:val="clear" w:color="auto" w:fill="auto"/>
            <w:vAlign w:val="center"/>
          </w:tcPr>
          <w:p>
            <w:pPr>
              <w:pStyle w:val="60"/>
              <w:ind w:firstLine="360"/>
              <w:rPr>
                <w:color w:val="auto"/>
                <w:sz w:val="18"/>
              </w:rPr>
            </w:pPr>
            <w:r>
              <w:rPr>
                <w:rFonts w:hint="eastAsia"/>
                <w:color w:val="auto"/>
                <w:sz w:val="18"/>
              </w:rPr>
              <w:t>8≤n≤40</w:t>
            </w:r>
          </w:p>
        </w:tc>
        <w:tc>
          <w:tcPr>
            <w:tcW w:w="4785" w:type="dxa"/>
            <w:shd w:val="clear" w:color="auto" w:fill="auto"/>
            <w:vAlign w:val="center"/>
          </w:tcPr>
          <w:p>
            <w:pPr>
              <w:pStyle w:val="60"/>
              <w:ind w:firstLine="360"/>
              <w:rPr>
                <w:color w:val="auto"/>
                <w:sz w:val="18"/>
              </w:rPr>
            </w:pPr>
            <w:r>
              <w:rPr>
                <w:rFonts w:hint="eastAsia"/>
                <w:color w:val="auto"/>
                <w:sz w:val="18"/>
              </w:rPr>
              <w:t>0.23×8/n</w:t>
            </w:r>
          </w:p>
        </w:tc>
      </w:tr>
    </w:tbl>
    <w:p>
      <w:pPr>
        <w:pStyle w:val="69"/>
        <w:spacing w:before="156" w:after="156"/>
        <w:rPr>
          <w:color w:val="auto"/>
        </w:rPr>
      </w:pPr>
      <w:bookmarkStart w:id="179" w:name="_Toc322562765"/>
      <w:bookmarkEnd w:id="179"/>
      <w:bookmarkStart w:id="180" w:name="_Ref57390092"/>
      <w:bookmarkEnd w:id="180"/>
      <w:bookmarkStart w:id="181" w:name="_Toc330802300"/>
      <w:bookmarkEnd w:id="181"/>
      <w:bookmarkStart w:id="182" w:name="_Toc331436300"/>
      <w:bookmarkEnd w:id="182"/>
      <w:bookmarkStart w:id="183" w:name="_Toc332391359"/>
      <w:bookmarkEnd w:id="183"/>
      <w:bookmarkStart w:id="184" w:name="_Toc332829231"/>
      <w:r>
        <w:rPr>
          <w:rFonts w:hint="eastAsia"/>
          <w:color w:val="auto"/>
        </w:rPr>
        <w:t>电磁敏感度</w:t>
      </w:r>
      <w:bookmarkEnd w:id="184"/>
      <w:r>
        <w:rPr>
          <w:rFonts w:hint="eastAsia"/>
          <w:color w:val="auto"/>
        </w:rPr>
        <w:t>检测</w:t>
      </w:r>
    </w:p>
    <w:p>
      <w:pPr>
        <w:pStyle w:val="60"/>
        <w:ind w:firstLine="420"/>
        <w:rPr>
          <w:color w:val="auto"/>
        </w:rPr>
      </w:pPr>
      <w:r>
        <w:rPr>
          <w:rFonts w:hint="eastAsia"/>
          <w:color w:val="auto"/>
        </w:rPr>
        <w:t>抗扰度限值的测量方法按GB/T 17618的规定进行。试验过程中运行检查程序，受试样品工作应正常。应符合GB/T 17618的要求。</w:t>
      </w:r>
    </w:p>
    <w:p>
      <w:pPr>
        <w:pStyle w:val="69"/>
        <w:spacing w:before="156" w:after="156"/>
        <w:rPr>
          <w:color w:val="auto"/>
        </w:rPr>
      </w:pPr>
      <w:bookmarkStart w:id="185" w:name="_Ref57390104"/>
      <w:bookmarkEnd w:id="185"/>
      <w:r>
        <w:rPr>
          <w:rFonts w:hint="eastAsia"/>
          <w:color w:val="auto"/>
        </w:rPr>
        <w:t>静电放电抗扰度检测</w:t>
      </w:r>
    </w:p>
    <w:p>
      <w:pPr>
        <w:pStyle w:val="60"/>
        <w:ind w:firstLine="420"/>
        <w:rPr>
          <w:color w:val="auto"/>
        </w:rPr>
      </w:pPr>
      <w:r>
        <w:rPr>
          <w:rFonts w:hint="eastAsia"/>
          <w:color w:val="auto"/>
        </w:rPr>
        <w:t>静电放电抗扰度的测量方法按GB/T 17618的规定进行。试验过程中运行检查程序，受试样品运行应正常。应符合GB/T 17618的要求。</w:t>
      </w:r>
    </w:p>
    <w:p>
      <w:pPr>
        <w:pStyle w:val="109"/>
        <w:spacing w:before="156" w:after="156"/>
        <w:rPr>
          <w:color w:val="auto"/>
        </w:rPr>
      </w:pPr>
      <w:bookmarkStart w:id="186" w:name="_Toc203209020"/>
      <w:bookmarkStart w:id="187" w:name="_Toc10666"/>
      <w:r>
        <w:rPr>
          <w:rFonts w:hint="eastAsia"/>
          <w:color w:val="auto"/>
        </w:rPr>
        <w:t>噪声检测</w:t>
      </w:r>
      <w:bookmarkEnd w:id="186"/>
      <w:bookmarkEnd w:id="187"/>
    </w:p>
    <w:p>
      <w:pPr>
        <w:pStyle w:val="60"/>
        <w:ind w:firstLine="420"/>
        <w:rPr>
          <w:color w:val="auto"/>
        </w:rPr>
      </w:pPr>
      <w:r>
        <w:rPr>
          <w:rFonts w:hint="eastAsia"/>
          <w:color w:val="auto"/>
        </w:rPr>
        <w:t>终端和专用模块噪声检测要求如下：</w:t>
      </w:r>
    </w:p>
    <w:p>
      <w:pPr>
        <w:pStyle w:val="178"/>
        <w:numPr>
          <w:ilvl w:val="0"/>
          <w:numId w:val="66"/>
        </w:numPr>
        <w:rPr>
          <w:color w:val="auto"/>
        </w:rPr>
      </w:pPr>
      <w:r>
        <w:rPr>
          <w:rFonts w:hint="eastAsia"/>
          <w:color w:val="auto"/>
        </w:rPr>
        <w:t>检测内容为检测终端和专用模块工作和待机情况下发出的噪音应符合DB11/T 1164.7的规定；</w:t>
      </w:r>
    </w:p>
    <w:p>
      <w:pPr>
        <w:pStyle w:val="178"/>
        <w:rPr>
          <w:color w:val="auto"/>
        </w:rPr>
      </w:pPr>
      <w:r>
        <w:rPr>
          <w:rFonts w:hint="eastAsia"/>
          <w:color w:val="auto"/>
        </w:rPr>
        <w:t>检测方法应按GB/T 6882的规定，测试点分别取前、后、左、右共四个点，测试点距离受试样品表面1 m处进行测试，取最大值。</w:t>
      </w:r>
    </w:p>
    <w:p>
      <w:pPr>
        <w:pStyle w:val="109"/>
        <w:spacing w:before="156" w:after="156"/>
        <w:rPr>
          <w:color w:val="auto"/>
        </w:rPr>
      </w:pPr>
      <w:bookmarkStart w:id="188" w:name="_Toc203209021"/>
      <w:bookmarkStart w:id="189" w:name="_Toc8169"/>
      <w:r>
        <w:rPr>
          <w:rFonts w:hint="eastAsia"/>
          <w:color w:val="auto"/>
        </w:rPr>
        <w:t>防尘能力检测</w:t>
      </w:r>
      <w:bookmarkEnd w:id="188"/>
      <w:bookmarkEnd w:id="189"/>
    </w:p>
    <w:p>
      <w:pPr>
        <w:pStyle w:val="60"/>
        <w:ind w:firstLine="420"/>
        <w:rPr>
          <w:color w:val="auto"/>
        </w:rPr>
      </w:pPr>
      <w:r>
        <w:rPr>
          <w:rFonts w:hint="eastAsia"/>
          <w:color w:val="auto"/>
        </w:rPr>
        <w:t>终端防尘能力检测要求如下：</w:t>
      </w:r>
    </w:p>
    <w:p>
      <w:pPr>
        <w:pStyle w:val="178"/>
        <w:numPr>
          <w:ilvl w:val="0"/>
          <w:numId w:val="67"/>
        </w:numPr>
        <w:rPr>
          <w:color w:val="auto"/>
        </w:rPr>
      </w:pPr>
      <w:r>
        <w:rPr>
          <w:rFonts w:hint="eastAsia"/>
          <w:color w:val="auto"/>
        </w:rPr>
        <w:t>检测内容为检测终端防尘能力应符合DB11/T 1164.7的规定；</w:t>
      </w:r>
    </w:p>
    <w:p>
      <w:pPr>
        <w:pStyle w:val="178"/>
        <w:rPr>
          <w:color w:val="auto"/>
        </w:rPr>
      </w:pPr>
      <w:r>
        <w:rPr>
          <w:rFonts w:hint="eastAsia"/>
          <w:color w:val="auto"/>
        </w:rPr>
        <w:t>检测方法应按GB/T 2423.37标准中的“试验Lb：自由降尘”进行。</w:t>
      </w:r>
    </w:p>
    <w:p>
      <w:pPr>
        <w:pStyle w:val="109"/>
        <w:spacing w:before="156" w:after="156"/>
        <w:rPr>
          <w:color w:val="auto"/>
        </w:rPr>
      </w:pPr>
      <w:bookmarkStart w:id="190" w:name="_Toc203209022"/>
      <w:bookmarkStart w:id="191" w:name="_Toc5432"/>
      <w:r>
        <w:rPr>
          <w:rFonts w:hint="eastAsia"/>
          <w:color w:val="auto"/>
        </w:rPr>
        <w:t>防水能力检测</w:t>
      </w:r>
      <w:bookmarkEnd w:id="190"/>
      <w:bookmarkEnd w:id="191"/>
    </w:p>
    <w:p>
      <w:pPr>
        <w:pStyle w:val="60"/>
        <w:ind w:firstLine="420"/>
        <w:rPr>
          <w:color w:val="auto"/>
        </w:rPr>
      </w:pPr>
      <w:r>
        <w:rPr>
          <w:rFonts w:hint="eastAsia"/>
          <w:color w:val="auto"/>
        </w:rPr>
        <w:t>终端的防水能力检测要求如下：</w:t>
      </w:r>
    </w:p>
    <w:p>
      <w:pPr>
        <w:pStyle w:val="178"/>
        <w:numPr>
          <w:ilvl w:val="0"/>
          <w:numId w:val="68"/>
        </w:numPr>
        <w:rPr>
          <w:color w:val="auto"/>
        </w:rPr>
      </w:pPr>
      <w:r>
        <w:rPr>
          <w:rFonts w:hint="eastAsia"/>
          <w:color w:val="auto"/>
        </w:rPr>
        <w:t>检测内容为检测终端的防水能力应符合DB11/T 1164.7的规定；</w:t>
      </w:r>
    </w:p>
    <w:p>
      <w:pPr>
        <w:pStyle w:val="178"/>
        <w:rPr>
          <w:color w:val="auto"/>
        </w:rPr>
      </w:pPr>
      <w:r>
        <w:rPr>
          <w:rFonts w:hint="eastAsia"/>
          <w:color w:val="auto"/>
        </w:rPr>
        <w:t>检测方法应依据技术要求分别按GB/T 2423.38标准中的“试验Ra2：滴水箱法”或“试验Rb1.1：摆动管法”进行。</w:t>
      </w:r>
    </w:p>
    <w:p>
      <w:pPr>
        <w:pStyle w:val="109"/>
        <w:spacing w:before="156" w:after="156"/>
        <w:rPr>
          <w:color w:val="auto"/>
        </w:rPr>
      </w:pPr>
      <w:bookmarkStart w:id="192" w:name="_Toc203209023"/>
      <w:bookmarkStart w:id="193" w:name="_Toc25819"/>
      <w:r>
        <w:rPr>
          <w:rFonts w:hint="eastAsia"/>
          <w:color w:val="auto"/>
        </w:rPr>
        <w:t>机械环境适应性检测</w:t>
      </w:r>
      <w:bookmarkEnd w:id="192"/>
      <w:bookmarkEnd w:id="193"/>
    </w:p>
    <w:p>
      <w:pPr>
        <w:pStyle w:val="60"/>
        <w:ind w:firstLine="420"/>
        <w:rPr>
          <w:color w:val="auto"/>
        </w:rPr>
      </w:pPr>
      <w:r>
        <w:rPr>
          <w:rFonts w:hint="eastAsia"/>
          <w:color w:val="auto"/>
        </w:rPr>
        <w:t>振动检测和冲击检测要求如下：</w:t>
      </w:r>
    </w:p>
    <w:p>
      <w:pPr>
        <w:pStyle w:val="178"/>
        <w:numPr>
          <w:ilvl w:val="0"/>
          <w:numId w:val="69"/>
        </w:numPr>
        <w:rPr>
          <w:color w:val="auto"/>
        </w:rPr>
      </w:pPr>
      <w:r>
        <w:rPr>
          <w:rFonts w:hint="eastAsia"/>
          <w:color w:val="auto"/>
        </w:rPr>
        <w:t>振动检测：</w:t>
      </w:r>
    </w:p>
    <w:p>
      <w:pPr>
        <w:pStyle w:val="113"/>
        <w:numPr>
          <w:ilvl w:val="1"/>
          <w:numId w:val="70"/>
        </w:numPr>
        <w:rPr>
          <w:color w:val="auto"/>
        </w:rPr>
      </w:pPr>
      <w:r>
        <w:rPr>
          <w:rFonts w:hint="eastAsia"/>
          <w:color w:val="auto"/>
        </w:rPr>
        <w:t>检测内容为检测终端和专用模块抗振动能力应符合DB11/T 1164.7的规定；</w:t>
      </w:r>
    </w:p>
    <w:p>
      <w:pPr>
        <w:pStyle w:val="113"/>
        <w:rPr>
          <w:color w:val="auto"/>
        </w:rPr>
      </w:pPr>
      <w:r>
        <w:rPr>
          <w:rFonts w:hint="eastAsia"/>
          <w:color w:val="auto"/>
        </w:rPr>
        <w:t>检测方法应按GB/T 2423.10中的“试验Fc”进行。在不工作的条件下，分别对三个轴向进行振动。</w:t>
      </w:r>
    </w:p>
    <w:p>
      <w:pPr>
        <w:pStyle w:val="178"/>
        <w:rPr>
          <w:color w:val="auto"/>
        </w:rPr>
      </w:pPr>
      <w:r>
        <w:rPr>
          <w:rFonts w:hint="eastAsia"/>
          <w:color w:val="auto"/>
        </w:rPr>
        <w:t>冲击检测：</w:t>
      </w:r>
    </w:p>
    <w:p>
      <w:pPr>
        <w:pStyle w:val="113"/>
        <w:numPr>
          <w:ilvl w:val="1"/>
          <w:numId w:val="71"/>
        </w:numPr>
        <w:rPr>
          <w:color w:val="auto"/>
        </w:rPr>
      </w:pPr>
      <w:r>
        <w:rPr>
          <w:rFonts w:hint="eastAsia"/>
          <w:color w:val="auto"/>
        </w:rPr>
        <w:t>检测内容为检测终端和专用模块的抗冲击能力应符合DB11/T 1164.7的规定；</w:t>
      </w:r>
    </w:p>
    <w:p>
      <w:pPr>
        <w:pStyle w:val="113"/>
        <w:rPr>
          <w:color w:val="auto"/>
        </w:rPr>
      </w:pPr>
      <w:r>
        <w:rPr>
          <w:rFonts w:hint="eastAsia"/>
          <w:color w:val="auto"/>
        </w:rPr>
        <w:t>检测方法应按GB/T 2423.5标准中的“试验Ea”进行。包装件在不工作条件下，对Z轴向连续冲击3次。</w:t>
      </w:r>
    </w:p>
    <w:p>
      <w:pPr>
        <w:pStyle w:val="109"/>
        <w:spacing w:before="156" w:after="156"/>
        <w:rPr>
          <w:color w:val="auto"/>
        </w:rPr>
      </w:pPr>
      <w:bookmarkStart w:id="194" w:name="_Toc203209024"/>
      <w:bookmarkStart w:id="195" w:name="_Toc45"/>
      <w:r>
        <w:rPr>
          <w:rFonts w:hint="eastAsia"/>
          <w:color w:val="auto"/>
        </w:rPr>
        <w:t>温湿环境适应性检测</w:t>
      </w:r>
      <w:bookmarkEnd w:id="194"/>
      <w:bookmarkEnd w:id="195"/>
    </w:p>
    <w:p>
      <w:pPr>
        <w:pStyle w:val="60"/>
        <w:ind w:firstLine="420"/>
        <w:rPr>
          <w:color w:val="auto"/>
        </w:rPr>
      </w:pPr>
      <w:r>
        <w:rPr>
          <w:rFonts w:hint="eastAsia"/>
          <w:color w:val="auto"/>
        </w:rPr>
        <w:t>温室环境适应性检测要求如下：</w:t>
      </w:r>
    </w:p>
    <w:p>
      <w:pPr>
        <w:pStyle w:val="178"/>
        <w:numPr>
          <w:ilvl w:val="0"/>
          <w:numId w:val="72"/>
        </w:numPr>
        <w:rPr>
          <w:color w:val="auto"/>
        </w:rPr>
      </w:pPr>
      <w:r>
        <w:rPr>
          <w:rFonts w:hint="eastAsia"/>
          <w:color w:val="auto"/>
        </w:rPr>
        <w:t>低温工作检测：</w:t>
      </w:r>
    </w:p>
    <w:p>
      <w:pPr>
        <w:pStyle w:val="113"/>
        <w:rPr>
          <w:color w:val="auto"/>
        </w:rPr>
      </w:pPr>
      <w:r>
        <w:rPr>
          <w:rFonts w:hint="eastAsia"/>
          <w:color w:val="auto"/>
        </w:rPr>
        <w:t>检测内容为检测终端和专用模块应在DB11/T 1164.7规定的低温环境下正常工作；</w:t>
      </w:r>
    </w:p>
    <w:p>
      <w:pPr>
        <w:pStyle w:val="113"/>
        <w:rPr>
          <w:color w:val="auto"/>
        </w:rPr>
      </w:pPr>
      <w:r>
        <w:rPr>
          <w:rFonts w:hint="eastAsia"/>
          <w:color w:val="auto"/>
        </w:rPr>
        <w:t>检测方法应按GB/T 2423.1中的“试验Ad”进行。依据DB11/T 1164.7的规定选取低温工作温度值，受检设备/专用模块在此温度下运行应用程序24 h。受检设备/专用模块应工作正常，恢复时间为2 h。受检设备/专用模块应进行初始检测、中间检测和最后检测。</w:t>
      </w:r>
    </w:p>
    <w:p>
      <w:pPr>
        <w:pStyle w:val="178"/>
        <w:rPr>
          <w:color w:val="auto"/>
        </w:rPr>
      </w:pPr>
      <w:r>
        <w:rPr>
          <w:rFonts w:hint="eastAsia"/>
          <w:color w:val="auto"/>
        </w:rPr>
        <w:t>低温贮存检测：</w:t>
      </w:r>
    </w:p>
    <w:p>
      <w:pPr>
        <w:pStyle w:val="113"/>
        <w:numPr>
          <w:ilvl w:val="1"/>
          <w:numId w:val="73"/>
        </w:numPr>
        <w:rPr>
          <w:color w:val="auto"/>
        </w:rPr>
      </w:pPr>
      <w:r>
        <w:rPr>
          <w:rFonts w:hint="eastAsia"/>
          <w:color w:val="auto"/>
        </w:rPr>
        <w:t>检测内容为检测终端和专用模块应在DB11/T 1164.7规定的低温环境下正常贮存；</w:t>
      </w:r>
    </w:p>
    <w:p>
      <w:pPr>
        <w:pStyle w:val="113"/>
        <w:rPr>
          <w:color w:val="auto"/>
        </w:rPr>
      </w:pPr>
      <w:r>
        <w:rPr>
          <w:rFonts w:hint="eastAsia"/>
          <w:color w:val="auto"/>
        </w:rPr>
        <w:t>检测方法应按GB/T 2423.1中的“试验Ab”进行。依据DB11/T 1164.7的规定选取低温贮存温度值。受检设备/专用模块在不工作的条件下存放24 h，恢复时间为2 h。为防止受检设备/专用模块结霜和凝露，允许将受检设备/专用模块用薄膜包装密封后进行检测。</w:t>
      </w:r>
    </w:p>
    <w:p>
      <w:pPr>
        <w:pStyle w:val="178"/>
        <w:rPr>
          <w:color w:val="auto"/>
        </w:rPr>
      </w:pPr>
      <w:r>
        <w:rPr>
          <w:rFonts w:hint="eastAsia"/>
          <w:color w:val="auto"/>
        </w:rPr>
        <w:t>高温工作检测：</w:t>
      </w:r>
    </w:p>
    <w:p>
      <w:pPr>
        <w:pStyle w:val="113"/>
        <w:numPr>
          <w:ilvl w:val="1"/>
          <w:numId w:val="74"/>
        </w:numPr>
        <w:rPr>
          <w:color w:val="auto"/>
        </w:rPr>
      </w:pPr>
      <w:r>
        <w:rPr>
          <w:rFonts w:hint="eastAsia"/>
          <w:color w:val="auto"/>
        </w:rPr>
        <w:t>检测内容为检测终端和专用模块应在DB11/T 1164.7规定的高温环境下正常工作；</w:t>
      </w:r>
    </w:p>
    <w:p>
      <w:pPr>
        <w:pStyle w:val="113"/>
        <w:rPr>
          <w:color w:val="auto"/>
        </w:rPr>
      </w:pPr>
      <w:r>
        <w:rPr>
          <w:rFonts w:hint="eastAsia"/>
          <w:color w:val="auto"/>
        </w:rPr>
        <w:t>检测方法应按GB/T 2423.2中的“试验Bd”进行。依据DB11/T 1164.7的规定选取高温工作温度值。受检设备/专用模块在此温度下运行应用程序24 h。受检设备/专用模块应工作正常，恢复时间为2 h。受检设备/专用模块必须进行初始检测、中间检测和最后检测。</w:t>
      </w:r>
    </w:p>
    <w:p>
      <w:pPr>
        <w:pStyle w:val="178"/>
        <w:rPr>
          <w:color w:val="auto"/>
        </w:rPr>
      </w:pPr>
      <w:r>
        <w:rPr>
          <w:rFonts w:hint="eastAsia"/>
          <w:color w:val="auto"/>
        </w:rPr>
        <w:t>高温贮存检测：</w:t>
      </w:r>
    </w:p>
    <w:p>
      <w:pPr>
        <w:pStyle w:val="113"/>
        <w:numPr>
          <w:ilvl w:val="1"/>
          <w:numId w:val="75"/>
        </w:numPr>
        <w:rPr>
          <w:color w:val="auto"/>
        </w:rPr>
      </w:pPr>
      <w:r>
        <w:rPr>
          <w:rFonts w:hint="eastAsia"/>
          <w:color w:val="auto"/>
        </w:rPr>
        <w:t>检测内容为检测终端和专用模块应在DB11/T 1164.7规定的高温环境下正常贮存；</w:t>
      </w:r>
    </w:p>
    <w:p>
      <w:pPr>
        <w:pStyle w:val="113"/>
        <w:rPr>
          <w:color w:val="auto"/>
        </w:rPr>
      </w:pPr>
      <w:r>
        <w:rPr>
          <w:rFonts w:hint="eastAsia"/>
          <w:color w:val="auto"/>
        </w:rPr>
        <w:t>检测方法应按GB/T 2423.2中的“试验Bb”进行。依据DB11/T 1164.7的规定选取高温贮存温度值。受检设备/专用模块在不工作的条件下存放24 h，恢复时间为2 h。</w:t>
      </w:r>
    </w:p>
    <w:p>
      <w:pPr>
        <w:pStyle w:val="178"/>
        <w:rPr>
          <w:color w:val="auto"/>
        </w:rPr>
      </w:pPr>
      <w:r>
        <w:rPr>
          <w:rFonts w:hint="eastAsia"/>
          <w:color w:val="auto"/>
        </w:rPr>
        <w:t>工作条件下的恒定湿热检测：</w:t>
      </w:r>
    </w:p>
    <w:p>
      <w:pPr>
        <w:pStyle w:val="113"/>
        <w:numPr>
          <w:ilvl w:val="1"/>
          <w:numId w:val="76"/>
        </w:numPr>
        <w:rPr>
          <w:color w:val="auto"/>
        </w:rPr>
      </w:pPr>
      <w:r>
        <w:rPr>
          <w:rFonts w:hint="eastAsia"/>
          <w:color w:val="auto"/>
        </w:rPr>
        <w:t>检测内容为检测终端和专用模块应在DB11/T 1164.7规定的恒定温湿度环境下正常工作；</w:t>
      </w:r>
    </w:p>
    <w:p>
      <w:pPr>
        <w:pStyle w:val="113"/>
        <w:rPr>
          <w:color w:val="auto"/>
        </w:rPr>
      </w:pPr>
      <w:r>
        <w:rPr>
          <w:rFonts w:hint="eastAsia"/>
          <w:color w:val="auto"/>
        </w:rPr>
        <w:t>检测方法应按GB/T 2423.3中的“试验Ca”进行。依据DB11/T 1164.7的规定选取恒定温度和湿度值。受检设备/专用模块在此温度和湿度条件下运行应用程序24 h。受检设备/专用模块应工作正常，恢复时间为2 h。受检设备/专用模块必须进行初始检测、中间检测和最后检测。</w:t>
      </w:r>
    </w:p>
    <w:p>
      <w:pPr>
        <w:pStyle w:val="178"/>
        <w:rPr>
          <w:color w:val="auto"/>
        </w:rPr>
      </w:pPr>
      <w:r>
        <w:rPr>
          <w:rFonts w:hint="eastAsia"/>
          <w:color w:val="auto"/>
        </w:rPr>
        <w:t>贮存条件下的恒定湿热检测：</w:t>
      </w:r>
    </w:p>
    <w:p>
      <w:pPr>
        <w:pStyle w:val="113"/>
        <w:numPr>
          <w:ilvl w:val="1"/>
          <w:numId w:val="77"/>
        </w:numPr>
        <w:rPr>
          <w:color w:val="auto"/>
        </w:rPr>
      </w:pPr>
      <w:r>
        <w:rPr>
          <w:rFonts w:hint="eastAsia"/>
          <w:color w:val="auto"/>
        </w:rPr>
        <w:t>检测内容为检测终端和专用模块应在DB11/T 1164.7规定的恒定温湿度环境下正常贮存；</w:t>
      </w:r>
    </w:p>
    <w:p>
      <w:pPr>
        <w:pStyle w:val="113"/>
        <w:rPr>
          <w:color w:val="auto"/>
        </w:rPr>
      </w:pPr>
      <w:r>
        <w:rPr>
          <w:rFonts w:hint="eastAsia"/>
          <w:color w:val="auto"/>
        </w:rPr>
        <w:t>检测方法应按GB/T 2423.3中的“试验Ca”进行。依据DB11/T 1164.7的规定选取很定温度和湿度值。受检设备/专用模块在不工作的条件下存放24 h，恢复时间为2 h。</w:t>
      </w:r>
    </w:p>
    <w:p>
      <w:pPr>
        <w:pStyle w:val="109"/>
        <w:spacing w:before="156" w:after="156"/>
        <w:rPr>
          <w:color w:val="auto"/>
        </w:rPr>
      </w:pPr>
      <w:bookmarkStart w:id="196" w:name="_Toc203209025"/>
      <w:bookmarkStart w:id="197" w:name="_Toc1206"/>
      <w:r>
        <w:rPr>
          <w:rFonts w:hint="eastAsia"/>
          <w:color w:val="auto"/>
        </w:rPr>
        <w:t>可靠性检测</w:t>
      </w:r>
      <w:bookmarkEnd w:id="196"/>
      <w:bookmarkEnd w:id="197"/>
    </w:p>
    <w:p>
      <w:pPr>
        <w:pStyle w:val="60"/>
        <w:ind w:firstLine="420"/>
        <w:rPr>
          <w:color w:val="auto"/>
        </w:rPr>
      </w:pPr>
      <w:r>
        <w:rPr>
          <w:rFonts w:hint="eastAsia"/>
          <w:color w:val="auto"/>
        </w:rPr>
        <w:t>终端和专用模块可靠性检测要求如下：</w:t>
      </w:r>
    </w:p>
    <w:p>
      <w:pPr>
        <w:pStyle w:val="178"/>
        <w:numPr>
          <w:ilvl w:val="0"/>
          <w:numId w:val="78"/>
        </w:numPr>
        <w:rPr>
          <w:color w:val="auto"/>
        </w:rPr>
      </w:pPr>
      <w:r>
        <w:rPr>
          <w:rFonts w:hint="eastAsia"/>
          <w:color w:val="auto"/>
        </w:rPr>
        <w:t>检测内容为检测终端和专用模块的MCBF应满足DB11/T 1164.7的规定；</w:t>
      </w:r>
    </w:p>
    <w:p>
      <w:pPr>
        <w:pStyle w:val="178"/>
        <w:rPr>
          <w:color w:val="auto"/>
        </w:rPr>
      </w:pPr>
      <w:r>
        <w:rPr>
          <w:rFonts w:hint="eastAsia"/>
          <w:color w:val="auto"/>
        </w:rPr>
        <w:t>检测条件要求如下：</w:t>
      </w:r>
    </w:p>
    <w:p>
      <w:pPr>
        <w:pStyle w:val="113"/>
        <w:numPr>
          <w:ilvl w:val="1"/>
          <w:numId w:val="79"/>
        </w:numPr>
        <w:rPr>
          <w:color w:val="auto"/>
        </w:rPr>
      </w:pPr>
      <w:r>
        <w:rPr>
          <w:rFonts w:hint="eastAsia"/>
          <w:color w:val="auto"/>
        </w:rPr>
        <w:t>电应力应为输入电压和频率为标称值；</w:t>
      </w:r>
    </w:p>
    <w:p>
      <w:pPr>
        <w:pStyle w:val="113"/>
        <w:rPr>
          <w:color w:val="auto"/>
        </w:rPr>
      </w:pPr>
      <w:r>
        <w:rPr>
          <w:rFonts w:hint="eastAsia"/>
          <w:color w:val="auto"/>
        </w:rPr>
        <w:t>温度应力应为常温。可以选择高温应力加速，但是不能超过45℃；</w:t>
      </w:r>
    </w:p>
    <w:p>
      <w:pPr>
        <w:pStyle w:val="113"/>
        <w:rPr>
          <w:color w:val="auto"/>
        </w:rPr>
      </w:pPr>
      <w:r>
        <w:rPr>
          <w:rFonts w:hint="eastAsia"/>
          <w:color w:val="auto"/>
        </w:rPr>
        <w:t>样机数量应为1～3 台。</w:t>
      </w:r>
    </w:p>
    <w:p>
      <w:pPr>
        <w:pStyle w:val="178"/>
        <w:rPr>
          <w:color w:val="auto"/>
        </w:rPr>
      </w:pPr>
      <w:r>
        <w:rPr>
          <w:rFonts w:hint="eastAsia"/>
          <w:color w:val="auto"/>
        </w:rPr>
        <w:t>检测方法要求如下：</w:t>
      </w:r>
    </w:p>
    <w:p>
      <w:pPr>
        <w:pStyle w:val="113"/>
        <w:numPr>
          <w:ilvl w:val="1"/>
          <w:numId w:val="80"/>
        </w:numPr>
        <w:rPr>
          <w:color w:val="auto"/>
        </w:rPr>
      </w:pPr>
      <w:r>
        <w:rPr>
          <w:rFonts w:hint="eastAsia"/>
          <w:color w:val="auto"/>
        </w:rPr>
        <w:t>AG检测方法应按GB/T 5080.7进行。在整个试验过程中应在测试环境中运行AG系统软件，依据预定的测试用例进行通行操作，记录试验中出现的各种故障，依据预定的问题定义与判据确定问题数量，依据预定的试验方案确定试验结束。如果采用多台样机，每台样机的试验次数不应少于所有样机的平均试验次数的一半；</w:t>
      </w:r>
    </w:p>
    <w:p>
      <w:pPr>
        <w:pStyle w:val="113"/>
        <w:rPr>
          <w:color w:val="auto"/>
        </w:rPr>
      </w:pPr>
      <w:r>
        <w:rPr>
          <w:rFonts w:hint="eastAsia"/>
          <w:color w:val="auto"/>
        </w:rPr>
        <w:t>TVM检测方法应按GB/T 5080.7进行。在整个试验过程中应在测试环境中运行TVM系统软件，依据预定的测试用例进行售票操作，记录试验中出现的各种故障，依据预定的问题定义与判据确定问题数量，依据预定的试验方案确定试验结束。如果采用多台样机，每台样机的试验次数不应少于所有样机的平均试验次数的一半；</w:t>
      </w:r>
    </w:p>
    <w:p>
      <w:pPr>
        <w:pStyle w:val="113"/>
        <w:rPr>
          <w:color w:val="auto"/>
        </w:rPr>
      </w:pPr>
      <w:r>
        <w:rPr>
          <w:rFonts w:hint="eastAsia"/>
          <w:color w:val="auto"/>
        </w:rPr>
        <w:t>BOM检测方法应按GB/T 5080.7进行。在整个试验过程中应在测试环境中运行BOM系统软件，依据预定的测试用例进行车票发售和车票分析操作，记录试验中出现的各种故障，依据预定的问题定义与判据确定问题数量，依据预定的试验方案确定试验结束。如果采用多台样机，每台样机的试验次数不应少于所有样机的平均试验次数的一半；</w:t>
      </w:r>
    </w:p>
    <w:p>
      <w:pPr>
        <w:pStyle w:val="113"/>
        <w:rPr>
          <w:color w:val="auto"/>
        </w:rPr>
      </w:pPr>
      <w:r>
        <w:rPr>
          <w:rFonts w:hint="eastAsia"/>
          <w:color w:val="auto"/>
        </w:rPr>
        <w:t>专用模块检测方法（除TPU）应按GB/T 5080.7进行。在整个试验过程中应在测试环境中运行模块软件，使用专用检测装置依据预定的测试用例控制被测模块进行基本功能操作，记录试验中出现的各种故障，依据预定的问题定义与判据确定问题数量，依据预定的试验方案确定试验结束。如果采用多台样机，每台样机的试验次数不应少于所有样机的平均试验次数的一半；</w:t>
      </w:r>
    </w:p>
    <w:p>
      <w:pPr>
        <w:pStyle w:val="113"/>
        <w:rPr>
          <w:color w:val="auto"/>
        </w:rPr>
      </w:pPr>
      <w:r>
        <w:rPr>
          <w:rFonts w:hint="eastAsia"/>
          <w:color w:val="auto"/>
        </w:rPr>
        <w:t>TPU检测方法应按GB/T 28171进行。在整个试验过程中应在测试环境中运行TPU系统软件，使用专用检测装置依据预定的测试用例进行车票处理操作，记录试验中出现的各种故障，依据预定的问题定义与判据确定问题数据，依据预定的试验方案确定试验结束。如果采用多台样机，每台样机的试验次数不应少于所有样机的平均试验次数的一半。</w:t>
      </w:r>
    </w:p>
    <w:p>
      <w:pPr>
        <w:pStyle w:val="178"/>
        <w:rPr>
          <w:color w:val="auto"/>
        </w:rPr>
      </w:pPr>
      <w:r>
        <w:rPr>
          <w:rFonts w:hint="eastAsia"/>
          <w:color w:val="auto"/>
        </w:rPr>
        <w:t>预定的测试用例应尽可能模拟设备或模块在实际使用场合的功能剖面；</w:t>
      </w:r>
    </w:p>
    <w:p>
      <w:pPr>
        <w:pStyle w:val="178"/>
        <w:rPr>
          <w:color w:val="auto"/>
        </w:rPr>
      </w:pPr>
      <w:r>
        <w:rPr>
          <w:rFonts w:hint="eastAsia"/>
          <w:color w:val="auto"/>
        </w:rPr>
        <w:t>问题的等级划分，应按附录B的定义进行判别。</w:t>
      </w:r>
    </w:p>
    <w:p>
      <w:pPr>
        <w:pStyle w:val="109"/>
        <w:spacing w:before="156" w:after="156"/>
        <w:rPr>
          <w:color w:val="auto"/>
        </w:rPr>
      </w:pPr>
      <w:bookmarkStart w:id="198" w:name="_Toc203209026"/>
      <w:bookmarkStart w:id="199" w:name="_Toc21522"/>
      <w:r>
        <w:rPr>
          <w:rFonts w:hint="eastAsia"/>
          <w:color w:val="auto"/>
        </w:rPr>
        <w:t>可维护性检测</w:t>
      </w:r>
      <w:bookmarkEnd w:id="198"/>
      <w:bookmarkEnd w:id="199"/>
    </w:p>
    <w:p>
      <w:pPr>
        <w:pStyle w:val="60"/>
        <w:ind w:firstLine="420"/>
        <w:rPr>
          <w:color w:val="auto"/>
        </w:rPr>
      </w:pPr>
      <w:r>
        <w:rPr>
          <w:rFonts w:hint="eastAsia"/>
          <w:color w:val="auto"/>
        </w:rPr>
        <w:t>终端和专用模块可维护性检测要求如下：</w:t>
      </w:r>
    </w:p>
    <w:p>
      <w:pPr>
        <w:pStyle w:val="178"/>
        <w:numPr>
          <w:ilvl w:val="0"/>
          <w:numId w:val="81"/>
        </w:numPr>
        <w:rPr>
          <w:color w:val="auto"/>
        </w:rPr>
      </w:pPr>
      <w:r>
        <w:rPr>
          <w:rFonts w:hint="eastAsia"/>
          <w:color w:val="auto"/>
        </w:rPr>
        <w:t>检测内容为检测终端和专用模块的维修能力应满足DB11/T 1164.7的规定；</w:t>
      </w:r>
    </w:p>
    <w:p>
      <w:pPr>
        <w:pStyle w:val="178"/>
        <w:rPr>
          <w:color w:val="auto"/>
        </w:rPr>
      </w:pPr>
      <w:r>
        <w:rPr>
          <w:rFonts w:hint="eastAsia"/>
          <w:color w:val="auto"/>
        </w:rPr>
        <w:t>检测方法要求如下：</w:t>
      </w:r>
    </w:p>
    <w:p>
      <w:pPr>
        <w:pStyle w:val="113"/>
        <w:numPr>
          <w:ilvl w:val="1"/>
          <w:numId w:val="82"/>
        </w:numPr>
        <w:rPr>
          <w:color w:val="auto"/>
        </w:rPr>
      </w:pPr>
      <w:r>
        <w:rPr>
          <w:rFonts w:hint="eastAsia"/>
          <w:color w:val="auto"/>
        </w:rPr>
        <w:t>终端应对终端进行维护，使其恢复到能执行要求功能的状态，并用秒表记录时间；</w:t>
      </w:r>
    </w:p>
    <w:p>
      <w:pPr>
        <w:pStyle w:val="113"/>
        <w:rPr>
          <w:color w:val="auto"/>
        </w:rPr>
      </w:pPr>
      <w:r>
        <w:rPr>
          <w:rFonts w:hint="eastAsia"/>
          <w:color w:val="auto"/>
        </w:rPr>
        <w:t>专用模块应对专用模块进行维护，使其恢复到能执行要求功能的状态，并用秒表记录时间。</w:t>
      </w:r>
    </w:p>
    <w:p>
      <w:pPr>
        <w:pStyle w:val="109"/>
        <w:spacing w:before="156" w:after="156"/>
        <w:rPr>
          <w:color w:val="auto"/>
        </w:rPr>
      </w:pPr>
      <w:bookmarkStart w:id="200" w:name="_Toc203209027"/>
      <w:bookmarkStart w:id="201" w:name="_Toc28101"/>
      <w:r>
        <w:rPr>
          <w:rFonts w:hint="eastAsia"/>
          <w:color w:val="auto"/>
        </w:rPr>
        <w:t>安全性检测</w:t>
      </w:r>
      <w:bookmarkEnd w:id="200"/>
      <w:bookmarkEnd w:id="201"/>
    </w:p>
    <w:p>
      <w:pPr>
        <w:pStyle w:val="60"/>
        <w:ind w:firstLine="420"/>
        <w:rPr>
          <w:color w:val="auto"/>
        </w:rPr>
      </w:pPr>
      <w:r>
        <w:rPr>
          <w:rFonts w:hint="eastAsia"/>
          <w:color w:val="auto"/>
        </w:rPr>
        <w:t>终端和专用模块安全性检测要求如下：</w:t>
      </w:r>
    </w:p>
    <w:p>
      <w:pPr>
        <w:pStyle w:val="178"/>
        <w:numPr>
          <w:ilvl w:val="0"/>
          <w:numId w:val="83"/>
        </w:numPr>
        <w:rPr>
          <w:color w:val="auto"/>
        </w:rPr>
      </w:pPr>
      <w:r>
        <w:rPr>
          <w:rFonts w:hint="eastAsia"/>
          <w:color w:val="auto"/>
        </w:rPr>
        <w:t>检测内容为检测终端和专用模块的安全性应满足DB11/T 1164.7的规定；</w:t>
      </w:r>
    </w:p>
    <w:p>
      <w:pPr>
        <w:pStyle w:val="178"/>
        <w:rPr>
          <w:color w:val="auto"/>
        </w:rPr>
      </w:pPr>
      <w:r>
        <w:rPr>
          <w:rFonts w:hint="eastAsia"/>
          <w:color w:val="auto"/>
        </w:rPr>
        <w:t>检测方法按按GB4943要求进行；</w:t>
      </w:r>
    </w:p>
    <w:p>
      <w:pPr>
        <w:pStyle w:val="178"/>
        <w:rPr>
          <w:color w:val="auto"/>
        </w:rPr>
      </w:pPr>
      <w:r>
        <w:rPr>
          <w:rFonts w:hint="eastAsia"/>
          <w:color w:val="auto"/>
        </w:rPr>
        <w:t>自动售票机应按CCC要求取得证书。</w:t>
      </w:r>
    </w:p>
    <w:p>
      <w:pPr>
        <w:pStyle w:val="108"/>
        <w:spacing w:before="312" w:after="312"/>
        <w:rPr>
          <w:color w:val="auto"/>
        </w:rPr>
      </w:pPr>
      <w:bookmarkStart w:id="202" w:name="_Toc203209028"/>
      <w:bookmarkStart w:id="203" w:name="_Toc27972"/>
      <w:r>
        <w:rPr>
          <w:rFonts w:hint="eastAsia"/>
          <w:color w:val="auto"/>
        </w:rPr>
        <w:t>专用模块检测</w:t>
      </w:r>
      <w:bookmarkEnd w:id="202"/>
      <w:bookmarkEnd w:id="203"/>
    </w:p>
    <w:p>
      <w:pPr>
        <w:pStyle w:val="109"/>
        <w:spacing w:before="156" w:after="156"/>
        <w:rPr>
          <w:color w:val="auto"/>
        </w:rPr>
      </w:pPr>
      <w:bookmarkStart w:id="204" w:name="_Toc203209029"/>
      <w:bookmarkStart w:id="205" w:name="_Toc7473"/>
      <w:r>
        <w:rPr>
          <w:rFonts w:hint="eastAsia"/>
          <w:color w:val="auto"/>
        </w:rPr>
        <w:t>检测的环境条件</w:t>
      </w:r>
      <w:bookmarkEnd w:id="204"/>
      <w:bookmarkEnd w:id="205"/>
    </w:p>
    <w:p>
      <w:pPr>
        <w:pStyle w:val="60"/>
        <w:ind w:firstLine="420"/>
        <w:rPr>
          <w:color w:val="auto"/>
        </w:rPr>
      </w:pPr>
      <w:r>
        <w:rPr>
          <w:rFonts w:hint="eastAsia"/>
          <w:color w:val="auto"/>
        </w:rPr>
        <w:t>除温湿环境适应性、可靠性和电源适应性检测外，本章其它检测方法在下述正常条件下进行，具体要求如下：</w:t>
      </w:r>
    </w:p>
    <w:p>
      <w:pPr>
        <w:pStyle w:val="178"/>
        <w:numPr>
          <w:ilvl w:val="0"/>
          <w:numId w:val="84"/>
        </w:numPr>
        <w:rPr>
          <w:color w:val="auto"/>
        </w:rPr>
      </w:pPr>
      <w:r>
        <w:rPr>
          <w:rFonts w:hint="eastAsia"/>
          <w:color w:val="auto"/>
        </w:rPr>
        <w:t>温度应为15℃～35℃；</w:t>
      </w:r>
    </w:p>
    <w:p>
      <w:pPr>
        <w:pStyle w:val="178"/>
        <w:rPr>
          <w:color w:val="auto"/>
        </w:rPr>
      </w:pPr>
      <w:r>
        <w:rPr>
          <w:rFonts w:hint="eastAsia"/>
          <w:color w:val="auto"/>
        </w:rPr>
        <w:t>湿度应为45%RH～75%RH；</w:t>
      </w:r>
    </w:p>
    <w:p>
      <w:pPr>
        <w:pStyle w:val="178"/>
        <w:rPr>
          <w:color w:val="auto"/>
        </w:rPr>
      </w:pPr>
      <w:r>
        <w:rPr>
          <w:rFonts w:hint="eastAsia"/>
          <w:color w:val="auto"/>
        </w:rPr>
        <w:t>大气压应为86 KPa～106 KPa。</w:t>
      </w:r>
    </w:p>
    <w:p>
      <w:pPr>
        <w:pStyle w:val="109"/>
        <w:spacing w:before="156" w:after="156"/>
        <w:rPr>
          <w:color w:val="auto"/>
        </w:rPr>
      </w:pPr>
      <w:bookmarkStart w:id="206" w:name="_Toc203209030"/>
      <w:bookmarkStart w:id="207" w:name="_Toc1435"/>
      <w:r>
        <w:rPr>
          <w:rFonts w:hint="eastAsia"/>
          <w:color w:val="auto"/>
        </w:rPr>
        <w:t>票箱检测</w:t>
      </w:r>
      <w:bookmarkEnd w:id="206"/>
      <w:bookmarkEnd w:id="207"/>
    </w:p>
    <w:p>
      <w:pPr>
        <w:pStyle w:val="69"/>
        <w:spacing w:before="156" w:after="156"/>
        <w:rPr>
          <w:color w:val="auto"/>
        </w:rPr>
      </w:pPr>
      <w:r>
        <w:rPr>
          <w:rFonts w:hint="eastAsia"/>
          <w:color w:val="auto"/>
        </w:rPr>
        <w:t>外形尺寸检测</w:t>
      </w:r>
    </w:p>
    <w:p>
      <w:pPr>
        <w:pStyle w:val="60"/>
        <w:ind w:firstLine="420"/>
        <w:rPr>
          <w:color w:val="auto"/>
        </w:rPr>
      </w:pPr>
      <w:r>
        <w:rPr>
          <w:rFonts w:hint="eastAsia"/>
          <w:color w:val="auto"/>
        </w:rPr>
        <w:t>外形尺寸检测要求如下：</w:t>
      </w:r>
    </w:p>
    <w:p>
      <w:pPr>
        <w:pStyle w:val="178"/>
        <w:numPr>
          <w:ilvl w:val="0"/>
          <w:numId w:val="85"/>
        </w:numPr>
        <w:rPr>
          <w:color w:val="auto"/>
        </w:rPr>
      </w:pPr>
      <w:r>
        <w:rPr>
          <w:rFonts w:hint="eastAsia"/>
          <w:color w:val="auto"/>
        </w:rPr>
        <w:t>检测内容应依据DB11/T 1164.7票箱的外观与结构要求逐项检测；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60"/>
        <w:ind w:firstLine="420"/>
        <w:rPr>
          <w:color w:val="auto"/>
        </w:rPr>
      </w:pPr>
      <w:r>
        <w:rPr>
          <w:rFonts w:hint="eastAsia"/>
          <w:color w:val="auto"/>
        </w:rPr>
        <w:t>配置检测要求如下：</w:t>
      </w:r>
    </w:p>
    <w:p>
      <w:pPr>
        <w:pStyle w:val="178"/>
        <w:numPr>
          <w:ilvl w:val="0"/>
          <w:numId w:val="86"/>
        </w:numPr>
        <w:rPr>
          <w:color w:val="auto"/>
        </w:rPr>
      </w:pPr>
      <w:r>
        <w:rPr>
          <w:rFonts w:hint="eastAsia"/>
          <w:color w:val="auto"/>
        </w:rPr>
        <w:t>检测内容应依据DB11/T 1164.7票箱的配置要求逐项检测；</w:t>
      </w:r>
    </w:p>
    <w:p>
      <w:pPr>
        <w:pStyle w:val="178"/>
        <w:rPr>
          <w:color w:val="auto"/>
        </w:rPr>
      </w:pPr>
      <w:r>
        <w:rPr>
          <w:rFonts w:hint="eastAsia"/>
          <w:color w:val="auto"/>
        </w:rPr>
        <w:t>检测方法应对照配置清单逐条进行核对。</w:t>
      </w:r>
    </w:p>
    <w:p>
      <w:pPr>
        <w:pStyle w:val="69"/>
        <w:spacing w:before="156" w:after="156"/>
        <w:rPr>
          <w:color w:val="auto"/>
        </w:rPr>
      </w:pPr>
      <w:r>
        <w:rPr>
          <w:rFonts w:hint="eastAsia"/>
          <w:color w:val="auto"/>
        </w:rPr>
        <w:t>性能检测</w:t>
      </w:r>
    </w:p>
    <w:p>
      <w:pPr>
        <w:pStyle w:val="60"/>
        <w:ind w:firstLine="420"/>
        <w:rPr>
          <w:color w:val="auto"/>
        </w:rPr>
      </w:pPr>
      <w:r>
        <w:rPr>
          <w:rFonts w:hint="eastAsia"/>
          <w:color w:val="auto"/>
        </w:rPr>
        <w:t>票箱容量检测要求如下：</w:t>
      </w:r>
    </w:p>
    <w:p>
      <w:pPr>
        <w:pStyle w:val="178"/>
        <w:numPr>
          <w:ilvl w:val="0"/>
          <w:numId w:val="87"/>
        </w:numPr>
        <w:rPr>
          <w:color w:val="auto"/>
        </w:rPr>
      </w:pPr>
      <w:r>
        <w:rPr>
          <w:rFonts w:hint="eastAsia"/>
          <w:color w:val="auto"/>
        </w:rPr>
        <w:t>检测内容为检测票箱容量应符合DB11/T 1164.7的规定；</w:t>
      </w:r>
    </w:p>
    <w:p>
      <w:pPr>
        <w:pStyle w:val="178"/>
        <w:rPr>
          <w:color w:val="auto"/>
        </w:rPr>
      </w:pPr>
      <w:r>
        <w:rPr>
          <w:rFonts w:hint="eastAsia"/>
          <w:color w:val="auto"/>
        </w:rPr>
        <w:t>检测方法应按规定值将车票装入票箱，检测票箱应能够正常工作，检测5 次应全部通过。</w:t>
      </w:r>
    </w:p>
    <w:p>
      <w:pPr>
        <w:pStyle w:val="109"/>
        <w:spacing w:before="156" w:after="156"/>
        <w:rPr>
          <w:color w:val="auto"/>
        </w:rPr>
      </w:pPr>
      <w:bookmarkStart w:id="208" w:name="_Toc203209031"/>
      <w:bookmarkStart w:id="209" w:name="_Toc6520"/>
      <w:r>
        <w:rPr>
          <w:rFonts w:hint="eastAsia"/>
          <w:color w:val="auto"/>
        </w:rPr>
        <w:t>车票处理单元检测</w:t>
      </w:r>
      <w:bookmarkEnd w:id="208"/>
      <w:bookmarkEnd w:id="209"/>
    </w:p>
    <w:p>
      <w:pPr>
        <w:pStyle w:val="69"/>
        <w:spacing w:before="156" w:after="156"/>
        <w:rPr>
          <w:color w:val="auto"/>
        </w:rPr>
      </w:pPr>
      <w:r>
        <w:rPr>
          <w:rFonts w:hint="eastAsia"/>
          <w:color w:val="auto"/>
        </w:rPr>
        <w:t>外形尺寸检测</w:t>
      </w:r>
    </w:p>
    <w:p>
      <w:pPr>
        <w:pStyle w:val="60"/>
        <w:ind w:firstLine="420"/>
        <w:rPr>
          <w:color w:val="auto"/>
        </w:rPr>
      </w:pPr>
      <w:r>
        <w:rPr>
          <w:rFonts w:hint="eastAsia"/>
          <w:color w:val="auto"/>
        </w:rPr>
        <w:t>外形尺寸检测要求如下：</w:t>
      </w:r>
    </w:p>
    <w:p>
      <w:pPr>
        <w:pStyle w:val="178"/>
        <w:numPr>
          <w:ilvl w:val="0"/>
          <w:numId w:val="88"/>
        </w:numPr>
        <w:rPr>
          <w:color w:val="auto"/>
        </w:rPr>
      </w:pPr>
      <w:r>
        <w:rPr>
          <w:rFonts w:hint="eastAsia"/>
          <w:color w:val="auto"/>
        </w:rPr>
        <w:t>检测内容应依据DB11/T 1164.5的外观与结构要求逐项检测；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60"/>
        <w:ind w:firstLine="420"/>
        <w:rPr>
          <w:color w:val="auto"/>
        </w:rPr>
      </w:pPr>
      <w:r>
        <w:rPr>
          <w:rFonts w:hint="eastAsia"/>
          <w:color w:val="auto"/>
        </w:rPr>
        <w:t>配置检测要求如下：</w:t>
      </w:r>
    </w:p>
    <w:p>
      <w:pPr>
        <w:pStyle w:val="178"/>
        <w:numPr>
          <w:ilvl w:val="0"/>
          <w:numId w:val="89"/>
        </w:numPr>
        <w:rPr>
          <w:color w:val="auto"/>
        </w:rPr>
      </w:pPr>
      <w:r>
        <w:rPr>
          <w:rFonts w:hint="eastAsia"/>
          <w:color w:val="auto"/>
        </w:rPr>
        <w:t>检测内容应依据DB11/T 1164.5的硬件配置要求逐项检测；</w:t>
      </w:r>
    </w:p>
    <w:p>
      <w:pPr>
        <w:pStyle w:val="178"/>
        <w:rPr>
          <w:color w:val="auto"/>
        </w:rPr>
      </w:pPr>
      <w:r>
        <w:rPr>
          <w:rFonts w:hint="eastAsia"/>
          <w:color w:val="auto"/>
        </w:rPr>
        <w:t>检测方法应对照配置清单逐条进行核对。</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90"/>
        </w:numPr>
        <w:rPr>
          <w:color w:val="auto"/>
        </w:rPr>
      </w:pPr>
      <w:r>
        <w:rPr>
          <w:rFonts w:hint="eastAsia"/>
          <w:color w:val="auto"/>
        </w:rPr>
        <w:t>检测内容应依据DB11/T 1164.5的功能要求逐项检测；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天线性能检测</w:t>
      </w:r>
    </w:p>
    <w:p>
      <w:pPr>
        <w:pStyle w:val="60"/>
        <w:ind w:firstLine="420"/>
        <w:rPr>
          <w:color w:val="auto"/>
        </w:rPr>
      </w:pPr>
      <w:r>
        <w:rPr>
          <w:rFonts w:hint="eastAsia"/>
          <w:color w:val="auto"/>
        </w:rPr>
        <w:t>天线性能检测要求如下：</w:t>
      </w:r>
    </w:p>
    <w:p>
      <w:pPr>
        <w:pStyle w:val="178"/>
        <w:numPr>
          <w:ilvl w:val="0"/>
          <w:numId w:val="91"/>
        </w:numPr>
        <w:rPr>
          <w:color w:val="auto"/>
        </w:rPr>
      </w:pPr>
      <w:r>
        <w:rPr>
          <w:rFonts w:hint="eastAsia"/>
          <w:color w:val="auto"/>
        </w:rPr>
        <w:t>检测内容为检测TPU天线性能应符合DB11/T 1164.5的规定；</w:t>
      </w:r>
    </w:p>
    <w:p>
      <w:pPr>
        <w:pStyle w:val="178"/>
        <w:rPr>
          <w:color w:val="auto"/>
        </w:rPr>
      </w:pPr>
      <w:r>
        <w:rPr>
          <w:rFonts w:hint="eastAsia"/>
          <w:color w:val="auto"/>
        </w:rPr>
        <w:t>检测方法要求如下：</w:t>
      </w:r>
    </w:p>
    <w:p>
      <w:pPr>
        <w:pStyle w:val="113"/>
        <w:numPr>
          <w:ilvl w:val="1"/>
          <w:numId w:val="92"/>
        </w:numPr>
        <w:rPr>
          <w:color w:val="auto"/>
        </w:rPr>
      </w:pPr>
      <w:r>
        <w:rPr>
          <w:rFonts w:hint="eastAsia"/>
          <w:color w:val="auto"/>
        </w:rPr>
        <w:t>使用仿真工具进行检测，针对不同票卡类型分析检测5 次，计算平均值；</w:t>
      </w:r>
    </w:p>
    <w:p>
      <w:pPr>
        <w:pStyle w:val="113"/>
        <w:rPr>
          <w:color w:val="auto"/>
        </w:rPr>
      </w:pPr>
      <w:r>
        <w:rPr>
          <w:rFonts w:hint="eastAsia"/>
          <w:color w:val="auto"/>
        </w:rPr>
        <w:t>检测应覆盖一卡通所有已发行的票卡类型和一票通所有已发行的票卡类型。</w:t>
      </w:r>
    </w:p>
    <w:p>
      <w:pPr>
        <w:pStyle w:val="98"/>
        <w:spacing w:before="156" w:after="156"/>
        <w:rPr>
          <w:color w:val="auto"/>
        </w:rPr>
      </w:pPr>
      <w:r>
        <w:rPr>
          <w:rFonts w:hint="eastAsia"/>
          <w:color w:val="auto"/>
        </w:rPr>
        <w:t>车票处理时间检测</w:t>
      </w:r>
    </w:p>
    <w:p>
      <w:pPr>
        <w:pStyle w:val="60"/>
        <w:ind w:firstLine="420"/>
        <w:rPr>
          <w:color w:val="auto"/>
        </w:rPr>
      </w:pPr>
      <w:r>
        <w:rPr>
          <w:rFonts w:hint="eastAsia"/>
          <w:color w:val="auto"/>
        </w:rPr>
        <w:t>车票处理时间检测要求如下：</w:t>
      </w:r>
    </w:p>
    <w:p>
      <w:pPr>
        <w:pStyle w:val="178"/>
        <w:numPr>
          <w:ilvl w:val="0"/>
          <w:numId w:val="93"/>
        </w:numPr>
        <w:rPr>
          <w:color w:val="auto"/>
        </w:rPr>
      </w:pPr>
      <w:r>
        <w:rPr>
          <w:rFonts w:hint="eastAsia"/>
          <w:color w:val="auto"/>
        </w:rPr>
        <w:t>检测内容为检测TPU车票处理时间应符合DB11/T 1164.5的规定；</w:t>
      </w:r>
    </w:p>
    <w:p>
      <w:pPr>
        <w:pStyle w:val="178"/>
        <w:rPr>
          <w:color w:val="auto"/>
        </w:rPr>
      </w:pPr>
      <w:r>
        <w:rPr>
          <w:rFonts w:hint="eastAsia"/>
          <w:color w:val="auto"/>
        </w:rPr>
        <w:t>检测方法要求如下：</w:t>
      </w:r>
    </w:p>
    <w:p>
      <w:pPr>
        <w:pStyle w:val="113"/>
        <w:numPr>
          <w:ilvl w:val="1"/>
          <w:numId w:val="94"/>
        </w:numPr>
        <w:rPr>
          <w:color w:val="auto"/>
        </w:rPr>
      </w:pPr>
      <w:r>
        <w:rPr>
          <w:rFonts w:hint="eastAsia"/>
          <w:color w:val="auto"/>
        </w:rPr>
        <w:t>使用仿真工具进行检测，检测5 次应全部通过；</w:t>
      </w:r>
    </w:p>
    <w:p>
      <w:pPr>
        <w:pStyle w:val="113"/>
        <w:rPr>
          <w:color w:val="auto"/>
        </w:rPr>
      </w:pPr>
      <w:r>
        <w:rPr>
          <w:rFonts w:hint="eastAsia"/>
          <w:color w:val="auto"/>
        </w:rPr>
        <w:t>检测应覆盖一卡通所有已发行的票卡类型和一票通所有已发行的票卡类型。</w:t>
      </w:r>
    </w:p>
    <w:p>
      <w:pPr>
        <w:pStyle w:val="98"/>
        <w:spacing w:before="156" w:after="156"/>
        <w:rPr>
          <w:color w:val="auto"/>
        </w:rPr>
      </w:pPr>
      <w:r>
        <w:rPr>
          <w:rFonts w:hint="eastAsia"/>
          <w:color w:val="auto"/>
        </w:rPr>
        <w:t>SAM模块性能检测</w:t>
      </w:r>
    </w:p>
    <w:p>
      <w:pPr>
        <w:pStyle w:val="60"/>
        <w:ind w:firstLine="420"/>
        <w:rPr>
          <w:color w:val="auto"/>
        </w:rPr>
      </w:pPr>
      <w:r>
        <w:rPr>
          <w:rFonts w:hint="eastAsia"/>
          <w:color w:val="auto"/>
        </w:rPr>
        <w:t>SAM模块性能检测要求如下：</w:t>
      </w:r>
    </w:p>
    <w:p>
      <w:pPr>
        <w:pStyle w:val="178"/>
        <w:numPr>
          <w:ilvl w:val="0"/>
          <w:numId w:val="95"/>
        </w:numPr>
        <w:rPr>
          <w:color w:val="auto"/>
        </w:rPr>
      </w:pPr>
      <w:r>
        <w:rPr>
          <w:rFonts w:hint="eastAsia"/>
          <w:color w:val="auto"/>
        </w:rPr>
        <w:t>检测内容为检测TPU的SAM模块性能应符合DB11/T 1164.5的规定；</w:t>
      </w:r>
    </w:p>
    <w:p>
      <w:pPr>
        <w:pStyle w:val="178"/>
        <w:rPr>
          <w:color w:val="auto"/>
        </w:rPr>
      </w:pPr>
      <w:r>
        <w:rPr>
          <w:rFonts w:hint="eastAsia"/>
          <w:color w:val="auto"/>
        </w:rPr>
        <w:t>检测方法要求如下：</w:t>
      </w:r>
    </w:p>
    <w:p>
      <w:pPr>
        <w:pStyle w:val="113"/>
        <w:numPr>
          <w:ilvl w:val="1"/>
          <w:numId w:val="96"/>
        </w:numPr>
        <w:rPr>
          <w:color w:val="auto"/>
        </w:rPr>
      </w:pPr>
      <w:r>
        <w:rPr>
          <w:rFonts w:hint="eastAsia"/>
          <w:color w:val="auto"/>
        </w:rPr>
        <w:t>使用仿真工具进行检测，检测5次获取最大SAM卡支持能力；</w:t>
      </w:r>
    </w:p>
    <w:p>
      <w:pPr>
        <w:pStyle w:val="113"/>
        <w:rPr>
          <w:color w:val="auto"/>
        </w:rPr>
      </w:pPr>
      <w:r>
        <w:rPr>
          <w:rFonts w:hint="eastAsia"/>
          <w:color w:val="auto"/>
        </w:rPr>
        <w:t>检测应覆盖目前一卡通和一票通所有已使用的SAM卡类型。</w:t>
      </w:r>
    </w:p>
    <w:p>
      <w:pPr>
        <w:pStyle w:val="98"/>
        <w:spacing w:before="156" w:after="156"/>
        <w:rPr>
          <w:color w:val="auto"/>
        </w:rPr>
      </w:pPr>
      <w:r>
        <w:rPr>
          <w:rFonts w:hint="eastAsia"/>
          <w:color w:val="auto"/>
        </w:rPr>
        <w:t>数据存储能力检测</w:t>
      </w:r>
    </w:p>
    <w:p>
      <w:pPr>
        <w:pStyle w:val="60"/>
        <w:ind w:firstLine="420"/>
        <w:rPr>
          <w:color w:val="auto"/>
        </w:rPr>
      </w:pPr>
      <w:r>
        <w:rPr>
          <w:rFonts w:hint="eastAsia"/>
          <w:color w:val="auto"/>
        </w:rPr>
        <w:t>数据存储能力检测要求如下：</w:t>
      </w:r>
    </w:p>
    <w:p>
      <w:pPr>
        <w:pStyle w:val="178"/>
        <w:numPr>
          <w:ilvl w:val="0"/>
          <w:numId w:val="97"/>
        </w:numPr>
        <w:rPr>
          <w:color w:val="auto"/>
        </w:rPr>
      </w:pPr>
      <w:r>
        <w:rPr>
          <w:rFonts w:hint="eastAsia"/>
          <w:color w:val="auto"/>
        </w:rPr>
        <w:t>检测内容为检测TPU数据存储能力应符合DB11/T 1164.5的规定；</w:t>
      </w:r>
    </w:p>
    <w:p>
      <w:pPr>
        <w:pStyle w:val="178"/>
        <w:rPr>
          <w:color w:val="auto"/>
        </w:rPr>
      </w:pPr>
      <w:r>
        <w:rPr>
          <w:rFonts w:hint="eastAsia"/>
          <w:color w:val="auto"/>
        </w:rPr>
        <w:t>检测方法要求如下：</w:t>
      </w:r>
    </w:p>
    <w:p>
      <w:pPr>
        <w:pStyle w:val="113"/>
        <w:numPr>
          <w:ilvl w:val="1"/>
          <w:numId w:val="98"/>
        </w:numPr>
        <w:rPr>
          <w:color w:val="auto"/>
        </w:rPr>
      </w:pPr>
      <w:r>
        <w:rPr>
          <w:rFonts w:hint="eastAsia"/>
          <w:color w:val="auto"/>
        </w:rPr>
        <w:t>使用仿真工具进行检测；</w:t>
      </w:r>
    </w:p>
    <w:p>
      <w:pPr>
        <w:pStyle w:val="113"/>
        <w:rPr>
          <w:color w:val="auto"/>
        </w:rPr>
      </w:pPr>
      <w:r>
        <w:rPr>
          <w:rFonts w:hint="eastAsia"/>
          <w:color w:val="auto"/>
        </w:rPr>
        <w:t>检测所需的数据类型应覆盖DB11/T 1164.2定义的所有TPU产生的交易数据类型。</w:t>
      </w:r>
    </w:p>
    <w:p>
      <w:pPr>
        <w:pStyle w:val="109"/>
        <w:spacing w:before="156" w:after="156"/>
        <w:rPr>
          <w:color w:val="auto"/>
        </w:rPr>
      </w:pPr>
      <w:bookmarkStart w:id="210" w:name="_Toc203209032"/>
      <w:bookmarkStart w:id="211" w:name="_Toc5506"/>
      <w:r>
        <w:rPr>
          <w:rFonts w:hint="eastAsia"/>
          <w:color w:val="auto"/>
        </w:rPr>
        <w:t>硬币处理模块检测</w:t>
      </w:r>
      <w:bookmarkEnd w:id="210"/>
      <w:bookmarkEnd w:id="211"/>
    </w:p>
    <w:p>
      <w:pPr>
        <w:pStyle w:val="69"/>
        <w:spacing w:before="156" w:after="156"/>
        <w:rPr>
          <w:color w:val="auto"/>
        </w:rPr>
      </w:pPr>
      <w:r>
        <w:rPr>
          <w:rFonts w:hint="eastAsia"/>
          <w:color w:val="auto"/>
        </w:rPr>
        <w:t>外形尺寸检测</w:t>
      </w:r>
    </w:p>
    <w:p>
      <w:pPr>
        <w:pStyle w:val="60"/>
        <w:ind w:firstLine="420"/>
        <w:rPr>
          <w:color w:val="auto"/>
        </w:rPr>
      </w:pPr>
      <w:r>
        <w:rPr>
          <w:rFonts w:hint="eastAsia"/>
          <w:color w:val="auto"/>
        </w:rPr>
        <w:t>外形尺寸检测要求如下：</w:t>
      </w:r>
    </w:p>
    <w:p>
      <w:pPr>
        <w:pStyle w:val="178"/>
        <w:numPr>
          <w:ilvl w:val="0"/>
          <w:numId w:val="99"/>
        </w:numPr>
        <w:rPr>
          <w:color w:val="auto"/>
        </w:rPr>
      </w:pPr>
      <w:r>
        <w:rPr>
          <w:rFonts w:hint="eastAsia"/>
          <w:color w:val="auto"/>
        </w:rPr>
        <w:t>检测内容应依据DB11/T 1164.7硬币处理模块的外观与结构要求逐项检测；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60"/>
        <w:ind w:firstLine="420"/>
        <w:rPr>
          <w:color w:val="auto"/>
        </w:rPr>
      </w:pPr>
      <w:r>
        <w:rPr>
          <w:rFonts w:hint="eastAsia"/>
          <w:color w:val="auto"/>
        </w:rPr>
        <w:t>配置检测要求如下</w:t>
      </w:r>
    </w:p>
    <w:p>
      <w:pPr>
        <w:pStyle w:val="178"/>
        <w:numPr>
          <w:ilvl w:val="0"/>
          <w:numId w:val="100"/>
        </w:numPr>
        <w:rPr>
          <w:color w:val="auto"/>
        </w:rPr>
      </w:pPr>
      <w:r>
        <w:rPr>
          <w:rFonts w:hint="eastAsia"/>
          <w:color w:val="auto"/>
        </w:rPr>
        <w:t>硬件配置检测：</w:t>
      </w:r>
    </w:p>
    <w:p>
      <w:pPr>
        <w:pStyle w:val="113"/>
        <w:numPr>
          <w:ilvl w:val="1"/>
          <w:numId w:val="101"/>
        </w:numPr>
        <w:rPr>
          <w:color w:val="auto"/>
        </w:rPr>
      </w:pPr>
      <w:r>
        <w:rPr>
          <w:rFonts w:hint="eastAsia"/>
          <w:color w:val="auto"/>
        </w:rPr>
        <w:t>检测内容应依据DB11/T 1164.7硬币处理模块的硬件配置要求逐项检测；</w:t>
      </w:r>
    </w:p>
    <w:p>
      <w:pPr>
        <w:pStyle w:val="113"/>
        <w:rPr>
          <w:color w:val="auto"/>
        </w:rPr>
      </w:pPr>
      <w:r>
        <w:rPr>
          <w:rFonts w:hint="eastAsia"/>
          <w:color w:val="auto"/>
        </w:rPr>
        <w:t>检测方法应对照配置清单逐条进行核对。</w:t>
      </w:r>
    </w:p>
    <w:p>
      <w:pPr>
        <w:pStyle w:val="178"/>
        <w:rPr>
          <w:color w:val="auto"/>
        </w:rPr>
      </w:pPr>
      <w:r>
        <w:rPr>
          <w:rFonts w:hint="eastAsia"/>
          <w:color w:val="auto"/>
        </w:rPr>
        <w:t>软件配置检测：</w:t>
      </w:r>
    </w:p>
    <w:p>
      <w:pPr>
        <w:pStyle w:val="113"/>
        <w:numPr>
          <w:ilvl w:val="1"/>
          <w:numId w:val="102"/>
        </w:numPr>
        <w:rPr>
          <w:color w:val="auto"/>
        </w:rPr>
      </w:pPr>
      <w:r>
        <w:rPr>
          <w:rFonts w:hint="eastAsia"/>
          <w:color w:val="auto"/>
        </w:rPr>
        <w:t>检测内容应依据DB11/T 1164.7硬币处理模块的软件配置要求逐项检测；</w:t>
      </w:r>
    </w:p>
    <w:p>
      <w:pPr>
        <w:pStyle w:val="113"/>
        <w:rPr>
          <w:color w:val="auto"/>
        </w:rPr>
      </w:pPr>
      <w:r>
        <w:rPr>
          <w:rFonts w:hint="eastAsia"/>
          <w:color w:val="auto"/>
        </w:rPr>
        <w:t>检测方法应对照配置清单逐条进行核对。</w:t>
      </w:r>
    </w:p>
    <w:p>
      <w:pPr>
        <w:pStyle w:val="178"/>
        <w:rPr>
          <w:color w:val="auto"/>
        </w:rPr>
      </w:pPr>
      <w:r>
        <w:rPr>
          <w:rFonts w:hint="eastAsia"/>
          <w:color w:val="auto"/>
        </w:rPr>
        <w:t>接口检测：</w:t>
      </w:r>
    </w:p>
    <w:p>
      <w:pPr>
        <w:pStyle w:val="113"/>
        <w:numPr>
          <w:ilvl w:val="1"/>
          <w:numId w:val="103"/>
        </w:numPr>
        <w:rPr>
          <w:color w:val="auto"/>
        </w:rPr>
      </w:pPr>
      <w:r>
        <w:rPr>
          <w:rFonts w:hint="eastAsia"/>
          <w:color w:val="auto"/>
        </w:rPr>
        <w:t>检测内容应依据DB11/T 1164.7硬币处理模块的接口要求逐项检测；</w:t>
      </w:r>
    </w:p>
    <w:p>
      <w:pPr>
        <w:pStyle w:val="113"/>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04"/>
        </w:numPr>
        <w:rPr>
          <w:color w:val="auto"/>
        </w:rPr>
      </w:pPr>
      <w:r>
        <w:rPr>
          <w:rFonts w:hint="eastAsia"/>
          <w:color w:val="auto"/>
        </w:rPr>
        <w:t>检测内容应依据DB11/T 1164.7硬币处理模块的功能要求逐项检测；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假币拒收率检测</w:t>
      </w:r>
    </w:p>
    <w:p>
      <w:pPr>
        <w:pStyle w:val="60"/>
        <w:ind w:firstLine="420"/>
        <w:rPr>
          <w:color w:val="auto"/>
        </w:rPr>
      </w:pPr>
      <w:r>
        <w:rPr>
          <w:rFonts w:hint="eastAsia"/>
          <w:color w:val="auto"/>
        </w:rPr>
        <w:t>假币拒收率检测要求如下：</w:t>
      </w:r>
    </w:p>
    <w:p>
      <w:pPr>
        <w:pStyle w:val="178"/>
        <w:numPr>
          <w:ilvl w:val="0"/>
          <w:numId w:val="105"/>
        </w:numPr>
        <w:rPr>
          <w:color w:val="auto"/>
        </w:rPr>
      </w:pPr>
      <w:r>
        <w:rPr>
          <w:rFonts w:hint="eastAsia"/>
          <w:color w:val="auto"/>
        </w:rPr>
        <w:t>检测内容为检测硬币处理模块拒绝接受假币的能力应满足DB11/T 1164.7的规定；</w:t>
      </w:r>
    </w:p>
    <w:p>
      <w:pPr>
        <w:pStyle w:val="178"/>
        <w:rPr>
          <w:color w:val="auto"/>
        </w:rPr>
      </w:pPr>
      <w:r>
        <w:rPr>
          <w:rFonts w:hint="eastAsia"/>
          <w:color w:val="auto"/>
        </w:rPr>
        <w:t>检测方法要求如下：</w:t>
      </w:r>
    </w:p>
    <w:p>
      <w:pPr>
        <w:pStyle w:val="113"/>
        <w:numPr>
          <w:ilvl w:val="1"/>
          <w:numId w:val="106"/>
        </w:numPr>
        <w:rPr>
          <w:color w:val="auto"/>
        </w:rPr>
      </w:pPr>
      <w:r>
        <w:rPr>
          <w:rFonts w:hint="eastAsia"/>
          <w:color w:val="auto"/>
        </w:rPr>
        <w:t>假币测试样本宜选择经中国人民银行收缴、鉴定、编组的假币样品；</w:t>
      </w:r>
    </w:p>
    <w:p>
      <w:pPr>
        <w:pStyle w:val="113"/>
        <w:rPr>
          <w:color w:val="auto"/>
        </w:rPr>
      </w:pPr>
      <w:r>
        <w:rPr>
          <w:rFonts w:hint="eastAsia"/>
          <w:color w:val="auto"/>
        </w:rPr>
        <w:t>假币拒收率检测方法连续投入多枚假币样本，记录拒收的钱币数量与投入假币总数。假币拒收率为拒收的钱币数量与投入假币总数之比。</w:t>
      </w:r>
    </w:p>
    <w:p>
      <w:pPr>
        <w:pStyle w:val="98"/>
        <w:spacing w:before="156" w:after="156"/>
        <w:rPr>
          <w:color w:val="auto"/>
        </w:rPr>
      </w:pPr>
      <w:r>
        <w:rPr>
          <w:rFonts w:hint="eastAsia"/>
          <w:color w:val="auto"/>
        </w:rPr>
        <w:t>真币接收率检测</w:t>
      </w:r>
    </w:p>
    <w:p>
      <w:pPr>
        <w:pStyle w:val="60"/>
        <w:ind w:firstLine="420"/>
        <w:rPr>
          <w:color w:val="auto"/>
        </w:rPr>
      </w:pPr>
      <w:r>
        <w:rPr>
          <w:rFonts w:hint="eastAsia"/>
          <w:color w:val="auto"/>
        </w:rPr>
        <w:t>真币接收率检测要求如下：</w:t>
      </w:r>
    </w:p>
    <w:p>
      <w:pPr>
        <w:pStyle w:val="178"/>
        <w:numPr>
          <w:ilvl w:val="0"/>
          <w:numId w:val="107"/>
        </w:numPr>
        <w:rPr>
          <w:color w:val="auto"/>
        </w:rPr>
      </w:pPr>
      <w:r>
        <w:rPr>
          <w:rFonts w:hint="eastAsia"/>
          <w:color w:val="auto"/>
        </w:rPr>
        <w:t>检测内容为检测硬币处理模块对真币接收能力应满足DB11/T 1164.7的规定；</w:t>
      </w:r>
    </w:p>
    <w:p>
      <w:pPr>
        <w:pStyle w:val="178"/>
        <w:rPr>
          <w:color w:val="auto"/>
        </w:rPr>
      </w:pPr>
      <w:r>
        <w:rPr>
          <w:rFonts w:hint="eastAsia"/>
          <w:color w:val="auto"/>
        </w:rPr>
        <w:t>检测方法要求如下：</w:t>
      </w:r>
    </w:p>
    <w:p>
      <w:pPr>
        <w:pStyle w:val="113"/>
        <w:numPr>
          <w:ilvl w:val="1"/>
          <w:numId w:val="108"/>
        </w:numPr>
        <w:rPr>
          <w:color w:val="auto"/>
        </w:rPr>
      </w:pPr>
      <w:r>
        <w:rPr>
          <w:rFonts w:hint="eastAsia"/>
          <w:color w:val="auto"/>
        </w:rPr>
        <w:t>真币测试样本宜选择中国人民银行统一制作编号的测试样品；</w:t>
      </w:r>
    </w:p>
    <w:p>
      <w:pPr>
        <w:pStyle w:val="113"/>
        <w:rPr>
          <w:color w:val="auto"/>
        </w:rPr>
      </w:pPr>
      <w:r>
        <w:rPr>
          <w:rFonts w:hint="eastAsia"/>
          <w:color w:val="auto"/>
        </w:rPr>
        <w:t>真币接收率检测方法连续向受检设备投入真币样本，记录接收的钱币数量与投入的真币总数。真币接收率为接收的钱币数量与投入的真币总数之比。</w:t>
      </w:r>
    </w:p>
    <w:p>
      <w:pPr>
        <w:pStyle w:val="98"/>
        <w:spacing w:before="156" w:after="156"/>
        <w:rPr>
          <w:color w:val="auto"/>
        </w:rPr>
      </w:pPr>
      <w:r>
        <w:rPr>
          <w:rFonts w:hint="eastAsia"/>
          <w:color w:val="auto"/>
        </w:rPr>
        <w:t>识别能力检测</w:t>
      </w:r>
    </w:p>
    <w:p>
      <w:pPr>
        <w:pStyle w:val="60"/>
        <w:ind w:firstLine="420"/>
        <w:rPr>
          <w:color w:val="auto"/>
        </w:rPr>
      </w:pPr>
      <w:r>
        <w:rPr>
          <w:rFonts w:hint="eastAsia"/>
          <w:color w:val="auto"/>
        </w:rPr>
        <w:t>识别能力检测要求如下：</w:t>
      </w:r>
    </w:p>
    <w:p>
      <w:pPr>
        <w:pStyle w:val="178"/>
        <w:numPr>
          <w:ilvl w:val="0"/>
          <w:numId w:val="109"/>
        </w:numPr>
        <w:rPr>
          <w:color w:val="auto"/>
        </w:rPr>
      </w:pPr>
      <w:r>
        <w:rPr>
          <w:rFonts w:hint="eastAsia"/>
          <w:color w:val="auto"/>
        </w:rPr>
        <w:t>检测内容为检测硬币接收模块对硬币的识别的种类应满足DB11/T 1164.7的规定；</w:t>
      </w:r>
    </w:p>
    <w:p>
      <w:pPr>
        <w:pStyle w:val="178"/>
        <w:rPr>
          <w:color w:val="auto"/>
        </w:rPr>
      </w:pPr>
      <w:r>
        <w:rPr>
          <w:rFonts w:hint="eastAsia"/>
          <w:color w:val="auto"/>
        </w:rPr>
        <w:t>检测方法要求如下：</w:t>
      </w:r>
    </w:p>
    <w:p>
      <w:pPr>
        <w:pStyle w:val="113"/>
        <w:numPr>
          <w:ilvl w:val="1"/>
          <w:numId w:val="110"/>
        </w:numPr>
        <w:rPr>
          <w:color w:val="auto"/>
        </w:rPr>
      </w:pPr>
      <w:r>
        <w:rPr>
          <w:rFonts w:hint="eastAsia"/>
          <w:color w:val="auto"/>
        </w:rPr>
        <w:t>选用市场上流通的硬币种类；</w:t>
      </w:r>
    </w:p>
    <w:p>
      <w:pPr>
        <w:pStyle w:val="113"/>
        <w:rPr>
          <w:color w:val="auto"/>
        </w:rPr>
      </w:pPr>
      <w:r>
        <w:rPr>
          <w:rFonts w:hint="eastAsia"/>
          <w:color w:val="auto"/>
        </w:rPr>
        <w:t>向受检设备投入不同面额不同版别的硬币，记录设备可识别种类的数量。</w:t>
      </w:r>
    </w:p>
    <w:p>
      <w:pPr>
        <w:pStyle w:val="98"/>
        <w:spacing w:before="156" w:after="156"/>
        <w:rPr>
          <w:color w:val="auto"/>
        </w:rPr>
      </w:pPr>
      <w:r>
        <w:rPr>
          <w:rFonts w:hint="eastAsia"/>
          <w:color w:val="auto"/>
        </w:rPr>
        <w:t>单枚识别时间检测</w:t>
      </w:r>
    </w:p>
    <w:p>
      <w:pPr>
        <w:pStyle w:val="60"/>
        <w:ind w:firstLine="420"/>
        <w:rPr>
          <w:color w:val="auto"/>
        </w:rPr>
      </w:pPr>
      <w:r>
        <w:rPr>
          <w:rFonts w:hint="eastAsia"/>
          <w:color w:val="auto"/>
        </w:rPr>
        <w:t>单枚识别时间检测要求如下：</w:t>
      </w:r>
    </w:p>
    <w:p>
      <w:pPr>
        <w:pStyle w:val="178"/>
        <w:numPr>
          <w:ilvl w:val="0"/>
          <w:numId w:val="111"/>
        </w:numPr>
        <w:rPr>
          <w:color w:val="auto"/>
        </w:rPr>
      </w:pPr>
      <w:r>
        <w:rPr>
          <w:rFonts w:hint="eastAsia"/>
          <w:color w:val="auto"/>
        </w:rPr>
        <w:t>检测内容为检测硬币处理模块对硬币的单枚识别速度应满足DB11/T 1164.7的规定；</w:t>
      </w:r>
    </w:p>
    <w:p>
      <w:pPr>
        <w:pStyle w:val="178"/>
        <w:rPr>
          <w:color w:val="auto"/>
        </w:rPr>
      </w:pPr>
      <w:r>
        <w:rPr>
          <w:rFonts w:hint="eastAsia"/>
          <w:color w:val="auto"/>
        </w:rPr>
        <w:t>检测方法要求如下：</w:t>
      </w:r>
    </w:p>
    <w:p>
      <w:pPr>
        <w:pStyle w:val="113"/>
        <w:numPr>
          <w:ilvl w:val="1"/>
          <w:numId w:val="112"/>
        </w:numPr>
        <w:rPr>
          <w:color w:val="auto"/>
        </w:rPr>
      </w:pPr>
      <w:r>
        <w:rPr>
          <w:rFonts w:hint="eastAsia"/>
          <w:color w:val="auto"/>
        </w:rPr>
        <w:t>单枚硬币识别时间为从接收硬币到可接收下一枚硬币的间隔时间；</w:t>
      </w:r>
    </w:p>
    <w:p>
      <w:pPr>
        <w:pStyle w:val="113"/>
        <w:rPr>
          <w:color w:val="auto"/>
        </w:rPr>
      </w:pPr>
      <w:r>
        <w:rPr>
          <w:rFonts w:hint="eastAsia"/>
          <w:color w:val="auto"/>
        </w:rPr>
        <w:t>单枚硬币识别时间检测方法连续向受检设备投入真币样本，记录10 枚硬币识别时间，计算平均值。</w:t>
      </w:r>
    </w:p>
    <w:p>
      <w:pPr>
        <w:pStyle w:val="98"/>
        <w:spacing w:before="156" w:after="156"/>
        <w:rPr>
          <w:color w:val="auto"/>
        </w:rPr>
      </w:pPr>
      <w:r>
        <w:rPr>
          <w:rFonts w:hint="eastAsia"/>
          <w:color w:val="auto"/>
        </w:rPr>
        <w:t>找零速度检测</w:t>
      </w:r>
    </w:p>
    <w:p>
      <w:pPr>
        <w:pStyle w:val="60"/>
        <w:ind w:firstLine="420"/>
        <w:rPr>
          <w:color w:val="auto"/>
        </w:rPr>
      </w:pPr>
      <w:r>
        <w:rPr>
          <w:rFonts w:hint="eastAsia"/>
          <w:color w:val="auto"/>
        </w:rPr>
        <w:t>找零速度检测要求如下：</w:t>
      </w:r>
    </w:p>
    <w:p>
      <w:pPr>
        <w:pStyle w:val="178"/>
        <w:numPr>
          <w:ilvl w:val="0"/>
          <w:numId w:val="113"/>
        </w:numPr>
        <w:rPr>
          <w:color w:val="auto"/>
        </w:rPr>
      </w:pPr>
      <w:r>
        <w:rPr>
          <w:rFonts w:hint="eastAsia"/>
          <w:color w:val="auto"/>
        </w:rPr>
        <w:t>检测内容为检测硬币处理模块硬币找零速度应满足DB11/T 1164.7的规定；</w:t>
      </w:r>
    </w:p>
    <w:p>
      <w:pPr>
        <w:pStyle w:val="178"/>
        <w:rPr>
          <w:color w:val="auto"/>
        </w:rPr>
      </w:pPr>
      <w:r>
        <w:rPr>
          <w:rFonts w:hint="eastAsia"/>
          <w:color w:val="auto"/>
        </w:rPr>
        <w:t>检测方法要求如下：</w:t>
      </w:r>
    </w:p>
    <w:p>
      <w:pPr>
        <w:pStyle w:val="113"/>
        <w:numPr>
          <w:ilvl w:val="1"/>
          <w:numId w:val="114"/>
        </w:numPr>
        <w:rPr>
          <w:color w:val="auto"/>
        </w:rPr>
      </w:pPr>
      <w:r>
        <w:rPr>
          <w:rFonts w:hint="eastAsia"/>
          <w:color w:val="auto"/>
        </w:rPr>
        <w:t>硬币找零速度为单位时间内能找零的硬币枚数；</w:t>
      </w:r>
    </w:p>
    <w:p>
      <w:pPr>
        <w:pStyle w:val="113"/>
        <w:rPr>
          <w:color w:val="auto"/>
        </w:rPr>
      </w:pPr>
      <w:r>
        <w:rPr>
          <w:rFonts w:hint="eastAsia"/>
          <w:color w:val="auto"/>
        </w:rPr>
        <w:t>硬币找零速度检测方法使用测试软件或仿真软件令受检设备连续找零18 枚硬币，记录从第一枚硬币出现到最后一枚硬币出现的时间，计算每秒找零枚数。</w:t>
      </w:r>
    </w:p>
    <w:p>
      <w:pPr>
        <w:pStyle w:val="98"/>
        <w:spacing w:before="156" w:after="156"/>
        <w:rPr>
          <w:color w:val="auto"/>
        </w:rPr>
      </w:pPr>
      <w:r>
        <w:rPr>
          <w:rFonts w:hint="eastAsia"/>
          <w:color w:val="auto"/>
        </w:rPr>
        <w:t>清空率检测</w:t>
      </w:r>
    </w:p>
    <w:p>
      <w:pPr>
        <w:pStyle w:val="60"/>
        <w:ind w:firstLine="420"/>
        <w:rPr>
          <w:color w:val="auto"/>
        </w:rPr>
      </w:pPr>
      <w:r>
        <w:rPr>
          <w:rFonts w:hint="eastAsia"/>
          <w:color w:val="auto"/>
        </w:rPr>
        <w:t>清空率检测要求如下：</w:t>
      </w:r>
    </w:p>
    <w:p>
      <w:pPr>
        <w:pStyle w:val="178"/>
        <w:numPr>
          <w:ilvl w:val="0"/>
          <w:numId w:val="115"/>
        </w:numPr>
        <w:rPr>
          <w:color w:val="auto"/>
        </w:rPr>
      </w:pPr>
      <w:r>
        <w:rPr>
          <w:rFonts w:hint="eastAsia"/>
          <w:color w:val="auto"/>
        </w:rPr>
        <w:t>检测内容为检测硬币处理模块硬币清空率应符合DB11/T 1164.7的规定；</w:t>
      </w:r>
    </w:p>
    <w:p>
      <w:pPr>
        <w:pStyle w:val="178"/>
        <w:rPr>
          <w:color w:val="auto"/>
        </w:rPr>
      </w:pPr>
      <w:r>
        <w:rPr>
          <w:rFonts w:hint="eastAsia"/>
          <w:color w:val="auto"/>
        </w:rPr>
        <w:t>检测方法要求如下：</w:t>
      </w:r>
    </w:p>
    <w:p>
      <w:pPr>
        <w:pStyle w:val="113"/>
        <w:numPr>
          <w:ilvl w:val="1"/>
          <w:numId w:val="116"/>
        </w:numPr>
        <w:rPr>
          <w:color w:val="auto"/>
        </w:rPr>
      </w:pPr>
      <w:r>
        <w:rPr>
          <w:rFonts w:hint="eastAsia"/>
          <w:color w:val="auto"/>
        </w:rPr>
        <w:t>硬币清空率为执行硬币清空操作实际清出枚数与应清出总数之比；</w:t>
      </w:r>
    </w:p>
    <w:p>
      <w:pPr>
        <w:pStyle w:val="113"/>
        <w:rPr>
          <w:color w:val="auto"/>
        </w:rPr>
      </w:pPr>
      <w:r>
        <w:rPr>
          <w:rFonts w:hint="eastAsia"/>
          <w:color w:val="auto"/>
        </w:rPr>
        <w:t>硬币清空率检测方法在主找零器或缓存找零器容量为100%、75%、50%、25%、5%等5 个档次各执行20次硬币清空操作，记录实际清出枚数与应清出总数，计算硬币清空率。</w:t>
      </w:r>
    </w:p>
    <w:p>
      <w:pPr>
        <w:pStyle w:val="98"/>
        <w:spacing w:before="156" w:after="156"/>
        <w:rPr>
          <w:color w:val="auto"/>
        </w:rPr>
      </w:pPr>
      <w:r>
        <w:rPr>
          <w:rFonts w:hint="eastAsia"/>
          <w:color w:val="auto"/>
        </w:rPr>
        <w:t>数量检测</w:t>
      </w:r>
    </w:p>
    <w:p>
      <w:pPr>
        <w:pStyle w:val="60"/>
        <w:ind w:firstLine="420"/>
        <w:rPr>
          <w:color w:val="auto"/>
        </w:rPr>
      </w:pPr>
      <w:r>
        <w:rPr>
          <w:rFonts w:hint="eastAsia"/>
          <w:color w:val="auto"/>
        </w:rPr>
        <w:t>数量检测要求如下：</w:t>
      </w:r>
    </w:p>
    <w:p>
      <w:pPr>
        <w:pStyle w:val="178"/>
        <w:numPr>
          <w:ilvl w:val="0"/>
          <w:numId w:val="117"/>
        </w:numPr>
        <w:rPr>
          <w:color w:val="auto"/>
        </w:rPr>
      </w:pPr>
      <w:r>
        <w:rPr>
          <w:rFonts w:hint="eastAsia"/>
          <w:color w:val="auto"/>
        </w:rPr>
        <w:t>检测内容为检测硬币处理模块主找零器或缓存找零器或硬币暂存器的数量应符合DB11/T 1164.7的规定；</w:t>
      </w:r>
    </w:p>
    <w:p>
      <w:pPr>
        <w:pStyle w:val="178"/>
        <w:rPr>
          <w:color w:val="auto"/>
        </w:rPr>
      </w:pPr>
      <w:r>
        <w:rPr>
          <w:rFonts w:hint="eastAsia"/>
          <w:color w:val="auto"/>
        </w:rPr>
        <w:t>检测方法应使用目测的方法进行检测。</w:t>
      </w:r>
    </w:p>
    <w:p>
      <w:pPr>
        <w:pStyle w:val="98"/>
        <w:spacing w:before="156" w:after="156"/>
        <w:rPr>
          <w:color w:val="auto"/>
        </w:rPr>
      </w:pPr>
      <w:r>
        <w:rPr>
          <w:rFonts w:hint="eastAsia"/>
          <w:color w:val="auto"/>
        </w:rPr>
        <w:t>容量检测</w:t>
      </w:r>
    </w:p>
    <w:p>
      <w:pPr>
        <w:pStyle w:val="60"/>
        <w:ind w:firstLine="420"/>
        <w:rPr>
          <w:color w:val="auto"/>
        </w:rPr>
      </w:pPr>
      <w:r>
        <w:rPr>
          <w:rFonts w:hint="eastAsia"/>
          <w:color w:val="auto"/>
        </w:rPr>
        <w:t>容量检测要求如下：</w:t>
      </w:r>
    </w:p>
    <w:p>
      <w:pPr>
        <w:pStyle w:val="178"/>
        <w:numPr>
          <w:ilvl w:val="0"/>
          <w:numId w:val="118"/>
        </w:numPr>
        <w:rPr>
          <w:color w:val="auto"/>
        </w:rPr>
      </w:pPr>
      <w:r>
        <w:rPr>
          <w:rFonts w:hint="eastAsia"/>
          <w:color w:val="auto"/>
        </w:rPr>
        <w:t>检测内容为检测硬币处理模块主找零器或缓存找零器或硬币暂存器的硬币存储容量应符合DB11/T 1164.7的规定；</w:t>
      </w:r>
    </w:p>
    <w:p>
      <w:pPr>
        <w:pStyle w:val="178"/>
        <w:rPr>
          <w:color w:val="auto"/>
        </w:rPr>
      </w:pPr>
      <w:r>
        <w:rPr>
          <w:rFonts w:hint="eastAsia"/>
          <w:color w:val="auto"/>
        </w:rPr>
        <w:t>检测方法应按规范要求值将硬币投入主找零器或缓存找零器或硬币暂存器，检测硬币处理模块应能够正常工作，检测 5 次应全部通过。</w:t>
      </w:r>
    </w:p>
    <w:p>
      <w:pPr>
        <w:pStyle w:val="109"/>
        <w:spacing w:before="156" w:after="156"/>
        <w:rPr>
          <w:color w:val="auto"/>
        </w:rPr>
      </w:pPr>
      <w:bookmarkStart w:id="212" w:name="_Toc23991"/>
      <w:r>
        <w:rPr>
          <w:rFonts w:hint="eastAsia"/>
          <w:color w:val="auto"/>
        </w:rPr>
        <w:t>纸币接收模块检测</w:t>
      </w:r>
      <w:bookmarkEnd w:id="212"/>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19"/>
        </w:numPr>
        <w:rPr>
          <w:color w:val="auto"/>
        </w:rPr>
      </w:pPr>
      <w:r>
        <w:rPr>
          <w:rFonts w:hint="eastAsia"/>
          <w:color w:val="auto"/>
        </w:rPr>
        <w:t>检测内容应依据DB11/T 1164.7纸币接收模块的外观与结构要求逐项检测；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20"/>
        </w:numPr>
        <w:rPr>
          <w:color w:val="auto"/>
        </w:rPr>
      </w:pPr>
      <w:r>
        <w:rPr>
          <w:rFonts w:hint="eastAsia"/>
          <w:color w:val="auto"/>
        </w:rPr>
        <w:t>检测内容应依据DB11/T 1164.7纸币接收模块的硬件配置要求逐项检测；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21"/>
        </w:numPr>
        <w:rPr>
          <w:color w:val="auto"/>
        </w:rPr>
      </w:pPr>
      <w:r>
        <w:rPr>
          <w:rFonts w:hint="eastAsia"/>
          <w:color w:val="auto"/>
        </w:rPr>
        <w:t>检测内容应依据DB11/T 1164.7纸币接收模块的软件配置要求逐项检测；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22"/>
        </w:numPr>
        <w:rPr>
          <w:color w:val="auto"/>
        </w:rPr>
      </w:pPr>
      <w:r>
        <w:rPr>
          <w:rFonts w:hint="eastAsia"/>
          <w:color w:val="auto"/>
        </w:rPr>
        <w:t>检测内容应依据DB11/T 1164.7纸币接收模块的接口要求逐项检测；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23"/>
        </w:numPr>
        <w:rPr>
          <w:color w:val="auto"/>
        </w:rPr>
      </w:pPr>
      <w:r>
        <w:rPr>
          <w:rFonts w:hint="eastAsia"/>
          <w:color w:val="auto"/>
        </w:rPr>
        <w:t>检测内容应依据DB11/T 1164.7纸币接收模块的功能要求逐项检测；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单张识别时间要求</w:t>
      </w:r>
    </w:p>
    <w:p>
      <w:pPr>
        <w:pStyle w:val="60"/>
        <w:ind w:firstLine="420"/>
        <w:rPr>
          <w:color w:val="auto"/>
        </w:rPr>
      </w:pPr>
      <w:r>
        <w:rPr>
          <w:rFonts w:hint="eastAsia"/>
          <w:color w:val="auto"/>
        </w:rPr>
        <w:t>单张识别时间要求如下：</w:t>
      </w:r>
    </w:p>
    <w:p>
      <w:pPr>
        <w:pStyle w:val="178"/>
        <w:numPr>
          <w:ilvl w:val="0"/>
          <w:numId w:val="124"/>
        </w:numPr>
        <w:rPr>
          <w:color w:val="auto"/>
        </w:rPr>
      </w:pPr>
      <w:r>
        <w:rPr>
          <w:rFonts w:hint="eastAsia"/>
          <w:color w:val="auto"/>
        </w:rPr>
        <w:t>检测内容为检测纸币接收模块对纸币的单张识别时间应满足DB11/T 1164.7的规定；</w:t>
      </w:r>
    </w:p>
    <w:p>
      <w:pPr>
        <w:pStyle w:val="178"/>
        <w:rPr>
          <w:color w:val="auto"/>
        </w:rPr>
      </w:pPr>
      <w:r>
        <w:rPr>
          <w:rFonts w:hint="eastAsia"/>
          <w:color w:val="auto"/>
        </w:rPr>
        <w:t>检测方法要求如下：</w:t>
      </w:r>
    </w:p>
    <w:p>
      <w:pPr>
        <w:pStyle w:val="113"/>
        <w:numPr>
          <w:ilvl w:val="1"/>
          <w:numId w:val="125"/>
        </w:numPr>
        <w:rPr>
          <w:color w:val="auto"/>
        </w:rPr>
      </w:pPr>
      <w:r>
        <w:rPr>
          <w:rFonts w:hint="eastAsia"/>
          <w:color w:val="auto"/>
        </w:rPr>
        <w:t>单张纸币识别时间为从吸入纸币到可吸入下一张纸币的间隔时间；</w:t>
      </w:r>
    </w:p>
    <w:p>
      <w:pPr>
        <w:pStyle w:val="113"/>
        <w:rPr>
          <w:color w:val="auto"/>
        </w:rPr>
      </w:pPr>
      <w:r>
        <w:rPr>
          <w:rFonts w:hint="eastAsia"/>
          <w:color w:val="auto"/>
        </w:rPr>
        <w:t>单张纸币识别时间检测方法连续向受检设备投入真币样本，记录6 张纸币识别时间，计算平均值。</w:t>
      </w:r>
    </w:p>
    <w:p>
      <w:pPr>
        <w:pStyle w:val="98"/>
        <w:spacing w:before="156" w:after="156"/>
        <w:rPr>
          <w:color w:val="auto"/>
        </w:rPr>
      </w:pPr>
      <w:r>
        <w:rPr>
          <w:rFonts w:hint="eastAsia"/>
          <w:color w:val="auto"/>
        </w:rPr>
        <w:t>一次真钞接收率检测</w:t>
      </w:r>
    </w:p>
    <w:p>
      <w:pPr>
        <w:pStyle w:val="60"/>
        <w:ind w:firstLine="420"/>
        <w:rPr>
          <w:color w:val="auto"/>
        </w:rPr>
      </w:pPr>
      <w:r>
        <w:rPr>
          <w:rFonts w:hint="eastAsia"/>
          <w:color w:val="auto"/>
        </w:rPr>
        <w:t>一次真钞接收率检测要求如下：</w:t>
      </w:r>
    </w:p>
    <w:p>
      <w:pPr>
        <w:pStyle w:val="178"/>
        <w:numPr>
          <w:ilvl w:val="0"/>
          <w:numId w:val="126"/>
        </w:numPr>
        <w:rPr>
          <w:color w:val="auto"/>
        </w:rPr>
      </w:pPr>
      <w:r>
        <w:rPr>
          <w:rFonts w:hint="eastAsia"/>
          <w:color w:val="auto"/>
        </w:rPr>
        <w:t>检测内容为检测纸币接收模块对真币接收能力应满足DB11/T 1164.7的规定；</w:t>
      </w:r>
    </w:p>
    <w:p>
      <w:pPr>
        <w:pStyle w:val="178"/>
        <w:rPr>
          <w:color w:val="auto"/>
        </w:rPr>
      </w:pPr>
      <w:r>
        <w:rPr>
          <w:rFonts w:hint="eastAsia"/>
          <w:color w:val="auto"/>
        </w:rPr>
        <w:t>检测方法要求如下：</w:t>
      </w:r>
    </w:p>
    <w:p>
      <w:pPr>
        <w:pStyle w:val="113"/>
        <w:numPr>
          <w:ilvl w:val="1"/>
          <w:numId w:val="127"/>
        </w:numPr>
        <w:rPr>
          <w:color w:val="auto"/>
        </w:rPr>
      </w:pPr>
      <w:r>
        <w:rPr>
          <w:rFonts w:hint="eastAsia"/>
          <w:color w:val="auto"/>
        </w:rPr>
        <w:t>真币测试样本宜选择中国人民银行统一制作编号的测试样品；</w:t>
      </w:r>
    </w:p>
    <w:p>
      <w:pPr>
        <w:pStyle w:val="113"/>
        <w:rPr>
          <w:color w:val="auto"/>
        </w:rPr>
      </w:pPr>
      <w:r>
        <w:rPr>
          <w:rFonts w:hint="eastAsia"/>
          <w:color w:val="auto"/>
        </w:rPr>
        <w:t>真币接收率检测方法连续向受检设备投入真币样本，记录接收的钱币数量与投入的真币总数。真币接收率为接收的钱币数量与投入的真币总数之比。</w:t>
      </w:r>
    </w:p>
    <w:p>
      <w:pPr>
        <w:pStyle w:val="98"/>
        <w:spacing w:before="156" w:after="156"/>
        <w:rPr>
          <w:color w:val="auto"/>
        </w:rPr>
      </w:pPr>
      <w:r>
        <w:rPr>
          <w:rFonts w:hint="eastAsia"/>
          <w:color w:val="auto"/>
        </w:rPr>
        <w:t>假币拒收率检测</w:t>
      </w:r>
    </w:p>
    <w:p>
      <w:pPr>
        <w:pStyle w:val="60"/>
        <w:ind w:firstLine="420"/>
        <w:rPr>
          <w:color w:val="auto"/>
        </w:rPr>
      </w:pPr>
      <w:r>
        <w:rPr>
          <w:rFonts w:hint="eastAsia"/>
          <w:color w:val="auto"/>
        </w:rPr>
        <w:t>假币拒收率检测要求如下：</w:t>
      </w:r>
    </w:p>
    <w:p>
      <w:pPr>
        <w:pStyle w:val="178"/>
        <w:numPr>
          <w:ilvl w:val="0"/>
          <w:numId w:val="128"/>
        </w:numPr>
        <w:rPr>
          <w:color w:val="auto"/>
        </w:rPr>
      </w:pPr>
      <w:r>
        <w:rPr>
          <w:rFonts w:hint="eastAsia"/>
          <w:color w:val="auto"/>
        </w:rPr>
        <w:t>检测内容为检测纸币接收模块拒绝接受假币的能力应满足DB11/T 1164.7的规定；</w:t>
      </w:r>
    </w:p>
    <w:p>
      <w:pPr>
        <w:pStyle w:val="178"/>
        <w:rPr>
          <w:color w:val="auto"/>
        </w:rPr>
      </w:pPr>
      <w:r>
        <w:rPr>
          <w:rFonts w:hint="eastAsia"/>
          <w:color w:val="auto"/>
        </w:rPr>
        <w:t>检测方法要求如下：</w:t>
      </w:r>
    </w:p>
    <w:p>
      <w:pPr>
        <w:pStyle w:val="113"/>
        <w:numPr>
          <w:ilvl w:val="1"/>
          <w:numId w:val="129"/>
        </w:numPr>
        <w:rPr>
          <w:color w:val="auto"/>
        </w:rPr>
      </w:pPr>
      <w:r>
        <w:rPr>
          <w:rFonts w:hint="eastAsia"/>
          <w:color w:val="auto"/>
        </w:rPr>
        <w:t>假币测试样本宜选择经中国人民银行收缴、鉴定、编组的假币样品；</w:t>
      </w:r>
    </w:p>
    <w:p>
      <w:pPr>
        <w:pStyle w:val="113"/>
        <w:rPr>
          <w:color w:val="auto"/>
        </w:rPr>
      </w:pPr>
      <w:r>
        <w:rPr>
          <w:rFonts w:hint="eastAsia"/>
          <w:color w:val="auto"/>
        </w:rPr>
        <w:t>假币拒收率检测方法连续投入多张假币样本，记录拒收的钱币数量与投入假币总数。假币拒收率为拒收的钱币数量与投入假币总数之比。</w:t>
      </w:r>
    </w:p>
    <w:p>
      <w:pPr>
        <w:pStyle w:val="98"/>
        <w:spacing w:before="156" w:after="156"/>
        <w:rPr>
          <w:color w:val="auto"/>
        </w:rPr>
      </w:pPr>
      <w:r>
        <w:rPr>
          <w:rFonts w:hint="eastAsia"/>
          <w:color w:val="auto"/>
        </w:rPr>
        <w:t>支持钞票种类检测</w:t>
      </w:r>
    </w:p>
    <w:p>
      <w:pPr>
        <w:pStyle w:val="60"/>
        <w:ind w:firstLine="420"/>
        <w:rPr>
          <w:color w:val="auto"/>
        </w:rPr>
      </w:pPr>
      <w:r>
        <w:rPr>
          <w:rFonts w:hint="eastAsia"/>
          <w:color w:val="auto"/>
        </w:rPr>
        <w:t>支持钞票种类检测要求如下：</w:t>
      </w:r>
    </w:p>
    <w:p>
      <w:pPr>
        <w:pStyle w:val="178"/>
        <w:numPr>
          <w:ilvl w:val="0"/>
          <w:numId w:val="130"/>
        </w:numPr>
        <w:rPr>
          <w:color w:val="auto"/>
        </w:rPr>
      </w:pPr>
      <w:r>
        <w:rPr>
          <w:rFonts w:hint="eastAsia"/>
          <w:color w:val="auto"/>
        </w:rPr>
        <w:t>检测内容为检测纸币接收模块对纸币的支持种类应满足DB11/T 1164.7的规定；</w:t>
      </w:r>
    </w:p>
    <w:p>
      <w:pPr>
        <w:pStyle w:val="178"/>
        <w:rPr>
          <w:color w:val="auto"/>
        </w:rPr>
      </w:pPr>
      <w:r>
        <w:rPr>
          <w:rFonts w:hint="eastAsia"/>
          <w:color w:val="auto"/>
        </w:rPr>
        <w:t>检测方法要求如下：</w:t>
      </w:r>
    </w:p>
    <w:p>
      <w:pPr>
        <w:pStyle w:val="113"/>
        <w:numPr>
          <w:ilvl w:val="1"/>
          <w:numId w:val="131"/>
        </w:numPr>
        <w:rPr>
          <w:color w:val="auto"/>
        </w:rPr>
      </w:pPr>
      <w:r>
        <w:rPr>
          <w:rFonts w:hint="eastAsia"/>
          <w:color w:val="auto"/>
        </w:rPr>
        <w:t>选用市场上可正常流通的纸币进行测试，符合中国人民银行《不宜流通人民币挑剔标准》的纸币不作为测试样张；</w:t>
      </w:r>
    </w:p>
    <w:p>
      <w:pPr>
        <w:pStyle w:val="113"/>
        <w:rPr>
          <w:color w:val="auto"/>
        </w:rPr>
      </w:pPr>
      <w:r>
        <w:rPr>
          <w:rFonts w:hint="eastAsia"/>
          <w:color w:val="auto"/>
        </w:rPr>
        <w:t>向受检设备投入不同面额不同版别的纸币，记录设备可识别的钞票种类数量。</w:t>
      </w:r>
    </w:p>
    <w:p>
      <w:pPr>
        <w:pStyle w:val="98"/>
        <w:spacing w:before="156" w:after="156"/>
        <w:rPr>
          <w:color w:val="auto"/>
        </w:rPr>
      </w:pPr>
      <w:r>
        <w:rPr>
          <w:rFonts w:hint="eastAsia"/>
          <w:color w:val="auto"/>
        </w:rPr>
        <w:t>识别采样手段种类检测</w:t>
      </w:r>
    </w:p>
    <w:p>
      <w:pPr>
        <w:pStyle w:val="60"/>
        <w:ind w:firstLine="420"/>
        <w:rPr>
          <w:color w:val="auto"/>
        </w:rPr>
      </w:pPr>
      <w:r>
        <w:rPr>
          <w:rFonts w:hint="eastAsia"/>
          <w:color w:val="auto"/>
        </w:rPr>
        <w:t>识别采样手段种类检测要求如下：</w:t>
      </w:r>
    </w:p>
    <w:p>
      <w:pPr>
        <w:pStyle w:val="178"/>
        <w:numPr>
          <w:ilvl w:val="0"/>
          <w:numId w:val="132"/>
        </w:numPr>
        <w:rPr>
          <w:color w:val="auto"/>
        </w:rPr>
      </w:pPr>
      <w:r>
        <w:rPr>
          <w:rFonts w:hint="eastAsia"/>
          <w:color w:val="auto"/>
        </w:rPr>
        <w:t>检测内容为检测纸币接收模块的识别采样手段种类的数量应符合DB11/T 1164.7的规定；</w:t>
      </w:r>
    </w:p>
    <w:p>
      <w:pPr>
        <w:pStyle w:val="178"/>
        <w:rPr>
          <w:color w:val="auto"/>
        </w:rPr>
      </w:pPr>
      <w:r>
        <w:rPr>
          <w:rFonts w:hint="eastAsia"/>
          <w:color w:val="auto"/>
        </w:rPr>
        <w:t>检测方法要求如下：</w:t>
      </w:r>
    </w:p>
    <w:p>
      <w:pPr>
        <w:pStyle w:val="113"/>
        <w:numPr>
          <w:ilvl w:val="1"/>
          <w:numId w:val="133"/>
        </w:numPr>
        <w:rPr>
          <w:color w:val="auto"/>
        </w:rPr>
      </w:pPr>
      <w:r>
        <w:rPr>
          <w:rFonts w:hint="eastAsia"/>
          <w:color w:val="auto"/>
        </w:rPr>
        <w:t>真币测试样本宜选择中国人民银行统一制作编号的测试样品；</w:t>
      </w:r>
    </w:p>
    <w:p>
      <w:pPr>
        <w:pStyle w:val="113"/>
        <w:rPr>
          <w:color w:val="auto"/>
        </w:rPr>
      </w:pPr>
      <w:r>
        <w:rPr>
          <w:rFonts w:hint="eastAsia"/>
          <w:color w:val="auto"/>
        </w:rPr>
        <w:t>假币测试样本宜选择经中国人民银行收缴、鉴定、编组的假币样品；</w:t>
      </w:r>
    </w:p>
    <w:p>
      <w:pPr>
        <w:pStyle w:val="113"/>
        <w:rPr>
          <w:color w:val="auto"/>
        </w:rPr>
      </w:pPr>
      <w:r>
        <w:rPr>
          <w:rFonts w:hint="eastAsia"/>
          <w:color w:val="auto"/>
        </w:rPr>
        <w:t>使用不同防伪技术的假币样品投入受检设备，以确定受检设备的识别采样手段的种类。</w:t>
      </w:r>
    </w:p>
    <w:p>
      <w:pPr>
        <w:pStyle w:val="98"/>
        <w:spacing w:before="156" w:after="156"/>
        <w:rPr>
          <w:color w:val="auto"/>
        </w:rPr>
      </w:pPr>
      <w:r>
        <w:rPr>
          <w:rFonts w:hint="eastAsia"/>
          <w:color w:val="auto"/>
        </w:rPr>
        <w:t>容量检测</w:t>
      </w:r>
    </w:p>
    <w:p>
      <w:pPr>
        <w:pStyle w:val="60"/>
        <w:ind w:firstLine="420"/>
        <w:rPr>
          <w:color w:val="auto"/>
        </w:rPr>
      </w:pPr>
      <w:r>
        <w:rPr>
          <w:rFonts w:hint="eastAsia"/>
          <w:color w:val="auto"/>
        </w:rPr>
        <w:t>容量检测要求如下：</w:t>
      </w:r>
    </w:p>
    <w:p>
      <w:pPr>
        <w:pStyle w:val="178"/>
        <w:numPr>
          <w:ilvl w:val="0"/>
          <w:numId w:val="134"/>
        </w:numPr>
        <w:rPr>
          <w:color w:val="auto"/>
        </w:rPr>
      </w:pPr>
      <w:r>
        <w:rPr>
          <w:rFonts w:hint="eastAsia"/>
          <w:color w:val="auto"/>
        </w:rPr>
        <w:t>检测内容为检测纸币接收模块纸币暂存器和纸币钱箱的存储容量应符合DB11/T 1164.7的规定；</w:t>
      </w:r>
    </w:p>
    <w:p>
      <w:pPr>
        <w:pStyle w:val="178"/>
        <w:rPr>
          <w:color w:val="auto"/>
        </w:rPr>
      </w:pPr>
      <w:r>
        <w:rPr>
          <w:rFonts w:hint="eastAsia"/>
          <w:color w:val="auto"/>
        </w:rPr>
        <w:t>检测方法应按规范要求值将纸币放入纸币钱箱和纸币暂存器，检测纸币接收模块应能够正常工作，检测 5 次应全部通过。</w:t>
      </w:r>
    </w:p>
    <w:p>
      <w:pPr>
        <w:pStyle w:val="109"/>
        <w:spacing w:before="156" w:after="156"/>
        <w:rPr>
          <w:color w:val="auto"/>
        </w:rPr>
      </w:pPr>
      <w:bookmarkStart w:id="213" w:name="_Toc26255"/>
      <w:r>
        <w:rPr>
          <w:rFonts w:hint="eastAsia"/>
          <w:color w:val="auto"/>
        </w:rPr>
        <w:t>纸币找零模块检测</w:t>
      </w:r>
      <w:bookmarkEnd w:id="213"/>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35"/>
        </w:numPr>
        <w:rPr>
          <w:color w:val="auto"/>
        </w:rPr>
      </w:pPr>
      <w:r>
        <w:rPr>
          <w:rFonts w:hint="eastAsia"/>
          <w:color w:val="auto"/>
        </w:rPr>
        <w:t>检测内容应依据DB11/T 1164.7纸币找零模块的外观与结构要求逐项检测；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36"/>
        </w:numPr>
        <w:rPr>
          <w:color w:val="auto"/>
        </w:rPr>
      </w:pPr>
      <w:r>
        <w:rPr>
          <w:rFonts w:hint="eastAsia"/>
          <w:color w:val="auto"/>
        </w:rPr>
        <w:t>检测内容应依据DB11/T 1164.7纸币接收模块的硬件配置要求逐项检测；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37"/>
        </w:numPr>
        <w:rPr>
          <w:color w:val="auto"/>
        </w:rPr>
      </w:pPr>
      <w:r>
        <w:rPr>
          <w:rFonts w:hint="eastAsia"/>
          <w:color w:val="auto"/>
        </w:rPr>
        <w:t>检测内容应依据DB11/T 1164.7纸币接收模块的软件配置要求逐项检测；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38"/>
        </w:numPr>
        <w:rPr>
          <w:color w:val="auto"/>
        </w:rPr>
      </w:pPr>
      <w:r>
        <w:rPr>
          <w:rFonts w:hint="eastAsia"/>
          <w:color w:val="auto"/>
        </w:rPr>
        <w:t>检测内容应依据DB11/T 1164.7纸币接收模块的接口要求逐项检测；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39"/>
        </w:numPr>
        <w:rPr>
          <w:color w:val="auto"/>
        </w:rPr>
      </w:pPr>
      <w:r>
        <w:rPr>
          <w:rFonts w:hint="eastAsia"/>
          <w:color w:val="auto"/>
        </w:rPr>
        <w:t>检测内容应依据DB11/T 1164.7纸币接收模块的功能要求逐项检测；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出钞速度检测</w:t>
      </w:r>
    </w:p>
    <w:p>
      <w:pPr>
        <w:pStyle w:val="60"/>
        <w:ind w:firstLine="420"/>
        <w:rPr>
          <w:color w:val="auto"/>
        </w:rPr>
      </w:pPr>
      <w:r>
        <w:rPr>
          <w:rFonts w:hint="eastAsia"/>
          <w:color w:val="auto"/>
        </w:rPr>
        <w:t>出钞速度检测要求如下：</w:t>
      </w:r>
    </w:p>
    <w:p>
      <w:pPr>
        <w:pStyle w:val="178"/>
        <w:numPr>
          <w:ilvl w:val="0"/>
          <w:numId w:val="140"/>
        </w:numPr>
        <w:rPr>
          <w:color w:val="auto"/>
        </w:rPr>
      </w:pPr>
      <w:r>
        <w:rPr>
          <w:rFonts w:hint="eastAsia"/>
          <w:color w:val="auto"/>
        </w:rPr>
        <w:t>检测内容应检测纸币找零模块的出钞速度应满足DB11/T 1164.7的规定；</w:t>
      </w:r>
    </w:p>
    <w:p>
      <w:pPr>
        <w:pStyle w:val="178"/>
        <w:rPr>
          <w:color w:val="auto"/>
        </w:rPr>
      </w:pPr>
      <w:r>
        <w:rPr>
          <w:rFonts w:hint="eastAsia"/>
          <w:color w:val="auto"/>
        </w:rPr>
        <w:t>检测方法要求如下：</w:t>
      </w:r>
    </w:p>
    <w:p>
      <w:pPr>
        <w:pStyle w:val="113"/>
        <w:numPr>
          <w:ilvl w:val="1"/>
          <w:numId w:val="141"/>
        </w:numPr>
        <w:rPr>
          <w:color w:val="auto"/>
        </w:rPr>
      </w:pPr>
      <w:r>
        <w:rPr>
          <w:rFonts w:hint="eastAsia"/>
          <w:color w:val="auto"/>
        </w:rPr>
        <w:t>纸币找零出钞速度为单位时间内能找零的纸币张数；</w:t>
      </w:r>
    </w:p>
    <w:p>
      <w:pPr>
        <w:pStyle w:val="113"/>
        <w:rPr>
          <w:color w:val="auto"/>
        </w:rPr>
      </w:pPr>
      <w:r>
        <w:rPr>
          <w:rFonts w:hint="eastAsia"/>
          <w:color w:val="auto"/>
        </w:rPr>
        <w:t>纸币找零出钞速度检测方法使用测试软件或仿真软件令受检设备连续找零18 张纸币，记录从第一张纸币出现到最后一张纸币出现的时间，计算每秒找零张数。</w:t>
      </w:r>
    </w:p>
    <w:p>
      <w:pPr>
        <w:pStyle w:val="98"/>
        <w:spacing w:before="156" w:after="156"/>
        <w:rPr>
          <w:color w:val="auto"/>
        </w:rPr>
      </w:pPr>
      <w:r>
        <w:rPr>
          <w:rFonts w:hint="eastAsia"/>
          <w:color w:val="auto"/>
        </w:rPr>
        <w:t>回收率检测</w:t>
      </w:r>
    </w:p>
    <w:p>
      <w:pPr>
        <w:pStyle w:val="60"/>
        <w:ind w:firstLine="420"/>
        <w:rPr>
          <w:color w:val="auto"/>
        </w:rPr>
      </w:pPr>
      <w:r>
        <w:rPr>
          <w:rFonts w:hint="eastAsia"/>
          <w:color w:val="auto"/>
        </w:rPr>
        <w:t>回收率检测要求如下：</w:t>
      </w:r>
    </w:p>
    <w:p>
      <w:pPr>
        <w:pStyle w:val="178"/>
        <w:numPr>
          <w:ilvl w:val="0"/>
          <w:numId w:val="142"/>
        </w:numPr>
        <w:rPr>
          <w:color w:val="auto"/>
        </w:rPr>
      </w:pPr>
      <w:r>
        <w:rPr>
          <w:rFonts w:hint="eastAsia"/>
          <w:color w:val="auto"/>
        </w:rPr>
        <w:t>检测内容为检测纸币找零模块的纸币回收率应满足DB11/T 1164.7的规定；</w:t>
      </w:r>
    </w:p>
    <w:p>
      <w:pPr>
        <w:pStyle w:val="178"/>
        <w:rPr>
          <w:color w:val="auto"/>
        </w:rPr>
      </w:pPr>
      <w:r>
        <w:rPr>
          <w:rFonts w:hint="eastAsia"/>
          <w:color w:val="auto"/>
        </w:rPr>
        <w:t>检测方法要求如下：</w:t>
      </w:r>
    </w:p>
    <w:p>
      <w:pPr>
        <w:pStyle w:val="113"/>
        <w:numPr>
          <w:ilvl w:val="1"/>
          <w:numId w:val="143"/>
        </w:numPr>
        <w:rPr>
          <w:color w:val="auto"/>
        </w:rPr>
      </w:pPr>
      <w:r>
        <w:rPr>
          <w:rFonts w:hint="eastAsia"/>
          <w:color w:val="auto"/>
        </w:rPr>
        <w:t>纸币找零回收率为回收张数与找零总张数之比；</w:t>
      </w:r>
    </w:p>
    <w:p>
      <w:pPr>
        <w:pStyle w:val="113"/>
        <w:rPr>
          <w:color w:val="auto"/>
        </w:rPr>
      </w:pPr>
      <w:r>
        <w:rPr>
          <w:rFonts w:hint="eastAsia"/>
          <w:color w:val="auto"/>
        </w:rPr>
        <w:t>纸币找零回收率检测方法使用测试软件或仿真软件令受检设备连续找零18 张纸币，重复50 次，记录回收张数与找零总张数，计算纸币找零回收率。</w:t>
      </w:r>
    </w:p>
    <w:p>
      <w:pPr>
        <w:pStyle w:val="98"/>
        <w:spacing w:before="156" w:after="156"/>
        <w:rPr>
          <w:color w:val="auto"/>
        </w:rPr>
      </w:pPr>
      <w:r>
        <w:rPr>
          <w:rFonts w:hint="eastAsia"/>
          <w:color w:val="auto"/>
        </w:rPr>
        <w:t>卡钞率检测</w:t>
      </w:r>
    </w:p>
    <w:p>
      <w:pPr>
        <w:pStyle w:val="60"/>
        <w:ind w:firstLine="420"/>
        <w:rPr>
          <w:color w:val="auto"/>
        </w:rPr>
      </w:pPr>
      <w:r>
        <w:rPr>
          <w:rFonts w:hint="eastAsia"/>
          <w:color w:val="auto"/>
        </w:rPr>
        <w:t>卡钞率检测要求如下：</w:t>
      </w:r>
    </w:p>
    <w:p>
      <w:pPr>
        <w:pStyle w:val="178"/>
        <w:numPr>
          <w:ilvl w:val="0"/>
          <w:numId w:val="144"/>
        </w:numPr>
        <w:rPr>
          <w:color w:val="auto"/>
        </w:rPr>
      </w:pPr>
      <w:r>
        <w:rPr>
          <w:rFonts w:hint="eastAsia"/>
          <w:color w:val="auto"/>
        </w:rPr>
        <w:t>检测内容为检测纸币找零模块的纸币卡钞率应满足DB11/T 1164.7的规定；</w:t>
      </w:r>
    </w:p>
    <w:p>
      <w:pPr>
        <w:pStyle w:val="178"/>
        <w:rPr>
          <w:color w:val="auto"/>
        </w:rPr>
      </w:pPr>
      <w:r>
        <w:rPr>
          <w:rFonts w:hint="eastAsia"/>
          <w:color w:val="auto"/>
        </w:rPr>
        <w:t>检测方法要求如下：</w:t>
      </w:r>
    </w:p>
    <w:p>
      <w:pPr>
        <w:pStyle w:val="113"/>
        <w:numPr>
          <w:ilvl w:val="1"/>
          <w:numId w:val="145"/>
        </w:numPr>
        <w:rPr>
          <w:color w:val="auto"/>
        </w:rPr>
      </w:pPr>
      <w:r>
        <w:rPr>
          <w:rFonts w:hint="eastAsia"/>
          <w:color w:val="auto"/>
        </w:rPr>
        <w:t>纸币找零卡钞率为卡钞张数与实际需找零纸币张数之比；</w:t>
      </w:r>
    </w:p>
    <w:p>
      <w:pPr>
        <w:pStyle w:val="113"/>
        <w:rPr>
          <w:color w:val="auto"/>
        </w:rPr>
      </w:pPr>
      <w:r>
        <w:rPr>
          <w:rFonts w:hint="eastAsia"/>
          <w:color w:val="auto"/>
        </w:rPr>
        <w:t>纸币找零卡钞率检测方法应使用测试软件或仿真软件令受检设备连续找零18 张纸币，重复50 次，记录卡钞张数与找零总张数，计算纸币找零卡钞率。</w:t>
      </w:r>
    </w:p>
    <w:p>
      <w:pPr>
        <w:pStyle w:val="98"/>
        <w:spacing w:before="156" w:after="156"/>
        <w:rPr>
          <w:color w:val="auto"/>
        </w:rPr>
      </w:pPr>
      <w:r>
        <w:rPr>
          <w:rFonts w:hint="eastAsia"/>
          <w:color w:val="auto"/>
        </w:rPr>
        <w:t>数量检测</w:t>
      </w:r>
    </w:p>
    <w:p>
      <w:pPr>
        <w:pStyle w:val="60"/>
        <w:ind w:firstLine="420"/>
        <w:rPr>
          <w:color w:val="auto"/>
        </w:rPr>
      </w:pPr>
      <w:r>
        <w:rPr>
          <w:rFonts w:hint="eastAsia"/>
          <w:color w:val="auto"/>
        </w:rPr>
        <w:t>数量检测要求如下：</w:t>
      </w:r>
    </w:p>
    <w:p>
      <w:pPr>
        <w:pStyle w:val="178"/>
        <w:numPr>
          <w:ilvl w:val="0"/>
          <w:numId w:val="146"/>
        </w:numPr>
        <w:rPr>
          <w:color w:val="auto"/>
        </w:rPr>
      </w:pPr>
      <w:r>
        <w:rPr>
          <w:rFonts w:hint="eastAsia"/>
          <w:color w:val="auto"/>
        </w:rPr>
        <w:t>检测内容为检测纸币找零模块找零箱的数量应符合DB11/T 1164.7的规定；</w:t>
      </w:r>
    </w:p>
    <w:p>
      <w:pPr>
        <w:pStyle w:val="178"/>
        <w:rPr>
          <w:color w:val="auto"/>
        </w:rPr>
      </w:pPr>
      <w:r>
        <w:rPr>
          <w:rFonts w:hint="eastAsia"/>
          <w:color w:val="auto"/>
        </w:rPr>
        <w:t>检测方法应使用测量、目测和触摸法进行检测。</w:t>
      </w:r>
    </w:p>
    <w:p>
      <w:pPr>
        <w:pStyle w:val="98"/>
        <w:spacing w:before="156" w:after="156"/>
        <w:rPr>
          <w:color w:val="auto"/>
        </w:rPr>
      </w:pPr>
      <w:r>
        <w:rPr>
          <w:rFonts w:hint="eastAsia"/>
          <w:color w:val="auto"/>
        </w:rPr>
        <w:t>容量检测</w:t>
      </w:r>
    </w:p>
    <w:p>
      <w:pPr>
        <w:pStyle w:val="60"/>
        <w:ind w:firstLine="420"/>
        <w:rPr>
          <w:color w:val="auto"/>
        </w:rPr>
      </w:pPr>
      <w:r>
        <w:rPr>
          <w:rFonts w:hint="eastAsia"/>
          <w:color w:val="auto"/>
        </w:rPr>
        <w:t>容量检测要求如下：</w:t>
      </w:r>
    </w:p>
    <w:p>
      <w:pPr>
        <w:pStyle w:val="178"/>
        <w:numPr>
          <w:ilvl w:val="0"/>
          <w:numId w:val="147"/>
        </w:numPr>
        <w:rPr>
          <w:color w:val="auto"/>
        </w:rPr>
      </w:pPr>
      <w:r>
        <w:rPr>
          <w:rFonts w:hint="eastAsia"/>
          <w:color w:val="auto"/>
        </w:rPr>
        <w:t>检测内容为检测纸币找零模块找零箱的存储容量应符合DB11/T 1164.7的规定；</w:t>
      </w:r>
    </w:p>
    <w:p>
      <w:pPr>
        <w:pStyle w:val="178"/>
        <w:rPr>
          <w:color w:val="auto"/>
        </w:rPr>
      </w:pPr>
      <w:r>
        <w:rPr>
          <w:rFonts w:hint="eastAsia"/>
          <w:color w:val="auto"/>
        </w:rPr>
        <w:t>检测方法应按规范要求值向纸币找零箱内放入纸币，检测纸币找零模块应能够正常工作。检测5 次应全部通过。</w:t>
      </w:r>
    </w:p>
    <w:p>
      <w:pPr>
        <w:pStyle w:val="109"/>
        <w:spacing w:before="156" w:after="156"/>
        <w:rPr>
          <w:color w:val="auto"/>
        </w:rPr>
      </w:pPr>
      <w:bookmarkStart w:id="214" w:name="_Toc9297"/>
      <w:r>
        <w:rPr>
          <w:rFonts w:hint="eastAsia"/>
          <w:color w:val="auto"/>
        </w:rPr>
        <w:t>车票发售模块检测</w:t>
      </w:r>
      <w:bookmarkEnd w:id="214"/>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48"/>
        </w:numPr>
        <w:rPr>
          <w:color w:val="auto"/>
        </w:rPr>
      </w:pPr>
      <w:r>
        <w:rPr>
          <w:rFonts w:hint="eastAsia"/>
          <w:color w:val="auto"/>
        </w:rPr>
        <w:t>检测内容应依据DB11/T 1164.7车票发售模块的外观与结构要求逐项检测；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49"/>
        </w:numPr>
        <w:rPr>
          <w:color w:val="auto"/>
        </w:rPr>
      </w:pPr>
      <w:r>
        <w:rPr>
          <w:rFonts w:hint="eastAsia"/>
          <w:color w:val="auto"/>
        </w:rPr>
        <w:t>检测内容应依据DB11/T 1164.7车票发售模块的硬件配置要求逐项检测；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50"/>
        </w:numPr>
        <w:rPr>
          <w:color w:val="auto"/>
        </w:rPr>
      </w:pPr>
      <w:r>
        <w:rPr>
          <w:rFonts w:hint="eastAsia"/>
          <w:color w:val="auto"/>
        </w:rPr>
        <w:t>检测内容应依据DB11/T 1164.7车票发售模块的软件件配置要求逐项检测；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51"/>
        </w:numPr>
        <w:rPr>
          <w:color w:val="auto"/>
        </w:rPr>
      </w:pPr>
      <w:r>
        <w:rPr>
          <w:rFonts w:hint="eastAsia"/>
          <w:color w:val="auto"/>
        </w:rPr>
        <w:t>检测内容应依据DB11/T 1164.7车票发售模块的接口要求逐项检测；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52"/>
        </w:numPr>
        <w:rPr>
          <w:color w:val="auto"/>
        </w:rPr>
      </w:pPr>
      <w:r>
        <w:rPr>
          <w:rFonts w:hint="eastAsia"/>
          <w:color w:val="auto"/>
        </w:rPr>
        <w:t>检测内容应依据DB11/T 1164.7车票发售模块的功能要求逐项检测；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车票发售处理速度检测</w:t>
      </w:r>
    </w:p>
    <w:p>
      <w:pPr>
        <w:pStyle w:val="60"/>
        <w:ind w:firstLine="420"/>
        <w:rPr>
          <w:color w:val="auto"/>
        </w:rPr>
      </w:pPr>
      <w:r>
        <w:rPr>
          <w:rFonts w:hint="eastAsia"/>
          <w:color w:val="auto"/>
        </w:rPr>
        <w:t>车票发售处理速度检测要求如下：</w:t>
      </w:r>
    </w:p>
    <w:p>
      <w:pPr>
        <w:pStyle w:val="178"/>
        <w:numPr>
          <w:ilvl w:val="0"/>
          <w:numId w:val="153"/>
        </w:numPr>
        <w:rPr>
          <w:color w:val="auto"/>
        </w:rPr>
      </w:pPr>
      <w:r>
        <w:rPr>
          <w:rFonts w:hint="eastAsia"/>
          <w:color w:val="auto"/>
        </w:rPr>
        <w:t>检测内容为检测车票发售模块对票卡的处理速度应满足DB11/T 1164.7的规定；</w:t>
      </w:r>
    </w:p>
    <w:p>
      <w:pPr>
        <w:pStyle w:val="178"/>
        <w:rPr>
          <w:color w:val="auto"/>
        </w:rPr>
      </w:pPr>
      <w:r>
        <w:rPr>
          <w:rFonts w:hint="eastAsia"/>
          <w:color w:val="auto"/>
        </w:rPr>
        <w:t>检测方法要求如下：</w:t>
      </w:r>
    </w:p>
    <w:p>
      <w:pPr>
        <w:pStyle w:val="113"/>
        <w:numPr>
          <w:ilvl w:val="1"/>
          <w:numId w:val="154"/>
        </w:numPr>
        <w:rPr>
          <w:color w:val="auto"/>
        </w:rPr>
      </w:pPr>
      <w:r>
        <w:rPr>
          <w:rFonts w:hint="eastAsia"/>
          <w:color w:val="auto"/>
        </w:rPr>
        <w:t>车票发售模块单张车票发售时间为发出售票指令到车票出现的间隔时间；</w:t>
      </w:r>
    </w:p>
    <w:p>
      <w:pPr>
        <w:pStyle w:val="113"/>
        <w:rPr>
          <w:color w:val="auto"/>
        </w:rPr>
      </w:pPr>
      <w:r>
        <w:rPr>
          <w:rFonts w:hint="eastAsia"/>
          <w:color w:val="auto"/>
        </w:rPr>
        <w:t>车票发售模块单张车票发售时间检测方法应使用测试软件或仿真软件令受检设备连续发售10 张单程票，记录总时间，计算平均每张车票发售时间（试验结果不包含读写器的票卡处理时间）。</w:t>
      </w:r>
    </w:p>
    <w:p>
      <w:pPr>
        <w:pStyle w:val="98"/>
        <w:spacing w:before="156" w:after="156"/>
        <w:rPr>
          <w:color w:val="auto"/>
        </w:rPr>
      </w:pPr>
      <w:r>
        <w:rPr>
          <w:rFonts w:hint="eastAsia"/>
          <w:color w:val="auto"/>
        </w:rPr>
        <w:t>储票箱数量检测</w:t>
      </w:r>
    </w:p>
    <w:p>
      <w:pPr>
        <w:pStyle w:val="60"/>
        <w:ind w:firstLine="420"/>
        <w:rPr>
          <w:color w:val="auto"/>
        </w:rPr>
      </w:pPr>
      <w:r>
        <w:rPr>
          <w:rFonts w:hint="eastAsia"/>
          <w:color w:val="auto"/>
        </w:rPr>
        <w:t>储票箱数量检测要求如下：</w:t>
      </w:r>
    </w:p>
    <w:p>
      <w:pPr>
        <w:pStyle w:val="178"/>
        <w:numPr>
          <w:ilvl w:val="0"/>
          <w:numId w:val="155"/>
        </w:numPr>
        <w:rPr>
          <w:color w:val="auto"/>
        </w:rPr>
      </w:pPr>
      <w:r>
        <w:rPr>
          <w:rFonts w:hint="eastAsia"/>
          <w:color w:val="auto"/>
        </w:rPr>
        <w:t>检测内容为检测车票发售模块的储票箱数量应满足DB11/T 1164.7的规定；</w:t>
      </w:r>
    </w:p>
    <w:p>
      <w:pPr>
        <w:pStyle w:val="178"/>
        <w:rPr>
          <w:color w:val="auto"/>
        </w:rPr>
      </w:pPr>
      <w:r>
        <w:rPr>
          <w:rFonts w:hint="eastAsia"/>
          <w:color w:val="auto"/>
        </w:rPr>
        <w:t>检测方法应使用测量、目测和触摸法进行检测。</w:t>
      </w:r>
    </w:p>
    <w:p>
      <w:pPr>
        <w:pStyle w:val="98"/>
        <w:spacing w:before="156" w:after="156"/>
        <w:rPr>
          <w:color w:val="auto"/>
        </w:rPr>
      </w:pPr>
      <w:r>
        <w:rPr>
          <w:rFonts w:hint="eastAsia"/>
          <w:color w:val="auto"/>
        </w:rPr>
        <w:t>废票箱总容量检测</w:t>
      </w:r>
    </w:p>
    <w:p>
      <w:pPr>
        <w:pStyle w:val="60"/>
        <w:ind w:firstLine="420"/>
        <w:rPr>
          <w:color w:val="auto"/>
        </w:rPr>
      </w:pPr>
      <w:r>
        <w:rPr>
          <w:rFonts w:hint="eastAsia"/>
          <w:color w:val="auto"/>
        </w:rPr>
        <w:t>废票箱总容量检测要求如下：</w:t>
      </w:r>
    </w:p>
    <w:p>
      <w:pPr>
        <w:pStyle w:val="178"/>
        <w:numPr>
          <w:ilvl w:val="0"/>
          <w:numId w:val="156"/>
        </w:numPr>
        <w:rPr>
          <w:color w:val="auto"/>
        </w:rPr>
      </w:pPr>
      <w:r>
        <w:rPr>
          <w:rFonts w:hint="eastAsia"/>
          <w:color w:val="auto"/>
        </w:rPr>
        <w:t>检测内容为检测车票发售模块废票箱容纳车票的数量应满足DB11/T 1164.7的规定；</w:t>
      </w:r>
    </w:p>
    <w:p>
      <w:pPr>
        <w:pStyle w:val="178"/>
        <w:rPr>
          <w:color w:val="auto"/>
        </w:rPr>
      </w:pPr>
      <w:r>
        <w:rPr>
          <w:rFonts w:hint="eastAsia"/>
          <w:color w:val="auto"/>
        </w:rPr>
        <w:t>检测方法应按规定值将车票装入废票箱，检测废票箱应能够正常工作，检测5次应全部通过。</w:t>
      </w:r>
    </w:p>
    <w:p>
      <w:pPr>
        <w:pStyle w:val="98"/>
        <w:spacing w:before="156" w:after="156"/>
        <w:rPr>
          <w:color w:val="auto"/>
        </w:rPr>
      </w:pPr>
      <w:r>
        <w:rPr>
          <w:rFonts w:hint="eastAsia"/>
          <w:color w:val="auto"/>
        </w:rPr>
        <w:t>票箱保留不可发售车票数量检测</w:t>
      </w:r>
    </w:p>
    <w:p>
      <w:pPr>
        <w:pStyle w:val="60"/>
        <w:ind w:firstLine="420"/>
        <w:rPr>
          <w:color w:val="auto"/>
        </w:rPr>
      </w:pPr>
      <w:r>
        <w:rPr>
          <w:rFonts w:hint="eastAsia"/>
          <w:color w:val="auto"/>
        </w:rPr>
        <w:t>票箱保留不可发售车票数量检测要求如下：</w:t>
      </w:r>
    </w:p>
    <w:p>
      <w:pPr>
        <w:pStyle w:val="178"/>
        <w:numPr>
          <w:ilvl w:val="0"/>
          <w:numId w:val="157"/>
        </w:numPr>
        <w:rPr>
          <w:color w:val="auto"/>
        </w:rPr>
      </w:pPr>
      <w:r>
        <w:rPr>
          <w:rFonts w:hint="eastAsia"/>
          <w:color w:val="auto"/>
        </w:rPr>
        <w:t>检测内容为检测车票发售模块票箱保留不可发售车票数量应满足DB11/T 1164.7的规定；</w:t>
      </w:r>
    </w:p>
    <w:p>
      <w:pPr>
        <w:pStyle w:val="178"/>
        <w:rPr>
          <w:color w:val="auto"/>
        </w:rPr>
      </w:pPr>
      <w:r>
        <w:rPr>
          <w:rFonts w:hint="eastAsia"/>
          <w:color w:val="auto"/>
        </w:rPr>
        <w:t>检测方法应使用仿真工具驱动发售模块进行车票发售，直至车票无法被发出，记录剩余车票的数量。</w:t>
      </w:r>
    </w:p>
    <w:p>
      <w:pPr>
        <w:pStyle w:val="98"/>
        <w:spacing w:before="156" w:after="156"/>
        <w:rPr>
          <w:color w:val="auto"/>
        </w:rPr>
      </w:pPr>
      <w:r>
        <w:rPr>
          <w:rFonts w:hint="eastAsia"/>
          <w:color w:val="auto"/>
        </w:rPr>
        <w:t>车票数量记录准确率检测</w:t>
      </w:r>
    </w:p>
    <w:p>
      <w:pPr>
        <w:pStyle w:val="60"/>
        <w:ind w:firstLine="420"/>
        <w:rPr>
          <w:color w:val="auto"/>
        </w:rPr>
      </w:pPr>
      <w:r>
        <w:rPr>
          <w:rFonts w:hint="eastAsia"/>
          <w:color w:val="auto"/>
        </w:rPr>
        <w:t>车票数量记录准确率检测要求如下：</w:t>
      </w:r>
    </w:p>
    <w:p>
      <w:pPr>
        <w:pStyle w:val="178"/>
        <w:numPr>
          <w:ilvl w:val="0"/>
          <w:numId w:val="158"/>
        </w:numPr>
        <w:rPr>
          <w:color w:val="auto"/>
        </w:rPr>
      </w:pPr>
      <w:r>
        <w:rPr>
          <w:rFonts w:hint="eastAsia"/>
          <w:color w:val="auto"/>
        </w:rPr>
        <w:t>检测内容为检测车票发售模块车票数量记录的准确率应满足DB11/T 1164.7的规定；</w:t>
      </w:r>
    </w:p>
    <w:p>
      <w:pPr>
        <w:pStyle w:val="178"/>
        <w:rPr>
          <w:color w:val="auto"/>
        </w:rPr>
      </w:pPr>
      <w:r>
        <w:rPr>
          <w:rFonts w:hint="eastAsia"/>
          <w:color w:val="auto"/>
        </w:rPr>
        <w:t>检测方法要求如下：</w:t>
      </w:r>
    </w:p>
    <w:p>
      <w:pPr>
        <w:pStyle w:val="113"/>
        <w:numPr>
          <w:ilvl w:val="1"/>
          <w:numId w:val="159"/>
        </w:numPr>
        <w:rPr>
          <w:color w:val="auto"/>
        </w:rPr>
      </w:pPr>
      <w:r>
        <w:rPr>
          <w:rFonts w:hint="eastAsia"/>
          <w:color w:val="auto"/>
        </w:rPr>
        <w:t>使用仿真工具驱动发售模块进行车票发售，发售完成后读写票箱电子标签记录的数量与车票的实际数量进行对比，记录车票数量准确率；</w:t>
      </w:r>
    </w:p>
    <w:p>
      <w:pPr>
        <w:pStyle w:val="113"/>
        <w:rPr>
          <w:color w:val="auto"/>
        </w:rPr>
      </w:pPr>
      <w:r>
        <w:rPr>
          <w:rFonts w:hint="eastAsia"/>
          <w:color w:val="auto"/>
        </w:rPr>
        <w:t>检测所需的次数应不低于3 次，并计算选取测试平均值。</w:t>
      </w:r>
    </w:p>
    <w:p>
      <w:pPr>
        <w:pStyle w:val="109"/>
        <w:spacing w:before="156" w:after="156"/>
        <w:rPr>
          <w:color w:val="auto"/>
        </w:rPr>
      </w:pPr>
      <w:bookmarkStart w:id="215" w:name="_Toc11292"/>
      <w:r>
        <w:rPr>
          <w:rFonts w:hint="eastAsia"/>
          <w:color w:val="auto"/>
        </w:rPr>
        <w:t>车票回收模块检测</w:t>
      </w:r>
      <w:bookmarkEnd w:id="215"/>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60"/>
        </w:numPr>
        <w:rPr>
          <w:color w:val="auto"/>
        </w:rPr>
      </w:pPr>
      <w:r>
        <w:rPr>
          <w:rFonts w:hint="eastAsia"/>
          <w:color w:val="auto"/>
        </w:rPr>
        <w:t>检测内容应依据DB11/T 1164.7车票回收模块的外观与结构要求逐项检测；</w:t>
      </w:r>
    </w:p>
    <w:p>
      <w:pPr>
        <w:pStyle w:val="178"/>
        <w:rPr>
          <w:color w:val="auto"/>
        </w:rPr>
      </w:pPr>
      <w:r>
        <w:rPr>
          <w:rFonts w:hint="eastAsia"/>
          <w:color w:val="auto"/>
        </w:rPr>
        <w:t>检测方法应使用测量、目测和触摸法进行检测。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61"/>
        </w:numPr>
        <w:rPr>
          <w:color w:val="auto"/>
        </w:rPr>
      </w:pPr>
      <w:r>
        <w:rPr>
          <w:rFonts w:hint="eastAsia"/>
          <w:color w:val="auto"/>
        </w:rPr>
        <w:t>检测内容应依据DB11/T 1164.7车票回收模块的硬件配置要求逐项检测；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62"/>
        </w:numPr>
        <w:rPr>
          <w:color w:val="auto"/>
        </w:rPr>
      </w:pPr>
      <w:r>
        <w:rPr>
          <w:rFonts w:hint="eastAsia"/>
          <w:color w:val="auto"/>
        </w:rPr>
        <w:t>检测内容应依据DB11/T 1164.7车票回收模块的软件配置要求逐项检测；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63"/>
        </w:numPr>
        <w:rPr>
          <w:color w:val="auto"/>
        </w:rPr>
      </w:pPr>
      <w:r>
        <w:rPr>
          <w:rFonts w:hint="eastAsia"/>
          <w:color w:val="auto"/>
        </w:rPr>
        <w:t>检测内容应依据DB11/T 1164.7车票回收模块的接口要求逐项检测；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64"/>
        </w:numPr>
        <w:rPr>
          <w:color w:val="auto"/>
        </w:rPr>
      </w:pPr>
      <w:r>
        <w:rPr>
          <w:rFonts w:hint="eastAsia"/>
          <w:color w:val="auto"/>
        </w:rPr>
        <w:t>检测内容应依据DB11/T 1164.7车票回收模块的功能要求逐项检测；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票卡回收处理速度检测</w:t>
      </w:r>
    </w:p>
    <w:p>
      <w:pPr>
        <w:pStyle w:val="60"/>
        <w:ind w:firstLine="420"/>
        <w:rPr>
          <w:color w:val="auto"/>
        </w:rPr>
      </w:pPr>
      <w:r>
        <w:rPr>
          <w:rFonts w:hint="eastAsia"/>
          <w:color w:val="auto"/>
        </w:rPr>
        <w:t>票卡回收处理速度检测要求如下：</w:t>
      </w:r>
    </w:p>
    <w:p>
      <w:pPr>
        <w:pStyle w:val="178"/>
        <w:numPr>
          <w:ilvl w:val="0"/>
          <w:numId w:val="165"/>
        </w:numPr>
        <w:rPr>
          <w:color w:val="auto"/>
        </w:rPr>
      </w:pPr>
      <w:r>
        <w:rPr>
          <w:rFonts w:hint="eastAsia"/>
          <w:color w:val="auto"/>
        </w:rPr>
        <w:t>检测内容为检测车票回收模块对票卡的回收速度应满足DB11/T 1164.7的规定；</w:t>
      </w:r>
    </w:p>
    <w:p>
      <w:pPr>
        <w:pStyle w:val="178"/>
        <w:rPr>
          <w:color w:val="auto"/>
        </w:rPr>
      </w:pPr>
      <w:r>
        <w:rPr>
          <w:rFonts w:hint="eastAsia"/>
          <w:color w:val="auto"/>
        </w:rPr>
        <w:t>检测方法要求如下：</w:t>
      </w:r>
    </w:p>
    <w:p>
      <w:pPr>
        <w:pStyle w:val="113"/>
        <w:numPr>
          <w:ilvl w:val="1"/>
          <w:numId w:val="166"/>
        </w:numPr>
        <w:rPr>
          <w:color w:val="auto"/>
        </w:rPr>
      </w:pPr>
      <w:r>
        <w:rPr>
          <w:rFonts w:hint="eastAsia"/>
          <w:color w:val="auto"/>
        </w:rPr>
        <w:t>单张票卡回收处理时间为从吸入票卡到可吸入下一张票卡的间隔时间；</w:t>
      </w:r>
    </w:p>
    <w:p>
      <w:pPr>
        <w:pStyle w:val="113"/>
        <w:rPr>
          <w:color w:val="auto"/>
        </w:rPr>
      </w:pPr>
      <w:r>
        <w:rPr>
          <w:rFonts w:hint="eastAsia"/>
          <w:color w:val="auto"/>
        </w:rPr>
        <w:t>单张票卡回收处理时间检测方法连续向受检设备投入单程票，记录5 张单程票回收处理时间，计算平均值（试验结果不包含读写器的票卡处理时间）。</w:t>
      </w:r>
    </w:p>
    <w:p>
      <w:pPr>
        <w:pStyle w:val="98"/>
        <w:spacing w:before="156" w:after="156"/>
        <w:rPr>
          <w:color w:val="auto"/>
        </w:rPr>
      </w:pPr>
      <w:r>
        <w:rPr>
          <w:rFonts w:hint="eastAsia"/>
          <w:color w:val="auto"/>
        </w:rPr>
        <w:t>储票箱数量检测</w:t>
      </w:r>
    </w:p>
    <w:p>
      <w:pPr>
        <w:pStyle w:val="60"/>
        <w:ind w:firstLine="420"/>
        <w:rPr>
          <w:color w:val="auto"/>
        </w:rPr>
      </w:pPr>
      <w:r>
        <w:rPr>
          <w:rFonts w:hint="eastAsia"/>
          <w:color w:val="auto"/>
        </w:rPr>
        <w:t>储票箱数量检测要求如下：</w:t>
      </w:r>
    </w:p>
    <w:p>
      <w:pPr>
        <w:pStyle w:val="178"/>
        <w:numPr>
          <w:ilvl w:val="0"/>
          <w:numId w:val="167"/>
        </w:numPr>
        <w:rPr>
          <w:color w:val="auto"/>
        </w:rPr>
      </w:pPr>
      <w:r>
        <w:rPr>
          <w:rFonts w:hint="eastAsia"/>
          <w:color w:val="auto"/>
        </w:rPr>
        <w:t>检测内容为检测车票回收模块的储票箱数量应满足DB11/T 1164.7的规定；</w:t>
      </w:r>
    </w:p>
    <w:p>
      <w:pPr>
        <w:pStyle w:val="178"/>
        <w:rPr>
          <w:color w:val="auto"/>
        </w:rPr>
      </w:pPr>
      <w:r>
        <w:rPr>
          <w:rFonts w:hint="eastAsia"/>
          <w:color w:val="auto"/>
        </w:rPr>
        <w:t>检测方法应使用测量、目测和触摸法进行检测。</w:t>
      </w:r>
    </w:p>
    <w:p>
      <w:pPr>
        <w:pStyle w:val="98"/>
        <w:spacing w:before="156" w:after="156"/>
        <w:rPr>
          <w:color w:val="auto"/>
        </w:rPr>
      </w:pPr>
      <w:r>
        <w:rPr>
          <w:rFonts w:hint="eastAsia"/>
          <w:color w:val="auto"/>
        </w:rPr>
        <w:t>废票箱总容量检测</w:t>
      </w:r>
    </w:p>
    <w:p>
      <w:pPr>
        <w:pStyle w:val="60"/>
        <w:ind w:firstLine="420"/>
        <w:rPr>
          <w:color w:val="auto"/>
        </w:rPr>
      </w:pPr>
      <w:r>
        <w:rPr>
          <w:rFonts w:hint="eastAsia"/>
          <w:color w:val="auto"/>
        </w:rPr>
        <w:t>废票箱总容量检测要求如下：</w:t>
      </w:r>
    </w:p>
    <w:p>
      <w:pPr>
        <w:pStyle w:val="178"/>
        <w:numPr>
          <w:ilvl w:val="0"/>
          <w:numId w:val="168"/>
        </w:numPr>
        <w:rPr>
          <w:color w:val="auto"/>
        </w:rPr>
      </w:pPr>
      <w:r>
        <w:rPr>
          <w:rFonts w:hint="eastAsia"/>
          <w:color w:val="auto"/>
        </w:rPr>
        <w:t>检测内容为检测车票回收模块废票箱容纳车票的数量应满足DB11/T 1164.7的规定；</w:t>
      </w:r>
    </w:p>
    <w:p>
      <w:pPr>
        <w:pStyle w:val="178"/>
        <w:rPr>
          <w:color w:val="auto"/>
        </w:rPr>
      </w:pPr>
      <w:r>
        <w:rPr>
          <w:rFonts w:hint="eastAsia"/>
          <w:color w:val="auto"/>
        </w:rPr>
        <w:t>检测方法应按规定值将车票装入废票箱，检测废票箱应能够正常工作，检测5 次应全部通过。</w:t>
      </w:r>
    </w:p>
    <w:p>
      <w:pPr>
        <w:pStyle w:val="98"/>
        <w:spacing w:before="156" w:after="156"/>
        <w:rPr>
          <w:color w:val="auto"/>
        </w:rPr>
      </w:pPr>
      <w:r>
        <w:rPr>
          <w:rFonts w:hint="eastAsia"/>
          <w:color w:val="auto"/>
        </w:rPr>
        <w:t>车票数量记录准确率检测</w:t>
      </w:r>
    </w:p>
    <w:p>
      <w:pPr>
        <w:pStyle w:val="60"/>
        <w:ind w:firstLine="420"/>
        <w:rPr>
          <w:color w:val="auto"/>
        </w:rPr>
      </w:pPr>
      <w:r>
        <w:rPr>
          <w:rFonts w:hint="eastAsia"/>
          <w:color w:val="auto"/>
        </w:rPr>
        <w:t>车票数量记录准确率检测要求如下：</w:t>
      </w:r>
    </w:p>
    <w:p>
      <w:pPr>
        <w:pStyle w:val="178"/>
        <w:numPr>
          <w:ilvl w:val="0"/>
          <w:numId w:val="169"/>
        </w:numPr>
        <w:rPr>
          <w:color w:val="auto"/>
        </w:rPr>
      </w:pPr>
      <w:r>
        <w:rPr>
          <w:rFonts w:hint="eastAsia"/>
          <w:color w:val="auto"/>
        </w:rPr>
        <w:t>检测内容为检测车票回收模块车票数量记录的准确率应满足DB11/T 1164.7的规定；</w:t>
      </w:r>
    </w:p>
    <w:p>
      <w:pPr>
        <w:pStyle w:val="178"/>
        <w:rPr>
          <w:color w:val="auto"/>
        </w:rPr>
      </w:pPr>
      <w:r>
        <w:rPr>
          <w:rFonts w:hint="eastAsia"/>
          <w:color w:val="auto"/>
        </w:rPr>
        <w:t>检测方法要求如下：</w:t>
      </w:r>
    </w:p>
    <w:p>
      <w:pPr>
        <w:pStyle w:val="113"/>
        <w:numPr>
          <w:ilvl w:val="1"/>
          <w:numId w:val="170"/>
        </w:numPr>
        <w:rPr>
          <w:color w:val="auto"/>
        </w:rPr>
      </w:pPr>
      <w:r>
        <w:rPr>
          <w:rFonts w:hint="eastAsia"/>
          <w:color w:val="auto"/>
        </w:rPr>
        <w:t>使用仿真工具驱动回收模块进行车票回收，回收完成后读写票箱电子标签记录的数量与车票的实际数量进行对比，记录车票数量准确率；</w:t>
      </w:r>
    </w:p>
    <w:p>
      <w:pPr>
        <w:pStyle w:val="113"/>
        <w:rPr>
          <w:color w:val="auto"/>
        </w:rPr>
      </w:pPr>
      <w:r>
        <w:rPr>
          <w:rFonts w:hint="eastAsia"/>
          <w:color w:val="auto"/>
        </w:rPr>
        <w:t>检测所需的次数应不低于3 次，并计算选取测试平均值。</w:t>
      </w:r>
    </w:p>
    <w:p>
      <w:pPr>
        <w:pStyle w:val="109"/>
        <w:spacing w:before="156" w:after="156"/>
        <w:rPr>
          <w:color w:val="auto"/>
        </w:rPr>
      </w:pPr>
      <w:bookmarkStart w:id="216" w:name="_Toc13235"/>
      <w:r>
        <w:rPr>
          <w:rFonts w:hint="eastAsia"/>
          <w:color w:val="auto"/>
        </w:rPr>
        <w:t>闸门及通行控制装置检测</w:t>
      </w:r>
      <w:bookmarkEnd w:id="216"/>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71"/>
        </w:numPr>
        <w:rPr>
          <w:color w:val="auto"/>
        </w:rPr>
      </w:pPr>
      <w:r>
        <w:rPr>
          <w:rFonts w:hint="eastAsia"/>
          <w:color w:val="auto"/>
        </w:rPr>
        <w:t>检测内容应依据DB11/T 1164.7闸门及通行控制装置的外观与结构要求逐项检测；</w:t>
      </w:r>
    </w:p>
    <w:p>
      <w:pPr>
        <w:pStyle w:val="178"/>
        <w:rPr>
          <w:color w:val="auto"/>
        </w:rPr>
      </w:pPr>
      <w:r>
        <w:rPr>
          <w:rFonts w:hint="eastAsia"/>
          <w:color w:val="auto"/>
        </w:rPr>
        <w:t>检测方法应使用测量、目测和触摸法进行检测。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72"/>
        </w:numPr>
        <w:rPr>
          <w:color w:val="auto"/>
        </w:rPr>
      </w:pPr>
      <w:r>
        <w:rPr>
          <w:rFonts w:hint="eastAsia"/>
          <w:color w:val="auto"/>
        </w:rPr>
        <w:t>检测内容应依据DB11/T 1164.7闸门及通行控制装置的硬件配置要求逐项检测；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73"/>
        </w:numPr>
        <w:rPr>
          <w:color w:val="auto"/>
        </w:rPr>
      </w:pPr>
      <w:r>
        <w:rPr>
          <w:rFonts w:hint="eastAsia"/>
          <w:color w:val="auto"/>
        </w:rPr>
        <w:t>检测内容应依据DB11/T 1164.7闸门及通行控制装置的软件配置要求逐项检测；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74"/>
        </w:numPr>
        <w:rPr>
          <w:color w:val="auto"/>
        </w:rPr>
      </w:pPr>
      <w:r>
        <w:rPr>
          <w:rFonts w:hint="eastAsia"/>
          <w:color w:val="auto"/>
        </w:rPr>
        <w:t>检测内容应依据DB11/T 1164.7闸门及通行控制装置的接口要求逐项检测；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75"/>
        </w:numPr>
        <w:rPr>
          <w:color w:val="auto"/>
        </w:rPr>
      </w:pPr>
      <w:r>
        <w:rPr>
          <w:rFonts w:hint="eastAsia"/>
          <w:color w:val="auto"/>
        </w:rPr>
        <w:t>检测内容应依据DB11/T 1164.7闸门及通行控制装置的功能要求逐项检测；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扇门运行时间检测</w:t>
      </w:r>
    </w:p>
    <w:p>
      <w:pPr>
        <w:pStyle w:val="60"/>
        <w:ind w:firstLine="420"/>
        <w:rPr>
          <w:color w:val="auto"/>
        </w:rPr>
      </w:pPr>
      <w:r>
        <w:rPr>
          <w:rFonts w:hint="eastAsia"/>
          <w:color w:val="auto"/>
        </w:rPr>
        <w:t>扇门运行时间检测要求如下：</w:t>
      </w:r>
    </w:p>
    <w:p>
      <w:pPr>
        <w:pStyle w:val="178"/>
        <w:numPr>
          <w:ilvl w:val="0"/>
          <w:numId w:val="176"/>
        </w:numPr>
        <w:rPr>
          <w:color w:val="auto"/>
        </w:rPr>
      </w:pPr>
      <w:r>
        <w:rPr>
          <w:rFonts w:hint="eastAsia"/>
          <w:color w:val="auto"/>
        </w:rPr>
        <w:t>检测内容为检测扇门运行时间应满足DB11/T 1164.7的规定；</w:t>
      </w:r>
    </w:p>
    <w:p>
      <w:pPr>
        <w:pStyle w:val="178"/>
        <w:rPr>
          <w:color w:val="auto"/>
        </w:rPr>
      </w:pPr>
      <w:r>
        <w:rPr>
          <w:rFonts w:hint="eastAsia"/>
          <w:color w:val="auto"/>
        </w:rPr>
        <w:t>检测内容要求如下：</w:t>
      </w:r>
    </w:p>
    <w:p>
      <w:pPr>
        <w:pStyle w:val="113"/>
        <w:numPr>
          <w:ilvl w:val="1"/>
          <w:numId w:val="177"/>
        </w:numPr>
        <w:rPr>
          <w:color w:val="auto"/>
        </w:rPr>
      </w:pPr>
      <w:r>
        <w:rPr>
          <w:rFonts w:hint="eastAsia"/>
          <w:color w:val="auto"/>
        </w:rPr>
        <w:t>扇门打开时间为向受检设备发出打开指令到门扇打开到位的间隔时间；</w:t>
      </w:r>
    </w:p>
    <w:p>
      <w:pPr>
        <w:pStyle w:val="113"/>
        <w:rPr>
          <w:color w:val="auto"/>
        </w:rPr>
      </w:pPr>
      <w:r>
        <w:rPr>
          <w:rFonts w:hint="eastAsia"/>
          <w:color w:val="auto"/>
        </w:rPr>
        <w:t>扇门打开时间检测方法应使用测试软件或仿真软件令向受检设备发出打开指令，检测到扇门打开到位后再重复进行10 次，记录总时间，计算平均每组的打开时间。</w:t>
      </w:r>
    </w:p>
    <w:p>
      <w:pPr>
        <w:pStyle w:val="98"/>
        <w:spacing w:before="156" w:after="156"/>
        <w:rPr>
          <w:color w:val="auto"/>
        </w:rPr>
      </w:pPr>
      <w:r>
        <w:rPr>
          <w:rFonts w:hint="eastAsia"/>
          <w:color w:val="auto"/>
        </w:rPr>
        <w:t>锁死力检测</w:t>
      </w:r>
    </w:p>
    <w:p>
      <w:pPr>
        <w:pStyle w:val="60"/>
        <w:ind w:firstLine="420"/>
        <w:rPr>
          <w:color w:val="auto"/>
        </w:rPr>
      </w:pPr>
      <w:r>
        <w:rPr>
          <w:rFonts w:hint="eastAsia"/>
          <w:color w:val="auto"/>
        </w:rPr>
        <w:t>锁死力检测要求如下：</w:t>
      </w:r>
    </w:p>
    <w:p>
      <w:pPr>
        <w:pStyle w:val="60"/>
        <w:numPr>
          <w:ilvl w:val="0"/>
          <w:numId w:val="178"/>
        </w:numPr>
        <w:ind w:firstLine="420"/>
        <w:rPr>
          <w:color w:val="auto"/>
        </w:rPr>
      </w:pPr>
      <w:r>
        <w:rPr>
          <w:rFonts w:hint="eastAsia"/>
          <w:color w:val="auto"/>
        </w:rPr>
        <w:t>检测内容为检测扇门的锁死力应满足DB11/T 1164.7的规定；</w:t>
      </w:r>
    </w:p>
    <w:p>
      <w:pPr>
        <w:pStyle w:val="60"/>
        <w:numPr>
          <w:ilvl w:val="0"/>
          <w:numId w:val="178"/>
        </w:numPr>
        <w:ind w:firstLine="420"/>
        <w:rPr>
          <w:color w:val="auto"/>
        </w:rPr>
      </w:pPr>
      <w:r>
        <w:rPr>
          <w:rFonts w:hint="eastAsia"/>
          <w:color w:val="auto"/>
        </w:rPr>
        <w:t>检测方法应使用拉力计向打开的扇门施加反向的力，直到扇门被强制打开。</w:t>
      </w:r>
    </w:p>
    <w:p>
      <w:pPr>
        <w:pStyle w:val="98"/>
        <w:spacing w:before="156" w:after="156"/>
        <w:rPr>
          <w:color w:val="auto"/>
        </w:rPr>
      </w:pPr>
      <w:r>
        <w:rPr>
          <w:rFonts w:hint="eastAsia"/>
          <w:color w:val="auto"/>
        </w:rPr>
        <w:t>最大动态冲击力检测</w:t>
      </w:r>
    </w:p>
    <w:p>
      <w:pPr>
        <w:pStyle w:val="60"/>
        <w:ind w:firstLine="420"/>
        <w:rPr>
          <w:color w:val="auto"/>
        </w:rPr>
      </w:pPr>
      <w:r>
        <w:rPr>
          <w:rFonts w:hint="eastAsia"/>
          <w:color w:val="auto"/>
        </w:rPr>
        <w:t>最大动态冲击力检测要求如下：</w:t>
      </w:r>
    </w:p>
    <w:p>
      <w:pPr>
        <w:pStyle w:val="178"/>
        <w:numPr>
          <w:ilvl w:val="0"/>
          <w:numId w:val="179"/>
        </w:numPr>
        <w:rPr>
          <w:color w:val="auto"/>
        </w:rPr>
      </w:pPr>
      <w:r>
        <w:rPr>
          <w:rFonts w:hint="eastAsia"/>
          <w:color w:val="auto"/>
        </w:rPr>
        <w:t>检测内容为检测扇门的最大动态冲击力应满足DB11/T 1164.7的规定；</w:t>
      </w:r>
    </w:p>
    <w:p>
      <w:pPr>
        <w:pStyle w:val="178"/>
        <w:rPr>
          <w:color w:val="auto"/>
        </w:rPr>
      </w:pPr>
      <w:r>
        <w:rPr>
          <w:rFonts w:hint="eastAsia"/>
          <w:color w:val="auto"/>
        </w:rPr>
        <w:t>检测方法应依据JG 305中第5.4章的试验方法进行检测。</w:t>
      </w:r>
    </w:p>
    <w:p>
      <w:pPr>
        <w:pStyle w:val="109"/>
        <w:spacing w:before="156" w:after="156"/>
        <w:rPr>
          <w:color w:val="auto"/>
        </w:rPr>
      </w:pPr>
      <w:bookmarkStart w:id="217" w:name="_Toc22903"/>
      <w:r>
        <w:rPr>
          <w:rFonts w:hint="eastAsia"/>
          <w:color w:val="auto"/>
        </w:rPr>
        <w:t>二维码模块检测</w:t>
      </w:r>
      <w:bookmarkEnd w:id="217"/>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80"/>
        </w:numPr>
        <w:rPr>
          <w:color w:val="auto"/>
        </w:rPr>
      </w:pPr>
      <w:r>
        <w:rPr>
          <w:rFonts w:hint="eastAsia"/>
          <w:color w:val="auto"/>
        </w:rPr>
        <w:t>检测内容应依据DB11/T 1164.7二维码模块的外观与结构要求逐项检测；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181"/>
        </w:numPr>
        <w:rPr>
          <w:color w:val="auto"/>
        </w:rPr>
      </w:pPr>
      <w:r>
        <w:rPr>
          <w:rFonts w:hint="eastAsia"/>
          <w:color w:val="auto"/>
        </w:rPr>
        <w:t>检测内容应依据DB11/T 1164.7二维码模块的硬件配置要求逐项检测；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182"/>
        </w:numPr>
        <w:rPr>
          <w:color w:val="auto"/>
        </w:rPr>
      </w:pPr>
      <w:r>
        <w:rPr>
          <w:rFonts w:hint="eastAsia"/>
          <w:color w:val="auto"/>
        </w:rPr>
        <w:t>检测内容应依据DB11/T 1164.7二维码模块的软件配置要求逐项检测；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183"/>
        </w:numPr>
        <w:rPr>
          <w:color w:val="auto"/>
        </w:rPr>
      </w:pPr>
      <w:r>
        <w:rPr>
          <w:rFonts w:hint="eastAsia"/>
          <w:color w:val="auto"/>
        </w:rPr>
        <w:t>检测内容应依据DB11/T 1164.7二维码模块的接口要求逐项检测；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84"/>
        </w:numPr>
        <w:rPr>
          <w:color w:val="auto"/>
        </w:rPr>
      </w:pPr>
      <w:r>
        <w:rPr>
          <w:rFonts w:hint="eastAsia"/>
          <w:color w:val="auto"/>
        </w:rPr>
        <w:t>检测内容应依据DB11/T 1164.7二维码模块的功能要求逐项检测；</w:t>
      </w:r>
    </w:p>
    <w:p>
      <w:pPr>
        <w:pStyle w:val="178"/>
        <w:rPr>
          <w:color w:val="auto"/>
        </w:rPr>
      </w:pPr>
      <w:r>
        <w:rPr>
          <w:rFonts w:hint="eastAsia"/>
          <w:color w:val="auto"/>
        </w:rPr>
        <w:t>检测方法应使用仿真工具进行检测。</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识读精度检测</w:t>
      </w:r>
    </w:p>
    <w:p>
      <w:pPr>
        <w:pStyle w:val="60"/>
        <w:ind w:firstLine="420"/>
        <w:rPr>
          <w:color w:val="auto"/>
        </w:rPr>
      </w:pPr>
      <w:r>
        <w:rPr>
          <w:rFonts w:hint="eastAsia"/>
          <w:color w:val="auto"/>
        </w:rPr>
        <w:t>识读精度检测要求如下：</w:t>
      </w:r>
    </w:p>
    <w:p>
      <w:pPr>
        <w:pStyle w:val="178"/>
        <w:numPr>
          <w:ilvl w:val="0"/>
          <w:numId w:val="185"/>
        </w:numPr>
        <w:rPr>
          <w:color w:val="auto"/>
        </w:rPr>
      </w:pPr>
      <w:r>
        <w:rPr>
          <w:rFonts w:hint="eastAsia"/>
          <w:color w:val="auto"/>
        </w:rPr>
        <w:t>检测内容应检测二维码模块的识读精度应满足DB11/T 1164.7的规定；</w:t>
      </w:r>
    </w:p>
    <w:p>
      <w:pPr>
        <w:pStyle w:val="178"/>
        <w:rPr>
          <w:color w:val="auto"/>
        </w:rPr>
      </w:pPr>
      <w:r>
        <w:rPr>
          <w:rFonts w:hint="eastAsia"/>
          <w:color w:val="auto"/>
        </w:rPr>
        <w:t>检测方法应使用物理尺寸为3.5cm、精度为20 mil二维码在离模块镜面垂直距离0～50 mm位置进行测试，模块能成功识读。</w:t>
      </w:r>
    </w:p>
    <w:p>
      <w:pPr>
        <w:pStyle w:val="98"/>
        <w:spacing w:before="156" w:after="156"/>
        <w:rPr>
          <w:color w:val="auto"/>
        </w:rPr>
      </w:pPr>
      <w:r>
        <w:rPr>
          <w:rFonts w:hint="eastAsia"/>
          <w:color w:val="auto"/>
        </w:rPr>
        <w:t>灵敏度检测</w:t>
      </w:r>
    </w:p>
    <w:p>
      <w:pPr>
        <w:pStyle w:val="60"/>
        <w:ind w:firstLine="420"/>
        <w:rPr>
          <w:color w:val="auto"/>
        </w:rPr>
      </w:pPr>
      <w:r>
        <w:rPr>
          <w:rFonts w:hint="eastAsia"/>
          <w:color w:val="auto"/>
        </w:rPr>
        <w:t>灵敏度检测要求如下：</w:t>
      </w:r>
    </w:p>
    <w:p>
      <w:pPr>
        <w:pStyle w:val="178"/>
        <w:numPr>
          <w:ilvl w:val="0"/>
          <w:numId w:val="186"/>
        </w:numPr>
        <w:rPr>
          <w:color w:val="auto"/>
        </w:rPr>
      </w:pPr>
      <w:r>
        <w:rPr>
          <w:rFonts w:hint="eastAsia"/>
          <w:color w:val="auto"/>
        </w:rPr>
        <w:t>检测内容应检测二维码模块的灵敏度应满足DB11/T 1164.7的规定；</w:t>
      </w:r>
    </w:p>
    <w:p>
      <w:pPr>
        <w:pStyle w:val="178"/>
        <w:rPr>
          <w:color w:val="auto"/>
        </w:rPr>
      </w:pPr>
      <w:r>
        <w:rPr>
          <w:rFonts w:hint="eastAsia"/>
          <w:color w:val="auto"/>
        </w:rPr>
        <w:t>检测方法应使用20 mil二维码在离模块镜面垂直距离50 mm位置进行倾斜、旋转、偏转扫码测试，模块能成功识读。</w:t>
      </w:r>
    </w:p>
    <w:p>
      <w:pPr>
        <w:pStyle w:val="98"/>
        <w:spacing w:before="156" w:after="156"/>
        <w:rPr>
          <w:color w:val="auto"/>
        </w:rPr>
      </w:pPr>
      <w:r>
        <w:rPr>
          <w:rFonts w:hint="eastAsia"/>
          <w:color w:val="auto"/>
        </w:rPr>
        <w:t>视场角度检测</w:t>
      </w:r>
    </w:p>
    <w:p>
      <w:pPr>
        <w:pStyle w:val="60"/>
        <w:ind w:firstLine="420"/>
        <w:rPr>
          <w:color w:val="auto"/>
        </w:rPr>
      </w:pPr>
      <w:r>
        <w:rPr>
          <w:rFonts w:hint="eastAsia"/>
          <w:color w:val="auto"/>
        </w:rPr>
        <w:t>视场角度检测要求如下：</w:t>
      </w:r>
    </w:p>
    <w:p>
      <w:pPr>
        <w:pStyle w:val="178"/>
        <w:numPr>
          <w:ilvl w:val="0"/>
          <w:numId w:val="187"/>
        </w:numPr>
        <w:rPr>
          <w:color w:val="auto"/>
        </w:rPr>
      </w:pPr>
      <w:r>
        <w:rPr>
          <w:rFonts w:hint="eastAsia"/>
          <w:color w:val="auto"/>
        </w:rPr>
        <w:t>检测内容应检测二维码模块的视场角度应满足DB11/T 1164.7的规定；</w:t>
      </w:r>
    </w:p>
    <w:p>
      <w:pPr>
        <w:pStyle w:val="178"/>
        <w:rPr>
          <w:color w:val="auto"/>
        </w:rPr>
      </w:pPr>
      <w:r>
        <w:rPr>
          <w:rFonts w:hint="eastAsia"/>
          <w:color w:val="auto"/>
        </w:rPr>
        <w:t>检测方法应使用20 mil二维码，按镜头角度测试方式确定的测量位置进行扫码测试，模块能成功识读。</w:t>
      </w:r>
    </w:p>
    <w:p>
      <w:pPr>
        <w:pStyle w:val="98"/>
        <w:spacing w:before="156" w:after="156"/>
        <w:rPr>
          <w:color w:val="auto"/>
        </w:rPr>
      </w:pPr>
      <w:r>
        <w:rPr>
          <w:rFonts w:hint="eastAsia"/>
          <w:color w:val="auto"/>
        </w:rPr>
        <w:t>识别高度检测</w:t>
      </w:r>
    </w:p>
    <w:p>
      <w:pPr>
        <w:pStyle w:val="60"/>
        <w:ind w:firstLine="420"/>
        <w:rPr>
          <w:color w:val="auto"/>
        </w:rPr>
      </w:pPr>
      <w:r>
        <w:rPr>
          <w:rFonts w:hint="eastAsia"/>
          <w:color w:val="auto"/>
        </w:rPr>
        <w:t>识别高度检测要求如下：</w:t>
      </w:r>
    </w:p>
    <w:p>
      <w:pPr>
        <w:pStyle w:val="178"/>
        <w:numPr>
          <w:ilvl w:val="0"/>
          <w:numId w:val="188"/>
        </w:numPr>
        <w:rPr>
          <w:color w:val="auto"/>
        </w:rPr>
      </w:pPr>
      <w:r>
        <w:rPr>
          <w:rFonts w:hint="eastAsia"/>
          <w:color w:val="auto"/>
        </w:rPr>
        <w:t>检测内容应检测二维码模块的识别高度应满足DB11/T 1164.7的规定；</w:t>
      </w:r>
    </w:p>
    <w:p>
      <w:pPr>
        <w:pStyle w:val="178"/>
        <w:rPr>
          <w:color w:val="auto"/>
        </w:rPr>
      </w:pPr>
      <w:r>
        <w:rPr>
          <w:rFonts w:hint="eastAsia"/>
          <w:color w:val="auto"/>
        </w:rPr>
        <w:t>检测方法应使用20 mil二维码在离模块镜面垂直距离大于等于0～50 mm位置进行扫码测试，模块能成功识读。</w:t>
      </w:r>
    </w:p>
    <w:p>
      <w:pPr>
        <w:pStyle w:val="98"/>
        <w:spacing w:before="156" w:after="156"/>
        <w:rPr>
          <w:color w:val="auto"/>
        </w:rPr>
      </w:pPr>
      <w:r>
        <w:rPr>
          <w:rFonts w:hint="eastAsia"/>
          <w:color w:val="auto"/>
        </w:rPr>
        <w:t>二维码模块识别速度检测</w:t>
      </w:r>
    </w:p>
    <w:p>
      <w:pPr>
        <w:pStyle w:val="60"/>
        <w:ind w:firstLine="420"/>
        <w:rPr>
          <w:color w:val="auto"/>
        </w:rPr>
      </w:pPr>
      <w:r>
        <w:rPr>
          <w:rFonts w:hint="eastAsia"/>
          <w:color w:val="auto"/>
        </w:rPr>
        <w:t>二维码模块识别速度检测要求如下：</w:t>
      </w:r>
    </w:p>
    <w:p>
      <w:pPr>
        <w:pStyle w:val="178"/>
        <w:numPr>
          <w:ilvl w:val="0"/>
          <w:numId w:val="189"/>
        </w:numPr>
        <w:rPr>
          <w:color w:val="auto"/>
        </w:rPr>
      </w:pPr>
      <w:r>
        <w:rPr>
          <w:rFonts w:hint="eastAsia"/>
          <w:color w:val="auto"/>
        </w:rPr>
        <w:t>检测内容为检测二维码模块对二维码的处理速度应满足DB11/T 1164.7的规定；</w:t>
      </w:r>
    </w:p>
    <w:p>
      <w:pPr>
        <w:pStyle w:val="178"/>
        <w:rPr>
          <w:color w:val="auto"/>
        </w:rPr>
      </w:pPr>
      <w:r>
        <w:rPr>
          <w:rFonts w:hint="eastAsia"/>
          <w:color w:val="auto"/>
        </w:rPr>
        <w:t>检测方法应使用应使用20 mil二维码连续扫码10 次，记录总时间，计算平均每个二维码识读时间。</w:t>
      </w:r>
    </w:p>
    <w:p>
      <w:pPr>
        <w:pStyle w:val="98"/>
        <w:spacing w:before="156" w:after="156"/>
        <w:rPr>
          <w:color w:val="auto"/>
        </w:rPr>
      </w:pPr>
      <w:r>
        <w:rPr>
          <w:rFonts w:hint="eastAsia"/>
          <w:color w:val="auto"/>
        </w:rPr>
        <w:t>环境照度检测</w:t>
      </w:r>
    </w:p>
    <w:p>
      <w:pPr>
        <w:pStyle w:val="60"/>
        <w:ind w:firstLine="420"/>
        <w:rPr>
          <w:color w:val="auto"/>
        </w:rPr>
      </w:pPr>
      <w:r>
        <w:rPr>
          <w:rFonts w:hint="eastAsia"/>
          <w:color w:val="auto"/>
        </w:rPr>
        <w:t>环境照度检测要求如下：</w:t>
      </w:r>
    </w:p>
    <w:p>
      <w:pPr>
        <w:pStyle w:val="178"/>
        <w:numPr>
          <w:ilvl w:val="0"/>
          <w:numId w:val="190"/>
        </w:numPr>
        <w:rPr>
          <w:color w:val="auto"/>
        </w:rPr>
      </w:pPr>
      <w:r>
        <w:rPr>
          <w:rFonts w:hint="eastAsia"/>
          <w:color w:val="auto"/>
        </w:rPr>
        <w:t>检测内容为检测环境照度应满足DB11/T 1164.7的规定；</w:t>
      </w:r>
    </w:p>
    <w:p>
      <w:pPr>
        <w:pStyle w:val="178"/>
        <w:rPr>
          <w:color w:val="auto"/>
        </w:rPr>
      </w:pPr>
      <w:r>
        <w:rPr>
          <w:rFonts w:hint="eastAsia"/>
          <w:color w:val="auto"/>
        </w:rPr>
        <w:t>检测方法应使用定制化检测工具进行检测。</w:t>
      </w:r>
    </w:p>
    <w:p>
      <w:pPr>
        <w:pStyle w:val="109"/>
        <w:spacing w:before="156" w:after="156"/>
        <w:rPr>
          <w:color w:val="auto"/>
        </w:rPr>
      </w:pPr>
      <w:bookmarkStart w:id="218" w:name="_Toc9794"/>
      <w:r>
        <w:rPr>
          <w:rFonts w:hint="eastAsia"/>
          <w:color w:val="auto"/>
        </w:rPr>
        <w:t>电源模块检测</w:t>
      </w:r>
      <w:bookmarkEnd w:id="218"/>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91"/>
        </w:numPr>
        <w:rPr>
          <w:color w:val="auto"/>
        </w:rPr>
      </w:pPr>
      <w:r>
        <w:rPr>
          <w:rFonts w:hint="eastAsia"/>
          <w:color w:val="auto"/>
        </w:rPr>
        <w:t>检测内容应依据DB11/T 1164.7电源模块的外观与结构要求逐项检测；</w:t>
      </w:r>
    </w:p>
    <w:p>
      <w:pPr>
        <w:pStyle w:val="178"/>
        <w:rPr>
          <w:color w:val="auto"/>
        </w:rPr>
      </w:pPr>
      <w:r>
        <w:rPr>
          <w:rFonts w:hint="eastAsia"/>
          <w:color w:val="auto"/>
        </w:rPr>
        <w:t>检测方法应使用测量、目测和触摸法进行检测。</w:t>
      </w:r>
    </w:p>
    <w:p>
      <w:pPr>
        <w:pStyle w:val="69"/>
        <w:spacing w:before="156" w:after="156"/>
        <w:rPr>
          <w:color w:val="auto"/>
        </w:rPr>
      </w:pPr>
      <w:r>
        <w:rPr>
          <w:rFonts w:hint="eastAsia"/>
          <w:color w:val="auto"/>
        </w:rPr>
        <w:t>标志标识检测</w:t>
      </w:r>
    </w:p>
    <w:p>
      <w:pPr>
        <w:pStyle w:val="60"/>
        <w:ind w:firstLine="420"/>
        <w:rPr>
          <w:color w:val="auto"/>
        </w:rPr>
      </w:pPr>
      <w:r>
        <w:rPr>
          <w:rFonts w:hint="eastAsia"/>
          <w:color w:val="auto"/>
        </w:rPr>
        <w:t>标志标识检测要求如下：</w:t>
      </w:r>
    </w:p>
    <w:p>
      <w:pPr>
        <w:pStyle w:val="178"/>
        <w:numPr>
          <w:ilvl w:val="0"/>
          <w:numId w:val="192"/>
        </w:numPr>
        <w:rPr>
          <w:color w:val="auto"/>
        </w:rPr>
      </w:pPr>
      <w:r>
        <w:rPr>
          <w:rFonts w:hint="eastAsia"/>
          <w:color w:val="auto"/>
        </w:rPr>
        <w:t>检测内容应依据DB11/T 1164.7电源模块的标志标识要求逐项检测；</w:t>
      </w:r>
    </w:p>
    <w:p>
      <w:pPr>
        <w:pStyle w:val="178"/>
        <w:rPr>
          <w:color w:val="auto"/>
        </w:rPr>
      </w:pPr>
      <w:r>
        <w:rPr>
          <w:rFonts w:hint="eastAsia"/>
          <w:color w:val="auto"/>
        </w:rPr>
        <w:t>检测方法应使用目测、胶带粘贴法进行测量。</w:t>
      </w:r>
    </w:p>
    <w:p>
      <w:pPr>
        <w:pStyle w:val="109"/>
        <w:spacing w:before="156" w:after="156"/>
        <w:rPr>
          <w:color w:val="auto"/>
        </w:rPr>
      </w:pPr>
      <w:bookmarkStart w:id="219" w:name="_Toc27283"/>
      <w:r>
        <w:rPr>
          <w:rFonts w:hint="eastAsia"/>
          <w:color w:val="auto"/>
        </w:rPr>
        <w:t>主控单元检测</w:t>
      </w:r>
      <w:bookmarkEnd w:id="219"/>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193"/>
        </w:numPr>
        <w:rPr>
          <w:color w:val="auto"/>
        </w:rPr>
      </w:pPr>
      <w:r>
        <w:rPr>
          <w:rFonts w:hint="eastAsia"/>
          <w:color w:val="auto"/>
        </w:rPr>
        <w:t>检测内容应依据DB11/T 1164.7主控单元的外观与结构要求逐项检测；</w:t>
      </w:r>
    </w:p>
    <w:p>
      <w:pPr>
        <w:pStyle w:val="178"/>
        <w:rPr>
          <w:color w:val="auto"/>
        </w:rPr>
      </w:pPr>
      <w:r>
        <w:rPr>
          <w:rFonts w:hint="eastAsia"/>
          <w:color w:val="auto"/>
        </w:rPr>
        <w:t>检测方法应使用测量、目测及触摸法进行测量。</w:t>
      </w:r>
    </w:p>
    <w:p>
      <w:pPr>
        <w:pStyle w:val="69"/>
        <w:spacing w:before="156" w:after="156"/>
        <w:rPr>
          <w:color w:val="auto"/>
        </w:rPr>
      </w:pPr>
      <w:r>
        <w:rPr>
          <w:rFonts w:hint="eastAsia"/>
          <w:color w:val="auto"/>
        </w:rPr>
        <w:t>配置要求检测</w:t>
      </w:r>
    </w:p>
    <w:p>
      <w:pPr>
        <w:pStyle w:val="60"/>
        <w:ind w:firstLine="420"/>
        <w:rPr>
          <w:color w:val="auto"/>
        </w:rPr>
      </w:pPr>
      <w:r>
        <w:rPr>
          <w:rFonts w:hint="eastAsia"/>
          <w:color w:val="auto"/>
        </w:rPr>
        <w:t>配置要求检测要求如下：</w:t>
      </w:r>
    </w:p>
    <w:p>
      <w:pPr>
        <w:pStyle w:val="178"/>
        <w:numPr>
          <w:ilvl w:val="0"/>
          <w:numId w:val="194"/>
        </w:numPr>
        <w:rPr>
          <w:color w:val="auto"/>
        </w:rPr>
      </w:pPr>
      <w:r>
        <w:rPr>
          <w:rFonts w:hint="eastAsia"/>
          <w:color w:val="auto"/>
        </w:rPr>
        <w:t>检测内容应依据DB11/T 1164.7主控单元的配置要求逐项检测；</w:t>
      </w:r>
    </w:p>
    <w:p>
      <w:pPr>
        <w:pStyle w:val="178"/>
        <w:rPr>
          <w:color w:val="auto"/>
        </w:rPr>
      </w:pPr>
      <w:r>
        <w:rPr>
          <w:rFonts w:hint="eastAsia"/>
          <w:color w:val="auto"/>
        </w:rPr>
        <w:t>检测方法应对照配置清单逐条进行核对。</w:t>
      </w:r>
    </w:p>
    <w:p>
      <w:pPr>
        <w:pStyle w:val="69"/>
        <w:spacing w:before="156" w:after="156"/>
        <w:rPr>
          <w:color w:val="auto"/>
        </w:rPr>
      </w:pPr>
      <w:r>
        <w:rPr>
          <w:rFonts w:hint="eastAsia"/>
          <w:color w:val="auto"/>
        </w:rPr>
        <w:t>功能检测</w:t>
      </w:r>
    </w:p>
    <w:p>
      <w:pPr>
        <w:pStyle w:val="60"/>
        <w:ind w:firstLine="420"/>
        <w:rPr>
          <w:color w:val="auto"/>
        </w:rPr>
      </w:pPr>
      <w:r>
        <w:rPr>
          <w:rFonts w:hint="eastAsia"/>
          <w:color w:val="auto"/>
        </w:rPr>
        <w:t>功能检测要求如下</w:t>
      </w:r>
    </w:p>
    <w:p>
      <w:pPr>
        <w:pStyle w:val="178"/>
        <w:numPr>
          <w:ilvl w:val="0"/>
          <w:numId w:val="195"/>
        </w:numPr>
        <w:rPr>
          <w:color w:val="auto"/>
        </w:rPr>
      </w:pPr>
      <w:r>
        <w:rPr>
          <w:rFonts w:hint="eastAsia"/>
          <w:color w:val="auto"/>
        </w:rPr>
        <w:t>检测内容应依据DB11/T 1164.7主控单元的功能要求逐项检测；</w:t>
      </w:r>
    </w:p>
    <w:p>
      <w:pPr>
        <w:pStyle w:val="178"/>
        <w:rPr>
          <w:color w:val="auto"/>
        </w:rPr>
      </w:pPr>
      <w:r>
        <w:rPr>
          <w:rFonts w:hint="eastAsia"/>
          <w:color w:val="auto"/>
        </w:rPr>
        <w:t>检测方法应使用仿真工具进行检测。</w:t>
      </w:r>
    </w:p>
    <w:p>
      <w:pPr>
        <w:pStyle w:val="108"/>
        <w:spacing w:before="312" w:after="312"/>
        <w:rPr>
          <w:color w:val="auto"/>
        </w:rPr>
      </w:pPr>
      <w:bookmarkStart w:id="220" w:name="_Toc331436404"/>
      <w:bookmarkEnd w:id="220"/>
      <w:bookmarkStart w:id="221" w:name="_Toc332829351"/>
      <w:bookmarkEnd w:id="221"/>
      <w:bookmarkStart w:id="222" w:name="_Toc330802404"/>
      <w:bookmarkEnd w:id="222"/>
      <w:bookmarkStart w:id="223" w:name="_Toc332391455"/>
      <w:bookmarkEnd w:id="223"/>
      <w:bookmarkStart w:id="224" w:name="_Toc322562829"/>
      <w:bookmarkEnd w:id="224"/>
      <w:bookmarkStart w:id="225" w:name="_Toc58340976"/>
      <w:bookmarkStart w:id="226" w:name="_Toc11959"/>
      <w:r>
        <w:rPr>
          <w:rFonts w:hint="eastAsia"/>
          <w:color w:val="auto"/>
        </w:rPr>
        <w:t>终端</w:t>
      </w:r>
      <w:bookmarkEnd w:id="225"/>
      <w:r>
        <w:rPr>
          <w:rFonts w:hint="eastAsia"/>
          <w:color w:val="auto"/>
        </w:rPr>
        <w:t>检测</w:t>
      </w:r>
      <w:bookmarkEnd w:id="226"/>
    </w:p>
    <w:p>
      <w:pPr>
        <w:pStyle w:val="109"/>
        <w:spacing w:before="156" w:after="156"/>
        <w:rPr>
          <w:color w:val="auto"/>
        </w:rPr>
      </w:pPr>
      <w:bookmarkStart w:id="227" w:name="_Toc332391456"/>
      <w:bookmarkEnd w:id="227"/>
      <w:bookmarkStart w:id="228" w:name="_Toc330802405"/>
      <w:bookmarkEnd w:id="228"/>
      <w:bookmarkStart w:id="229" w:name="_Toc322562830"/>
      <w:bookmarkEnd w:id="229"/>
      <w:bookmarkStart w:id="230" w:name="_Toc58340977"/>
      <w:bookmarkEnd w:id="230"/>
      <w:bookmarkStart w:id="231" w:name="_Toc332829352"/>
      <w:bookmarkEnd w:id="231"/>
      <w:bookmarkStart w:id="232" w:name="_Toc331436405"/>
      <w:bookmarkStart w:id="233" w:name="_Toc15217"/>
      <w:r>
        <w:rPr>
          <w:rFonts w:hint="eastAsia"/>
          <w:color w:val="auto"/>
        </w:rPr>
        <w:t>检测环境条件</w:t>
      </w:r>
      <w:bookmarkEnd w:id="232"/>
      <w:bookmarkEnd w:id="233"/>
    </w:p>
    <w:p>
      <w:pPr>
        <w:pStyle w:val="60"/>
        <w:ind w:firstLine="420"/>
        <w:rPr>
          <w:color w:val="auto"/>
        </w:rPr>
      </w:pPr>
      <w:r>
        <w:rPr>
          <w:rFonts w:hint="eastAsia"/>
          <w:color w:val="auto"/>
        </w:rPr>
        <w:t>除温湿环境适应性、可靠性和电源适应性检测外，本章其它检测方法在下述正常条件下进行，具体要求如下：</w:t>
      </w:r>
    </w:p>
    <w:p>
      <w:pPr>
        <w:pStyle w:val="178"/>
        <w:numPr>
          <w:ilvl w:val="0"/>
          <w:numId w:val="196"/>
        </w:numPr>
        <w:rPr>
          <w:color w:val="auto"/>
        </w:rPr>
      </w:pPr>
      <w:r>
        <w:rPr>
          <w:rFonts w:hint="eastAsia"/>
          <w:color w:val="auto"/>
        </w:rPr>
        <w:t>温度应为15℃～35℃；</w:t>
      </w:r>
    </w:p>
    <w:p>
      <w:pPr>
        <w:pStyle w:val="178"/>
        <w:rPr>
          <w:color w:val="auto"/>
        </w:rPr>
      </w:pPr>
      <w:r>
        <w:rPr>
          <w:rFonts w:hint="eastAsia"/>
          <w:color w:val="auto"/>
        </w:rPr>
        <w:t>湿度应为45%RH～75%RH；</w:t>
      </w:r>
    </w:p>
    <w:p>
      <w:pPr>
        <w:pStyle w:val="178"/>
        <w:rPr>
          <w:color w:val="auto"/>
        </w:rPr>
      </w:pPr>
      <w:r>
        <w:rPr>
          <w:rFonts w:hint="eastAsia"/>
          <w:color w:val="auto"/>
        </w:rPr>
        <w:t>大气压应为86 KPa～106 KPa。</w:t>
      </w:r>
    </w:p>
    <w:p>
      <w:pPr>
        <w:pStyle w:val="109"/>
        <w:spacing w:before="156" w:after="156"/>
        <w:rPr>
          <w:color w:val="auto"/>
        </w:rPr>
      </w:pPr>
      <w:bookmarkStart w:id="234" w:name="_Toc332829353"/>
      <w:bookmarkEnd w:id="234"/>
      <w:bookmarkStart w:id="235" w:name="_Toc330802406"/>
      <w:bookmarkEnd w:id="235"/>
      <w:bookmarkStart w:id="236" w:name="_Toc331436406"/>
      <w:bookmarkEnd w:id="236"/>
      <w:bookmarkStart w:id="237" w:name="_Toc322562831"/>
      <w:bookmarkEnd w:id="237"/>
      <w:bookmarkStart w:id="238" w:name="_Toc58340978"/>
      <w:bookmarkEnd w:id="238"/>
      <w:bookmarkStart w:id="239" w:name="_Toc332391457"/>
      <w:bookmarkStart w:id="240" w:name="_Toc9343"/>
      <w:r>
        <w:rPr>
          <w:rFonts w:hint="eastAsia"/>
          <w:color w:val="auto"/>
        </w:rPr>
        <w:t>自动售票机</w:t>
      </w:r>
      <w:bookmarkEnd w:id="239"/>
      <w:r>
        <w:rPr>
          <w:rFonts w:hint="eastAsia"/>
          <w:color w:val="auto"/>
        </w:rPr>
        <w:t>检测</w:t>
      </w:r>
      <w:bookmarkEnd w:id="240"/>
    </w:p>
    <w:p>
      <w:pPr>
        <w:pStyle w:val="69"/>
        <w:spacing w:before="156" w:after="156"/>
        <w:rPr>
          <w:color w:val="auto"/>
        </w:rPr>
      </w:pPr>
      <w:bookmarkStart w:id="241" w:name="_Toc332391458"/>
      <w:bookmarkEnd w:id="241"/>
      <w:bookmarkStart w:id="242" w:name="_Toc332829354"/>
      <w:r>
        <w:rPr>
          <w:rFonts w:hint="eastAsia"/>
          <w:color w:val="auto"/>
        </w:rPr>
        <w:t>外观与结构检测</w:t>
      </w:r>
      <w:bookmarkEnd w:id="242"/>
    </w:p>
    <w:p>
      <w:pPr>
        <w:pStyle w:val="60"/>
        <w:ind w:firstLine="420"/>
        <w:rPr>
          <w:color w:val="auto"/>
        </w:rPr>
      </w:pPr>
      <w:r>
        <w:rPr>
          <w:rFonts w:hint="eastAsia"/>
          <w:color w:val="auto"/>
        </w:rPr>
        <w:t>外观与结构检测要求如下：</w:t>
      </w:r>
    </w:p>
    <w:p>
      <w:pPr>
        <w:pStyle w:val="178"/>
        <w:numPr>
          <w:ilvl w:val="0"/>
          <w:numId w:val="197"/>
        </w:numPr>
        <w:rPr>
          <w:color w:val="auto"/>
        </w:rPr>
      </w:pPr>
      <w:r>
        <w:rPr>
          <w:rFonts w:hint="eastAsia"/>
          <w:color w:val="auto"/>
        </w:rPr>
        <w:t>检测内容应依据DB11/T 1164.7自动售票机的外观与结构要求逐项检测；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bookmarkStart w:id="243" w:name="_Toc331436408"/>
      <w:bookmarkEnd w:id="243"/>
      <w:bookmarkStart w:id="244" w:name="_Toc332391459"/>
      <w:bookmarkEnd w:id="244"/>
      <w:bookmarkStart w:id="245" w:name="_Toc330802408"/>
      <w:bookmarkEnd w:id="245"/>
      <w:bookmarkStart w:id="246" w:name="_Toc322562833"/>
      <w:bookmarkEnd w:id="246"/>
      <w:bookmarkStart w:id="247" w:name="_Toc332829355"/>
      <w:r>
        <w:rPr>
          <w:rFonts w:hint="eastAsia"/>
          <w:color w:val="auto"/>
        </w:rPr>
        <w:t>装配检测</w:t>
      </w:r>
      <w:bookmarkEnd w:id="247"/>
    </w:p>
    <w:p>
      <w:pPr>
        <w:pStyle w:val="60"/>
        <w:ind w:firstLine="420"/>
        <w:rPr>
          <w:color w:val="auto"/>
        </w:rPr>
      </w:pPr>
      <w:r>
        <w:rPr>
          <w:rFonts w:hint="eastAsia"/>
          <w:color w:val="auto"/>
        </w:rPr>
        <w:t>装配检测要求如下：</w:t>
      </w:r>
    </w:p>
    <w:p>
      <w:pPr>
        <w:pStyle w:val="178"/>
        <w:numPr>
          <w:ilvl w:val="0"/>
          <w:numId w:val="198"/>
        </w:numPr>
        <w:rPr>
          <w:color w:val="auto"/>
        </w:rPr>
      </w:pPr>
      <w:r>
        <w:rPr>
          <w:rFonts w:hint="eastAsia"/>
          <w:color w:val="auto"/>
        </w:rPr>
        <w:t>检测内容应依据DB11/T 1164.7自动售票机的装配要求逐项检测；</w:t>
      </w:r>
    </w:p>
    <w:p>
      <w:pPr>
        <w:pStyle w:val="178"/>
        <w:rPr>
          <w:color w:val="auto"/>
        </w:rPr>
      </w:pPr>
      <w:r>
        <w:rPr>
          <w:rFonts w:hint="eastAsia"/>
          <w:color w:val="auto"/>
        </w:rPr>
        <w:t>检测方法应</w:t>
      </w:r>
      <w:r>
        <w:rPr>
          <w:rFonts w:hint="eastAsia"/>
          <w:bCs/>
          <w:color w:val="auto"/>
        </w:rPr>
        <w:t>使用目测的方法进行检测。</w:t>
      </w:r>
    </w:p>
    <w:p>
      <w:pPr>
        <w:pStyle w:val="69"/>
        <w:spacing w:before="156" w:after="156"/>
        <w:rPr>
          <w:color w:val="auto"/>
        </w:rPr>
      </w:pPr>
      <w:bookmarkStart w:id="248" w:name="_Toc332391460"/>
      <w:bookmarkEnd w:id="248"/>
      <w:bookmarkStart w:id="249" w:name="_Toc330802409"/>
      <w:bookmarkEnd w:id="249"/>
      <w:bookmarkStart w:id="250" w:name="_Toc331436409"/>
      <w:bookmarkEnd w:id="250"/>
      <w:bookmarkStart w:id="251" w:name="_Toc322562834"/>
      <w:bookmarkEnd w:id="251"/>
      <w:bookmarkStart w:id="252" w:name="_Toc332829356"/>
      <w:r>
        <w:rPr>
          <w:rFonts w:hint="eastAsia"/>
          <w:color w:val="auto"/>
        </w:rPr>
        <w:t>配置检测</w:t>
      </w:r>
      <w:bookmarkEnd w:id="252"/>
    </w:p>
    <w:p>
      <w:pPr>
        <w:pStyle w:val="98"/>
        <w:spacing w:before="156" w:after="156"/>
        <w:rPr>
          <w:color w:val="auto"/>
        </w:rPr>
      </w:pPr>
      <w:bookmarkStart w:id="253" w:name="_Toc332829357"/>
      <w:bookmarkEnd w:id="253"/>
      <w:bookmarkStart w:id="254" w:name="_Toc331436410"/>
      <w:bookmarkEnd w:id="254"/>
      <w:bookmarkStart w:id="255" w:name="_Toc330802410"/>
      <w:bookmarkEnd w:id="255"/>
      <w:bookmarkStart w:id="256" w:name="_Toc332391461"/>
      <w:r>
        <w:rPr>
          <w:rFonts w:hint="eastAsia"/>
          <w:color w:val="auto"/>
        </w:rPr>
        <w:t>硬件配置检测</w:t>
      </w:r>
    </w:p>
    <w:p>
      <w:pPr>
        <w:pStyle w:val="60"/>
        <w:ind w:firstLine="420"/>
        <w:rPr>
          <w:color w:val="auto"/>
        </w:rPr>
      </w:pPr>
      <w:r>
        <w:rPr>
          <w:rFonts w:hint="eastAsia"/>
          <w:color w:val="auto"/>
        </w:rPr>
        <w:t>硬件配置检测</w:t>
      </w:r>
      <w:bookmarkEnd w:id="256"/>
      <w:r>
        <w:rPr>
          <w:rFonts w:hint="eastAsia"/>
          <w:color w:val="auto"/>
        </w:rPr>
        <w:t>要求如下：</w:t>
      </w:r>
    </w:p>
    <w:p>
      <w:pPr>
        <w:pStyle w:val="178"/>
        <w:numPr>
          <w:ilvl w:val="0"/>
          <w:numId w:val="199"/>
        </w:numPr>
        <w:rPr>
          <w:color w:val="auto"/>
        </w:rPr>
      </w:pPr>
      <w:r>
        <w:rPr>
          <w:rFonts w:hint="eastAsia"/>
          <w:color w:val="auto"/>
        </w:rPr>
        <w:t>检测内容应依据DB11/T 1164.7自动售票机的硬件配置要求逐项检测；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257" w:name="_Toc332829358"/>
      <w:bookmarkEnd w:id="257"/>
      <w:bookmarkStart w:id="258" w:name="_Toc330802411"/>
      <w:bookmarkEnd w:id="258"/>
      <w:bookmarkStart w:id="259" w:name="_Toc332391462"/>
      <w:bookmarkEnd w:id="259"/>
      <w:bookmarkStart w:id="260" w:name="_Toc331436411"/>
      <w:r>
        <w:rPr>
          <w:rFonts w:hint="eastAsia"/>
          <w:color w:val="auto"/>
        </w:rPr>
        <w:t>软件配置检测</w:t>
      </w:r>
    </w:p>
    <w:p>
      <w:pPr>
        <w:pStyle w:val="60"/>
        <w:ind w:firstLine="420"/>
        <w:rPr>
          <w:color w:val="auto"/>
        </w:rPr>
      </w:pPr>
      <w:r>
        <w:rPr>
          <w:rFonts w:hint="eastAsia"/>
          <w:color w:val="auto"/>
        </w:rPr>
        <w:t>软件配置检测</w:t>
      </w:r>
      <w:bookmarkEnd w:id="260"/>
      <w:r>
        <w:rPr>
          <w:rFonts w:hint="eastAsia"/>
          <w:color w:val="auto"/>
        </w:rPr>
        <w:t>要求如下：</w:t>
      </w:r>
    </w:p>
    <w:p>
      <w:pPr>
        <w:pStyle w:val="178"/>
        <w:numPr>
          <w:ilvl w:val="0"/>
          <w:numId w:val="200"/>
        </w:numPr>
        <w:rPr>
          <w:color w:val="auto"/>
        </w:rPr>
      </w:pPr>
      <w:r>
        <w:rPr>
          <w:rFonts w:hint="eastAsia"/>
          <w:color w:val="auto"/>
        </w:rPr>
        <w:t>检测内容应依据DB11/T 1164.7自动售票机的软件件配置要求逐项检测；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261" w:name="_Toc332391463"/>
      <w:bookmarkEnd w:id="261"/>
      <w:bookmarkStart w:id="262" w:name="_Toc331436412"/>
      <w:bookmarkEnd w:id="262"/>
      <w:bookmarkStart w:id="263" w:name="_Toc332829359"/>
      <w:bookmarkEnd w:id="263"/>
      <w:bookmarkStart w:id="264" w:name="_Toc330802412"/>
      <w:r>
        <w:rPr>
          <w:rFonts w:hint="eastAsia"/>
          <w:color w:val="auto"/>
        </w:rPr>
        <w:t>接口检测</w:t>
      </w:r>
    </w:p>
    <w:p>
      <w:pPr>
        <w:pStyle w:val="60"/>
        <w:ind w:firstLine="420"/>
        <w:rPr>
          <w:color w:val="auto"/>
        </w:rPr>
      </w:pPr>
      <w:r>
        <w:rPr>
          <w:rFonts w:hint="eastAsia"/>
          <w:color w:val="auto"/>
        </w:rPr>
        <w:t>接口检测</w:t>
      </w:r>
      <w:bookmarkEnd w:id="264"/>
      <w:r>
        <w:rPr>
          <w:rFonts w:hint="eastAsia"/>
          <w:color w:val="auto"/>
        </w:rPr>
        <w:t>要求如下：</w:t>
      </w:r>
    </w:p>
    <w:p>
      <w:pPr>
        <w:pStyle w:val="178"/>
        <w:numPr>
          <w:ilvl w:val="0"/>
          <w:numId w:val="201"/>
        </w:numPr>
        <w:rPr>
          <w:color w:val="auto"/>
        </w:rPr>
      </w:pPr>
      <w:r>
        <w:rPr>
          <w:rFonts w:hint="eastAsia"/>
          <w:color w:val="auto"/>
        </w:rPr>
        <w:t>检测内容应依据DB11/T 1164.7自动售票机的接口要求逐项检测；</w:t>
      </w:r>
    </w:p>
    <w:p>
      <w:pPr>
        <w:pStyle w:val="178"/>
        <w:rPr>
          <w:color w:val="auto"/>
        </w:rPr>
      </w:pPr>
      <w:r>
        <w:rPr>
          <w:rFonts w:hint="eastAsia"/>
          <w:color w:val="auto"/>
        </w:rPr>
        <w:t>检测方法应使用仿真系统/仿真工具模拟中心系统/专用模块进行检测。</w:t>
      </w:r>
    </w:p>
    <w:p>
      <w:pPr>
        <w:pStyle w:val="69"/>
        <w:spacing w:before="156" w:after="156"/>
        <w:rPr>
          <w:color w:val="auto"/>
        </w:rPr>
      </w:pPr>
      <w:bookmarkStart w:id="265" w:name="_Toc332829360"/>
      <w:bookmarkEnd w:id="265"/>
      <w:bookmarkStart w:id="266" w:name="_Toc331436413"/>
      <w:bookmarkEnd w:id="266"/>
      <w:bookmarkStart w:id="267" w:name="_Toc322562835"/>
      <w:bookmarkEnd w:id="267"/>
      <w:bookmarkStart w:id="268" w:name="_Toc330802413"/>
      <w:bookmarkEnd w:id="268"/>
      <w:bookmarkStart w:id="269" w:name="_Toc332391464"/>
      <w:r>
        <w:rPr>
          <w:rFonts w:hint="eastAsia"/>
          <w:color w:val="auto"/>
        </w:rPr>
        <w:t>功能检测</w:t>
      </w:r>
      <w:bookmarkEnd w:id="269"/>
    </w:p>
    <w:p>
      <w:pPr>
        <w:pStyle w:val="98"/>
        <w:spacing w:before="156" w:after="156"/>
        <w:rPr>
          <w:color w:val="auto"/>
        </w:rPr>
      </w:pPr>
      <w:bookmarkStart w:id="270" w:name="_Toc332391465"/>
      <w:bookmarkEnd w:id="270"/>
      <w:bookmarkStart w:id="271" w:name="_Toc332829361"/>
      <w:r>
        <w:rPr>
          <w:rFonts w:hint="eastAsia"/>
          <w:color w:val="auto"/>
        </w:rPr>
        <w:t>售票检测</w:t>
      </w:r>
    </w:p>
    <w:p>
      <w:pPr>
        <w:pStyle w:val="60"/>
        <w:ind w:firstLine="420"/>
        <w:rPr>
          <w:color w:val="auto"/>
        </w:rPr>
      </w:pPr>
      <w:r>
        <w:rPr>
          <w:rFonts w:hint="eastAsia"/>
          <w:color w:val="auto"/>
        </w:rPr>
        <w:t>售票</w:t>
      </w:r>
      <w:bookmarkEnd w:id="271"/>
      <w:r>
        <w:rPr>
          <w:rFonts w:hint="eastAsia"/>
          <w:color w:val="auto"/>
        </w:rPr>
        <w:t>检测要求如下：</w:t>
      </w:r>
    </w:p>
    <w:p>
      <w:pPr>
        <w:pStyle w:val="178"/>
        <w:numPr>
          <w:ilvl w:val="0"/>
          <w:numId w:val="202"/>
        </w:numPr>
        <w:rPr>
          <w:color w:val="auto"/>
        </w:rPr>
      </w:pPr>
      <w:r>
        <w:rPr>
          <w:rFonts w:hint="eastAsia"/>
          <w:color w:val="auto"/>
        </w:rPr>
        <w:t>检测内容应依据DB11/T 1164.1中TVM业务处理中售票业务的要求逐项检测；</w:t>
      </w:r>
    </w:p>
    <w:p>
      <w:pPr>
        <w:pStyle w:val="178"/>
        <w:rPr>
          <w:color w:val="auto"/>
        </w:rPr>
      </w:pPr>
      <w:r>
        <w:rPr>
          <w:rFonts w:hint="eastAsia"/>
          <w:color w:val="auto"/>
        </w:rPr>
        <w:t>检测方法应在受检TVM上发售一票通发行的单程票，通过仿真中心系统的记录检测受检TVM产生售票数据的正确性。</w:t>
      </w:r>
    </w:p>
    <w:p>
      <w:pPr>
        <w:pStyle w:val="98"/>
        <w:spacing w:before="156" w:after="156"/>
        <w:rPr>
          <w:color w:val="auto"/>
        </w:rPr>
      </w:pPr>
      <w:bookmarkStart w:id="272" w:name="_Toc332391466"/>
      <w:bookmarkEnd w:id="272"/>
      <w:bookmarkStart w:id="273" w:name="_Toc332829362"/>
      <w:r>
        <w:rPr>
          <w:rFonts w:hint="eastAsia"/>
          <w:color w:val="auto"/>
        </w:rPr>
        <w:t>充值检测</w:t>
      </w:r>
    </w:p>
    <w:p>
      <w:pPr>
        <w:pStyle w:val="60"/>
        <w:ind w:firstLine="420"/>
        <w:rPr>
          <w:color w:val="auto"/>
        </w:rPr>
      </w:pPr>
      <w:r>
        <w:rPr>
          <w:rFonts w:hint="eastAsia"/>
          <w:color w:val="auto"/>
        </w:rPr>
        <w:t>充值</w:t>
      </w:r>
      <w:bookmarkEnd w:id="273"/>
      <w:r>
        <w:rPr>
          <w:rFonts w:hint="eastAsia"/>
          <w:color w:val="auto"/>
        </w:rPr>
        <w:t>检测要求如下：</w:t>
      </w:r>
    </w:p>
    <w:p>
      <w:pPr>
        <w:pStyle w:val="178"/>
        <w:numPr>
          <w:ilvl w:val="0"/>
          <w:numId w:val="203"/>
        </w:numPr>
        <w:rPr>
          <w:color w:val="auto"/>
        </w:rPr>
      </w:pPr>
      <w:r>
        <w:rPr>
          <w:rFonts w:hint="eastAsia"/>
          <w:color w:val="auto"/>
        </w:rPr>
        <w:t>检测内容应依据DB11/T 1164.1中TVM业务处理中充值业务的要求逐项检测；</w:t>
      </w:r>
    </w:p>
    <w:p>
      <w:pPr>
        <w:pStyle w:val="178"/>
        <w:rPr>
          <w:color w:val="auto"/>
        </w:rPr>
      </w:pPr>
      <w:r>
        <w:rPr>
          <w:rFonts w:hint="eastAsia"/>
          <w:color w:val="auto"/>
        </w:rPr>
        <w:t>检测方法应在受检TVM上对一卡通发行的允许充值的一卡通卡进行充值操作，通过仿真中心系统的记录检测受检TVM产生充值数据的正确性。</w:t>
      </w:r>
    </w:p>
    <w:p>
      <w:pPr>
        <w:pStyle w:val="98"/>
        <w:spacing w:before="156" w:after="156"/>
        <w:rPr>
          <w:color w:val="auto"/>
        </w:rPr>
      </w:pPr>
      <w:bookmarkStart w:id="274" w:name="_Toc332829363"/>
      <w:bookmarkEnd w:id="274"/>
      <w:r>
        <w:rPr>
          <w:rFonts w:hint="eastAsia"/>
          <w:color w:val="auto"/>
        </w:rPr>
        <w:t>故障交易检测</w:t>
      </w:r>
    </w:p>
    <w:p>
      <w:pPr>
        <w:pStyle w:val="60"/>
        <w:ind w:firstLine="420"/>
        <w:rPr>
          <w:color w:val="auto"/>
        </w:rPr>
      </w:pPr>
      <w:r>
        <w:rPr>
          <w:rFonts w:hint="eastAsia"/>
          <w:color w:val="auto"/>
        </w:rPr>
        <w:t>故障交易检测要求如下：</w:t>
      </w:r>
    </w:p>
    <w:p>
      <w:pPr>
        <w:pStyle w:val="178"/>
        <w:numPr>
          <w:ilvl w:val="0"/>
          <w:numId w:val="204"/>
        </w:numPr>
        <w:rPr>
          <w:color w:val="auto"/>
        </w:rPr>
      </w:pPr>
      <w:r>
        <w:rPr>
          <w:rFonts w:hint="eastAsia"/>
          <w:color w:val="auto"/>
        </w:rPr>
        <w:t>检测内容应依据DB11/T 1164.1中TVM故障交易的要求逐项检测；</w:t>
      </w:r>
    </w:p>
    <w:p>
      <w:pPr>
        <w:pStyle w:val="178"/>
        <w:rPr>
          <w:color w:val="auto"/>
        </w:rPr>
      </w:pPr>
      <w:r>
        <w:rPr>
          <w:rFonts w:hint="eastAsia"/>
          <w:color w:val="auto"/>
        </w:rPr>
        <w:t>检测方法应通过手动或设置受检TVM产生故障交易，检测受检TVM的处理应符合DB11/T 1164.1、DB11/T 1164.2和DB11/T 1164.3中有关TVM故障交易的规定。</w:t>
      </w:r>
    </w:p>
    <w:p>
      <w:pPr>
        <w:pStyle w:val="98"/>
        <w:spacing w:before="156" w:after="156"/>
        <w:rPr>
          <w:color w:val="auto"/>
        </w:rPr>
      </w:pPr>
      <w:bookmarkStart w:id="275" w:name="_Toc332829364"/>
      <w:bookmarkEnd w:id="275"/>
      <w:bookmarkStart w:id="276" w:name="_Toc332391467"/>
      <w:r>
        <w:rPr>
          <w:rFonts w:hint="eastAsia"/>
          <w:color w:val="auto"/>
        </w:rPr>
        <w:t>招援检测</w:t>
      </w:r>
    </w:p>
    <w:p>
      <w:pPr>
        <w:pStyle w:val="60"/>
        <w:ind w:firstLine="420"/>
        <w:rPr>
          <w:color w:val="auto"/>
        </w:rPr>
      </w:pPr>
      <w:r>
        <w:rPr>
          <w:rFonts w:hint="eastAsia"/>
          <w:color w:val="auto"/>
        </w:rPr>
        <w:t>招援</w:t>
      </w:r>
      <w:bookmarkEnd w:id="276"/>
      <w:r>
        <w:rPr>
          <w:rFonts w:hint="eastAsia"/>
          <w:color w:val="auto"/>
        </w:rPr>
        <w:t>检测要求如下：</w:t>
      </w:r>
    </w:p>
    <w:p>
      <w:pPr>
        <w:pStyle w:val="178"/>
        <w:numPr>
          <w:ilvl w:val="0"/>
          <w:numId w:val="205"/>
        </w:numPr>
        <w:rPr>
          <w:color w:val="auto"/>
        </w:rPr>
      </w:pPr>
      <w:r>
        <w:rPr>
          <w:rFonts w:hint="eastAsia"/>
          <w:color w:val="auto"/>
        </w:rPr>
        <w:t>检测内容应依据DB11/T 1164.1中TVM招援功能的要求逐项检测；</w:t>
      </w:r>
    </w:p>
    <w:p>
      <w:pPr>
        <w:pStyle w:val="178"/>
        <w:rPr>
          <w:color w:val="auto"/>
        </w:rPr>
      </w:pPr>
      <w:r>
        <w:rPr>
          <w:rFonts w:hint="eastAsia"/>
          <w:color w:val="auto"/>
        </w:rPr>
        <w:t>检测方法应按下受检TVM上的招援按钮，通过仿真中心系统检测受检TVM上传的招援数据应正确。</w:t>
      </w:r>
    </w:p>
    <w:p>
      <w:pPr>
        <w:pStyle w:val="98"/>
        <w:spacing w:before="156" w:after="156"/>
        <w:rPr>
          <w:color w:val="auto"/>
        </w:rPr>
      </w:pPr>
      <w:bookmarkStart w:id="277" w:name="_Toc332829365"/>
      <w:bookmarkEnd w:id="277"/>
      <w:bookmarkStart w:id="278" w:name="_Toc332391468"/>
      <w:r>
        <w:rPr>
          <w:rFonts w:hint="eastAsia"/>
          <w:color w:val="auto"/>
        </w:rPr>
        <w:t>运营开始检测</w:t>
      </w:r>
    </w:p>
    <w:p>
      <w:pPr>
        <w:pStyle w:val="60"/>
        <w:ind w:firstLine="420"/>
        <w:rPr>
          <w:color w:val="auto"/>
        </w:rPr>
      </w:pPr>
      <w:r>
        <w:rPr>
          <w:rFonts w:hint="eastAsia"/>
          <w:color w:val="auto"/>
        </w:rPr>
        <w:t>运营开始</w:t>
      </w:r>
      <w:bookmarkEnd w:id="278"/>
      <w:r>
        <w:rPr>
          <w:rFonts w:hint="eastAsia"/>
          <w:color w:val="auto"/>
        </w:rPr>
        <w:t>检测要求如下：</w:t>
      </w:r>
    </w:p>
    <w:p>
      <w:pPr>
        <w:pStyle w:val="178"/>
        <w:numPr>
          <w:ilvl w:val="0"/>
          <w:numId w:val="206"/>
        </w:numPr>
        <w:rPr>
          <w:color w:val="auto"/>
        </w:rPr>
      </w:pPr>
      <w:r>
        <w:rPr>
          <w:rFonts w:hint="eastAsia"/>
          <w:color w:val="auto"/>
        </w:rPr>
        <w:t>检测内容应依据DB11/T 1164.1中TVM运营开始功能的要求逐项检测；</w:t>
      </w:r>
    </w:p>
    <w:p>
      <w:pPr>
        <w:pStyle w:val="178"/>
        <w:rPr>
          <w:color w:val="auto"/>
        </w:rPr>
      </w:pPr>
      <w:r>
        <w:rPr>
          <w:rFonts w:hint="eastAsia"/>
          <w:color w:val="auto"/>
        </w:rPr>
        <w:t>检测方法要求如下：</w:t>
      </w:r>
    </w:p>
    <w:p>
      <w:pPr>
        <w:pStyle w:val="113"/>
        <w:numPr>
          <w:ilvl w:val="1"/>
          <w:numId w:val="207"/>
        </w:numPr>
        <w:rPr>
          <w:color w:val="auto"/>
        </w:rPr>
      </w:pPr>
      <w:r>
        <w:rPr>
          <w:rFonts w:hint="eastAsia"/>
          <w:color w:val="auto"/>
        </w:rPr>
        <w:t>通过手动、设置参数或由仿真中心系统下发命令的方式使受检TVM进行运营开始操作，通过仿真系统的记录检测受检TVM的处理应符合DB11/T 1164.1、DB11/T 1164.2和DB11/T 1164.3有关运营开始的规定；</w:t>
      </w:r>
    </w:p>
    <w:p>
      <w:pPr>
        <w:pStyle w:val="113"/>
        <w:rPr>
          <w:color w:val="auto"/>
        </w:rPr>
      </w:pPr>
      <w:r>
        <w:rPr>
          <w:rFonts w:hint="eastAsia"/>
          <w:color w:val="auto"/>
        </w:rPr>
        <w:t>在受检TVM上手动设置运营开始指令，通过仿真系统的记录检测受检TVM的处理应符合DB11/T 1164.1、DB11/T 1164.2和DB11/T 1164.3有关运营开始的规定。</w:t>
      </w:r>
    </w:p>
    <w:p>
      <w:pPr>
        <w:pStyle w:val="98"/>
        <w:spacing w:before="156" w:after="156"/>
        <w:rPr>
          <w:color w:val="auto"/>
        </w:rPr>
      </w:pPr>
      <w:bookmarkStart w:id="279" w:name="_Toc332391469"/>
      <w:bookmarkEnd w:id="279"/>
      <w:bookmarkStart w:id="280" w:name="_Toc332829366"/>
      <w:r>
        <w:rPr>
          <w:rFonts w:hint="eastAsia"/>
          <w:color w:val="auto"/>
        </w:rPr>
        <w:t>运营结束检测</w:t>
      </w:r>
    </w:p>
    <w:p>
      <w:pPr>
        <w:pStyle w:val="60"/>
        <w:ind w:firstLine="420"/>
        <w:rPr>
          <w:color w:val="auto"/>
        </w:rPr>
      </w:pPr>
      <w:r>
        <w:rPr>
          <w:rFonts w:hint="eastAsia"/>
          <w:color w:val="auto"/>
        </w:rPr>
        <w:t>运营结束</w:t>
      </w:r>
      <w:bookmarkEnd w:id="280"/>
      <w:r>
        <w:rPr>
          <w:rFonts w:hint="eastAsia"/>
          <w:color w:val="auto"/>
        </w:rPr>
        <w:t>检测要求如下：</w:t>
      </w:r>
    </w:p>
    <w:p>
      <w:pPr>
        <w:pStyle w:val="178"/>
        <w:numPr>
          <w:ilvl w:val="0"/>
          <w:numId w:val="208"/>
        </w:numPr>
        <w:rPr>
          <w:color w:val="auto"/>
        </w:rPr>
      </w:pPr>
      <w:r>
        <w:rPr>
          <w:rFonts w:hint="eastAsia"/>
          <w:color w:val="auto"/>
        </w:rPr>
        <w:t>检测内容应依据DB11/T 1164.1中TVM运营结束功能的要求逐项检测；</w:t>
      </w:r>
    </w:p>
    <w:p>
      <w:pPr>
        <w:pStyle w:val="178"/>
        <w:rPr>
          <w:color w:val="auto"/>
        </w:rPr>
      </w:pPr>
      <w:r>
        <w:rPr>
          <w:rFonts w:hint="eastAsia"/>
          <w:color w:val="auto"/>
        </w:rPr>
        <w:t>检测方法要求如下：</w:t>
      </w:r>
    </w:p>
    <w:p>
      <w:pPr>
        <w:pStyle w:val="113"/>
        <w:numPr>
          <w:ilvl w:val="1"/>
          <w:numId w:val="209"/>
        </w:numPr>
        <w:rPr>
          <w:color w:val="auto"/>
        </w:rPr>
      </w:pPr>
      <w:r>
        <w:rPr>
          <w:rFonts w:hint="eastAsia"/>
          <w:color w:val="auto"/>
        </w:rPr>
        <w:t>通过手动、设置参数或由仿真中心系统下发命令的方式使受检TVM进行运营结束操作，通过仿真系统的记录检测受检TVM的处理应符合DB11/T 1164.1、DB11/T 1164.2和DB11/T 1164.3有关运营结束的规定；</w:t>
      </w:r>
    </w:p>
    <w:p>
      <w:pPr>
        <w:pStyle w:val="113"/>
        <w:rPr>
          <w:color w:val="auto"/>
        </w:rPr>
      </w:pPr>
      <w:r>
        <w:rPr>
          <w:rFonts w:hint="eastAsia"/>
          <w:color w:val="auto"/>
        </w:rPr>
        <w:t>在受检TVM上手动设置运营开始指令，通过仿真系统的记录检测受检TVM的处理应符合DB11/T 1164.1、DB11/T 1164.2和DB11/T 1164.3有关运营结束的规定。</w:t>
      </w:r>
    </w:p>
    <w:p>
      <w:pPr>
        <w:pStyle w:val="98"/>
        <w:spacing w:before="156" w:after="156"/>
        <w:rPr>
          <w:color w:val="auto"/>
        </w:rPr>
      </w:pPr>
      <w:bookmarkStart w:id="281" w:name="_Toc332829367"/>
      <w:bookmarkEnd w:id="281"/>
      <w:bookmarkStart w:id="282" w:name="_Toc332391470"/>
      <w:r>
        <w:rPr>
          <w:rFonts w:hint="eastAsia"/>
          <w:color w:val="auto"/>
        </w:rPr>
        <w:t>执行运行时间表检测</w:t>
      </w:r>
    </w:p>
    <w:p>
      <w:pPr>
        <w:pStyle w:val="60"/>
        <w:ind w:firstLine="420"/>
        <w:rPr>
          <w:color w:val="auto"/>
        </w:rPr>
      </w:pPr>
      <w:r>
        <w:rPr>
          <w:rFonts w:hint="eastAsia"/>
          <w:color w:val="auto"/>
        </w:rPr>
        <w:t>执行运行时间表</w:t>
      </w:r>
      <w:bookmarkEnd w:id="282"/>
      <w:r>
        <w:rPr>
          <w:rFonts w:hint="eastAsia"/>
          <w:color w:val="auto"/>
        </w:rPr>
        <w:t>检测要求如下：</w:t>
      </w:r>
    </w:p>
    <w:p>
      <w:pPr>
        <w:pStyle w:val="178"/>
        <w:numPr>
          <w:ilvl w:val="0"/>
          <w:numId w:val="210"/>
        </w:numPr>
        <w:rPr>
          <w:color w:val="auto"/>
        </w:rPr>
      </w:pPr>
      <w:r>
        <w:rPr>
          <w:rFonts w:hint="eastAsia"/>
          <w:color w:val="auto"/>
        </w:rPr>
        <w:t>检测内容应依据DB11/T 1164.1中TVM执行运行时间表功能的要求逐项检测；</w:t>
      </w:r>
    </w:p>
    <w:p>
      <w:pPr>
        <w:pStyle w:val="178"/>
        <w:rPr>
          <w:color w:val="auto"/>
        </w:rPr>
      </w:pPr>
      <w:r>
        <w:rPr>
          <w:rFonts w:hint="eastAsia"/>
          <w:color w:val="auto"/>
        </w:rPr>
        <w:t>检测方法要求如下：</w:t>
      </w:r>
    </w:p>
    <w:p>
      <w:pPr>
        <w:pStyle w:val="113"/>
        <w:numPr>
          <w:ilvl w:val="1"/>
          <w:numId w:val="211"/>
        </w:numPr>
        <w:rPr>
          <w:color w:val="auto"/>
        </w:rPr>
      </w:pPr>
      <w:r>
        <w:rPr>
          <w:rFonts w:hint="eastAsia"/>
          <w:color w:val="auto"/>
        </w:rPr>
        <w:t>使用仿真中心系统向受检TVM下发运行时间表参数，检测受检TVM的处理应符合DB11/T 1164.1、DB11/T 1164.2和DB11/T 1164.3有关运行时间表的规定；</w:t>
      </w:r>
    </w:p>
    <w:p>
      <w:pPr>
        <w:pStyle w:val="113"/>
        <w:rPr>
          <w:color w:val="auto"/>
        </w:rPr>
      </w:pPr>
      <w:r>
        <w:rPr>
          <w:rFonts w:hint="eastAsia"/>
          <w:color w:val="auto"/>
        </w:rPr>
        <w:t>在受检TVM上导入运行时间表，检测受检TVM的处理应符合DB11/T 1164.1、DB11/T 1164.2和DB11/T 1164.3有关运行时间表的规定。</w:t>
      </w:r>
    </w:p>
    <w:p>
      <w:pPr>
        <w:pStyle w:val="98"/>
        <w:spacing w:before="156" w:after="156"/>
        <w:rPr>
          <w:color w:val="auto"/>
        </w:rPr>
      </w:pPr>
      <w:bookmarkStart w:id="283" w:name="_Toc332391471"/>
      <w:bookmarkEnd w:id="283"/>
      <w:bookmarkStart w:id="284" w:name="_Toc332829368"/>
      <w:r>
        <w:rPr>
          <w:rFonts w:hint="eastAsia"/>
          <w:color w:val="auto"/>
        </w:rPr>
        <w:t>时钟同步检测</w:t>
      </w:r>
    </w:p>
    <w:p>
      <w:pPr>
        <w:pStyle w:val="60"/>
        <w:ind w:firstLine="420"/>
        <w:rPr>
          <w:color w:val="auto"/>
        </w:rPr>
      </w:pPr>
      <w:r>
        <w:rPr>
          <w:rFonts w:hint="eastAsia"/>
          <w:color w:val="auto"/>
        </w:rPr>
        <w:t>时钟同步</w:t>
      </w:r>
      <w:bookmarkEnd w:id="284"/>
      <w:r>
        <w:rPr>
          <w:rFonts w:hint="eastAsia"/>
          <w:color w:val="auto"/>
        </w:rPr>
        <w:t>检测要求如下：</w:t>
      </w:r>
    </w:p>
    <w:p>
      <w:pPr>
        <w:pStyle w:val="178"/>
        <w:numPr>
          <w:ilvl w:val="0"/>
          <w:numId w:val="212"/>
        </w:numPr>
        <w:rPr>
          <w:color w:val="auto"/>
        </w:rPr>
      </w:pPr>
      <w:r>
        <w:rPr>
          <w:rFonts w:hint="eastAsia"/>
          <w:color w:val="auto"/>
        </w:rPr>
        <w:t>检测内容应依据DB11/T 1164.1中TVM时钟同步功能的要求逐项检测；</w:t>
      </w:r>
    </w:p>
    <w:p>
      <w:pPr>
        <w:pStyle w:val="178"/>
        <w:rPr>
          <w:color w:val="auto"/>
        </w:rPr>
      </w:pPr>
      <w:r>
        <w:rPr>
          <w:rFonts w:hint="eastAsia"/>
          <w:color w:val="auto"/>
        </w:rPr>
        <w:t>自动时钟同步检测方法要求如下：</w:t>
      </w:r>
    </w:p>
    <w:p>
      <w:pPr>
        <w:pStyle w:val="113"/>
        <w:numPr>
          <w:ilvl w:val="1"/>
          <w:numId w:val="213"/>
        </w:numPr>
        <w:rPr>
          <w:color w:val="auto"/>
        </w:rPr>
      </w:pPr>
      <w:r>
        <w:rPr>
          <w:rFonts w:hint="eastAsia"/>
          <w:color w:val="auto"/>
        </w:rPr>
        <w:t>使用仿真中心系统下发时钟同步间隔参数至受检TVM；</w:t>
      </w:r>
    </w:p>
    <w:p>
      <w:pPr>
        <w:pStyle w:val="113"/>
        <w:rPr>
          <w:color w:val="auto"/>
        </w:rPr>
      </w:pPr>
      <w:r>
        <w:rPr>
          <w:rFonts w:hint="eastAsia"/>
          <w:color w:val="auto"/>
        </w:rPr>
        <w:t>通过设置受检TVM的时钟与仿真中心系统的时钟的差异，观察受检TVM的处理应符合DB11/T 1164.1、DB11/T 1164.2和DB11/T 1164.3有关时钟同步的规定。</w:t>
      </w:r>
    </w:p>
    <w:p>
      <w:pPr>
        <w:pStyle w:val="178"/>
        <w:rPr>
          <w:color w:val="auto"/>
        </w:rPr>
      </w:pPr>
      <w:r>
        <w:rPr>
          <w:rFonts w:hint="eastAsia"/>
          <w:color w:val="auto"/>
        </w:rPr>
        <w:t>强制时钟同步检测方法要求如下：</w:t>
      </w:r>
    </w:p>
    <w:p>
      <w:pPr>
        <w:pStyle w:val="113"/>
        <w:numPr>
          <w:ilvl w:val="1"/>
          <w:numId w:val="214"/>
        </w:numPr>
        <w:rPr>
          <w:color w:val="auto"/>
        </w:rPr>
      </w:pPr>
      <w:r>
        <w:rPr>
          <w:rFonts w:hint="eastAsia"/>
          <w:color w:val="auto"/>
        </w:rPr>
        <w:t>使用仿真中心系统下发强制时钟同步命令，观察受检TVM的强制时钟同步处理应正确；</w:t>
      </w:r>
    </w:p>
    <w:p>
      <w:pPr>
        <w:pStyle w:val="113"/>
        <w:rPr>
          <w:color w:val="auto"/>
        </w:rPr>
      </w:pPr>
      <w:r>
        <w:rPr>
          <w:rFonts w:hint="eastAsia"/>
          <w:color w:val="auto"/>
        </w:rPr>
        <w:t>通过仿真中心系统的记录检测受检TVM上传的同步结果数据应正确。</w:t>
      </w:r>
    </w:p>
    <w:p>
      <w:pPr>
        <w:pStyle w:val="98"/>
        <w:spacing w:before="156" w:after="156"/>
        <w:rPr>
          <w:color w:val="auto"/>
        </w:rPr>
      </w:pPr>
      <w:bookmarkStart w:id="285" w:name="_Toc332829369"/>
      <w:bookmarkEnd w:id="285"/>
      <w:bookmarkStart w:id="286" w:name="_Toc332391472"/>
      <w:r>
        <w:rPr>
          <w:rFonts w:hint="eastAsia"/>
          <w:color w:val="auto"/>
        </w:rPr>
        <w:t>操作员登录登出检测</w:t>
      </w:r>
    </w:p>
    <w:p>
      <w:pPr>
        <w:pStyle w:val="60"/>
        <w:ind w:firstLine="420"/>
        <w:rPr>
          <w:color w:val="auto"/>
        </w:rPr>
      </w:pPr>
      <w:r>
        <w:rPr>
          <w:rFonts w:hint="eastAsia"/>
          <w:color w:val="auto"/>
        </w:rPr>
        <w:t>操作员登录登出</w:t>
      </w:r>
      <w:bookmarkEnd w:id="286"/>
      <w:r>
        <w:rPr>
          <w:rFonts w:hint="eastAsia"/>
          <w:color w:val="auto"/>
        </w:rPr>
        <w:t>检测要求如下：</w:t>
      </w:r>
    </w:p>
    <w:p>
      <w:pPr>
        <w:pStyle w:val="178"/>
        <w:numPr>
          <w:ilvl w:val="0"/>
          <w:numId w:val="215"/>
        </w:numPr>
        <w:rPr>
          <w:color w:val="auto"/>
        </w:rPr>
      </w:pPr>
      <w:r>
        <w:rPr>
          <w:rFonts w:hint="eastAsia"/>
          <w:color w:val="auto"/>
        </w:rPr>
        <w:t>检测内容应依据DB11/T 1164.1中TVM操作员登录登出功能的要求逐项检测；</w:t>
      </w:r>
    </w:p>
    <w:p>
      <w:pPr>
        <w:pStyle w:val="178"/>
        <w:rPr>
          <w:color w:val="auto"/>
        </w:rPr>
      </w:pPr>
      <w:r>
        <w:rPr>
          <w:rFonts w:hint="eastAsia"/>
          <w:color w:val="auto"/>
        </w:rPr>
        <w:t>检测方法要求如下：</w:t>
      </w:r>
    </w:p>
    <w:p>
      <w:pPr>
        <w:pStyle w:val="113"/>
        <w:numPr>
          <w:ilvl w:val="1"/>
          <w:numId w:val="216"/>
        </w:numPr>
        <w:rPr>
          <w:color w:val="auto"/>
        </w:rPr>
      </w:pPr>
      <w:r>
        <w:rPr>
          <w:rFonts w:hint="eastAsia"/>
          <w:color w:val="auto"/>
        </w:rPr>
        <w:t>使用仿真中心系统向受检TVM下发操作员权限参数，在受检TVM上进行登录操作，通过仿真系统的记录检测受检TVM对操作员登录的处理应符合DB11/T 1164.1和DB11/T 1164.2的规定；</w:t>
      </w:r>
    </w:p>
    <w:p>
      <w:pPr>
        <w:pStyle w:val="113"/>
        <w:rPr>
          <w:color w:val="auto"/>
        </w:rPr>
      </w:pPr>
      <w:r>
        <w:rPr>
          <w:rFonts w:hint="eastAsia"/>
          <w:color w:val="auto"/>
        </w:rPr>
        <w:t>在受检TVM上导入操作员权限参数，在受检TVM上进行登录操作，通过仿真系统的记录检测受检TVM对操作员登录登出的处理应符合DB11/T 1164.1和DB11/T 1164.2的规定；</w:t>
      </w:r>
    </w:p>
    <w:p>
      <w:pPr>
        <w:pStyle w:val="113"/>
        <w:rPr>
          <w:color w:val="auto"/>
        </w:rPr>
      </w:pPr>
      <w:r>
        <w:rPr>
          <w:rFonts w:hint="eastAsia"/>
          <w:color w:val="auto"/>
        </w:rPr>
        <w:t>在受检TVM上进行登出操作，通过仿真系统的检测受检TVM对操作员登出的处理应符合DB11/T 1164.1和DB11/T 1164.2的规定。</w:t>
      </w:r>
    </w:p>
    <w:p>
      <w:pPr>
        <w:pStyle w:val="98"/>
        <w:spacing w:before="156" w:after="156"/>
        <w:rPr>
          <w:color w:val="auto"/>
        </w:rPr>
      </w:pPr>
      <w:bookmarkStart w:id="287" w:name="_Toc332391473"/>
      <w:bookmarkEnd w:id="287"/>
      <w:bookmarkStart w:id="288" w:name="_Toc332829370"/>
      <w:r>
        <w:rPr>
          <w:rFonts w:hint="eastAsia"/>
          <w:color w:val="auto"/>
        </w:rPr>
        <w:t>数据查询检测</w:t>
      </w:r>
    </w:p>
    <w:p>
      <w:pPr>
        <w:pStyle w:val="60"/>
        <w:ind w:firstLine="420"/>
        <w:rPr>
          <w:color w:val="auto"/>
        </w:rPr>
      </w:pPr>
      <w:r>
        <w:rPr>
          <w:rFonts w:hint="eastAsia"/>
          <w:color w:val="auto"/>
        </w:rPr>
        <w:t>数据查询</w:t>
      </w:r>
      <w:bookmarkEnd w:id="288"/>
      <w:r>
        <w:rPr>
          <w:rFonts w:hint="eastAsia"/>
          <w:color w:val="auto"/>
        </w:rPr>
        <w:t>检测要求如下：</w:t>
      </w:r>
    </w:p>
    <w:p>
      <w:pPr>
        <w:pStyle w:val="178"/>
        <w:numPr>
          <w:ilvl w:val="0"/>
          <w:numId w:val="217"/>
        </w:numPr>
        <w:rPr>
          <w:color w:val="auto"/>
        </w:rPr>
      </w:pPr>
      <w:r>
        <w:rPr>
          <w:rFonts w:hint="eastAsia"/>
          <w:color w:val="auto"/>
        </w:rPr>
        <w:t>检测内容应依据DB11/T 1164.1中TVM数据查询功能的要求逐项检测；</w:t>
      </w:r>
    </w:p>
    <w:p>
      <w:pPr>
        <w:pStyle w:val="178"/>
        <w:rPr>
          <w:color w:val="auto"/>
        </w:rPr>
      </w:pPr>
      <w:r>
        <w:rPr>
          <w:rFonts w:hint="eastAsia"/>
          <w:color w:val="auto"/>
        </w:rPr>
        <w:t>检测方法要求如下：</w:t>
      </w:r>
    </w:p>
    <w:p>
      <w:pPr>
        <w:pStyle w:val="113"/>
        <w:numPr>
          <w:ilvl w:val="1"/>
          <w:numId w:val="218"/>
        </w:numPr>
        <w:rPr>
          <w:color w:val="auto"/>
        </w:rPr>
      </w:pPr>
      <w:r>
        <w:rPr>
          <w:rFonts w:hint="eastAsia"/>
          <w:color w:val="auto"/>
        </w:rPr>
        <w:t>在受检TVM进行售票、充值的操作，应能查询到相关交易数据、数据传送信息；</w:t>
      </w:r>
    </w:p>
    <w:p>
      <w:pPr>
        <w:pStyle w:val="113"/>
        <w:rPr>
          <w:color w:val="auto"/>
        </w:rPr>
      </w:pPr>
      <w:r>
        <w:rPr>
          <w:rFonts w:hint="eastAsia"/>
          <w:color w:val="auto"/>
        </w:rPr>
        <w:t>在受检TVM上模拟故障，应能查询到相关故障信息；</w:t>
      </w:r>
    </w:p>
    <w:p>
      <w:pPr>
        <w:pStyle w:val="113"/>
        <w:rPr>
          <w:color w:val="auto"/>
        </w:rPr>
      </w:pPr>
      <w:r>
        <w:rPr>
          <w:rFonts w:hint="eastAsia"/>
          <w:color w:val="auto"/>
        </w:rPr>
        <w:t>在受检TVM上进行部件更换操作，应能查询到部件信息、日志信息；</w:t>
      </w:r>
    </w:p>
    <w:p>
      <w:pPr>
        <w:pStyle w:val="113"/>
        <w:rPr>
          <w:color w:val="auto"/>
        </w:rPr>
      </w:pPr>
      <w:r>
        <w:rPr>
          <w:rFonts w:hint="eastAsia"/>
          <w:color w:val="auto"/>
        </w:rPr>
        <w:t>使用仿真中心系统向受检TVM发送暂停服务命令，在受检设备应能查询到状态信息；</w:t>
      </w:r>
    </w:p>
    <w:p>
      <w:pPr>
        <w:pStyle w:val="113"/>
        <w:rPr>
          <w:color w:val="auto"/>
        </w:rPr>
      </w:pPr>
      <w:r>
        <w:rPr>
          <w:rFonts w:hint="eastAsia"/>
          <w:color w:val="auto"/>
        </w:rPr>
        <w:t>TVM数据查询的种类</w:t>
      </w:r>
      <w:r>
        <w:rPr>
          <w:rFonts w:hint="eastAsia"/>
          <w:color w:val="auto"/>
          <w:lang w:val="en-US" w:eastAsia="zh-CN"/>
        </w:rPr>
        <w:t>应符合</w:t>
      </w:r>
      <w:r>
        <w:rPr>
          <w:rFonts w:hint="eastAsia"/>
          <w:color w:val="auto"/>
        </w:rPr>
        <w:t>表 9。</w:t>
      </w:r>
    </w:p>
    <w:p>
      <w:pPr>
        <w:pStyle w:val="116"/>
        <w:spacing w:before="156" w:after="156"/>
        <w:rPr>
          <w:color w:val="auto"/>
        </w:rPr>
      </w:pPr>
      <w:r>
        <w:rPr>
          <w:rFonts w:hint="eastAsia"/>
          <w:color w:val="auto"/>
        </w:rPr>
        <w:t>TVM数据查询种类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6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569"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569"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7</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运转数据查询</w:t>
            </w:r>
          </w:p>
        </w:tc>
      </w:tr>
    </w:tbl>
    <w:p>
      <w:pPr>
        <w:pStyle w:val="98"/>
        <w:spacing w:before="156" w:after="156"/>
        <w:rPr>
          <w:color w:val="auto"/>
        </w:rPr>
      </w:pPr>
      <w:bookmarkStart w:id="289" w:name="_Toc332829371"/>
      <w:bookmarkEnd w:id="289"/>
      <w:bookmarkStart w:id="290" w:name="_Toc332391474"/>
      <w:r>
        <w:rPr>
          <w:rFonts w:hint="eastAsia"/>
          <w:color w:val="auto"/>
        </w:rPr>
        <w:t>票箱安装卸下检测</w:t>
      </w:r>
    </w:p>
    <w:p>
      <w:pPr>
        <w:pStyle w:val="60"/>
        <w:ind w:firstLine="420"/>
        <w:rPr>
          <w:color w:val="auto"/>
        </w:rPr>
      </w:pPr>
      <w:r>
        <w:rPr>
          <w:rFonts w:hint="eastAsia"/>
          <w:color w:val="auto"/>
        </w:rPr>
        <w:t>票箱安装卸下</w:t>
      </w:r>
      <w:bookmarkEnd w:id="290"/>
      <w:r>
        <w:rPr>
          <w:rFonts w:hint="eastAsia"/>
          <w:color w:val="auto"/>
        </w:rPr>
        <w:t>检测要求如下：</w:t>
      </w:r>
    </w:p>
    <w:p>
      <w:pPr>
        <w:pStyle w:val="178"/>
        <w:numPr>
          <w:ilvl w:val="0"/>
          <w:numId w:val="219"/>
        </w:numPr>
        <w:rPr>
          <w:color w:val="auto"/>
        </w:rPr>
      </w:pPr>
      <w:r>
        <w:rPr>
          <w:rFonts w:hint="eastAsia"/>
          <w:color w:val="auto"/>
        </w:rPr>
        <w:t>检测内容应依据DB11/T 1164.1中TVM票箱安装卸下功能的要求逐项检测；</w:t>
      </w:r>
    </w:p>
    <w:p>
      <w:pPr>
        <w:pStyle w:val="178"/>
        <w:rPr>
          <w:color w:val="auto"/>
        </w:rPr>
      </w:pPr>
      <w:r>
        <w:rPr>
          <w:rFonts w:hint="eastAsia"/>
          <w:color w:val="auto"/>
        </w:rPr>
        <w:t>检测方法应在受检TVM上执行票箱安装、卸下操作，受检TVM应自动更新票箱状态，并上传至仿真中心系统。通过仿真中心系统的记录，检测应收到受检TVM发送的状态变化数据。</w:t>
      </w:r>
    </w:p>
    <w:p>
      <w:pPr>
        <w:pStyle w:val="98"/>
        <w:spacing w:before="156" w:after="156"/>
        <w:rPr>
          <w:color w:val="auto"/>
        </w:rPr>
      </w:pPr>
      <w:bookmarkStart w:id="291" w:name="_Toc332391475"/>
      <w:bookmarkEnd w:id="291"/>
      <w:bookmarkStart w:id="292" w:name="_Toc332829372"/>
      <w:r>
        <w:rPr>
          <w:rFonts w:hint="eastAsia"/>
          <w:color w:val="auto"/>
        </w:rPr>
        <w:t>票箱警报检测</w:t>
      </w:r>
    </w:p>
    <w:p>
      <w:pPr>
        <w:pStyle w:val="60"/>
        <w:ind w:firstLine="420"/>
        <w:rPr>
          <w:color w:val="auto"/>
        </w:rPr>
      </w:pPr>
      <w:r>
        <w:rPr>
          <w:rFonts w:hint="eastAsia"/>
          <w:color w:val="auto"/>
        </w:rPr>
        <w:t>票箱警报</w:t>
      </w:r>
      <w:bookmarkEnd w:id="292"/>
      <w:r>
        <w:rPr>
          <w:rFonts w:hint="eastAsia"/>
          <w:color w:val="auto"/>
        </w:rPr>
        <w:t>检测要求如下：</w:t>
      </w:r>
    </w:p>
    <w:p>
      <w:pPr>
        <w:pStyle w:val="178"/>
        <w:numPr>
          <w:ilvl w:val="0"/>
          <w:numId w:val="220"/>
        </w:numPr>
        <w:rPr>
          <w:color w:val="auto"/>
        </w:rPr>
      </w:pPr>
      <w:r>
        <w:rPr>
          <w:rFonts w:hint="eastAsia"/>
          <w:color w:val="auto"/>
        </w:rPr>
        <w:t>检测内容为受检TVM在票箱产生异常时应发送报警数据；</w:t>
      </w:r>
    </w:p>
    <w:p>
      <w:pPr>
        <w:pStyle w:val="178"/>
        <w:rPr>
          <w:color w:val="auto"/>
        </w:rPr>
      </w:pPr>
      <w:r>
        <w:rPr>
          <w:rFonts w:hint="eastAsia"/>
          <w:color w:val="auto"/>
        </w:rPr>
        <w:t>检测方法为应对受检TVM执行非法票箱安装、卸下操作，受检TVM应发出报警信息至仿真中心系统。通过仿真中心系统的记录，检测应收到TVM发送的报警数据。</w:t>
      </w:r>
    </w:p>
    <w:p>
      <w:pPr>
        <w:pStyle w:val="98"/>
        <w:spacing w:before="156" w:after="156"/>
        <w:rPr>
          <w:color w:val="auto"/>
        </w:rPr>
      </w:pPr>
      <w:bookmarkStart w:id="293" w:name="_Toc332391477"/>
      <w:bookmarkEnd w:id="293"/>
      <w:bookmarkStart w:id="294" w:name="_Toc332829373"/>
      <w:r>
        <w:rPr>
          <w:rFonts w:hint="eastAsia"/>
          <w:color w:val="auto"/>
        </w:rPr>
        <w:t>钱箱警报检测</w:t>
      </w:r>
    </w:p>
    <w:p>
      <w:pPr>
        <w:pStyle w:val="60"/>
        <w:ind w:firstLine="420"/>
        <w:rPr>
          <w:color w:val="auto"/>
        </w:rPr>
      </w:pPr>
      <w:r>
        <w:rPr>
          <w:rFonts w:hint="eastAsia"/>
          <w:color w:val="auto"/>
        </w:rPr>
        <w:t>钱箱警报</w:t>
      </w:r>
      <w:bookmarkEnd w:id="294"/>
      <w:r>
        <w:rPr>
          <w:rFonts w:hint="eastAsia"/>
          <w:color w:val="auto"/>
        </w:rPr>
        <w:t>检测要求如下：</w:t>
      </w:r>
    </w:p>
    <w:p>
      <w:pPr>
        <w:pStyle w:val="178"/>
        <w:numPr>
          <w:ilvl w:val="0"/>
          <w:numId w:val="221"/>
        </w:numPr>
        <w:rPr>
          <w:color w:val="auto"/>
        </w:rPr>
      </w:pPr>
      <w:r>
        <w:rPr>
          <w:rFonts w:hint="eastAsia"/>
          <w:color w:val="auto"/>
        </w:rPr>
        <w:t>检测内容为受检TVM在钱箱产生异常时应发送报警数据；</w:t>
      </w:r>
    </w:p>
    <w:p>
      <w:pPr>
        <w:pStyle w:val="178"/>
        <w:rPr>
          <w:color w:val="auto"/>
        </w:rPr>
      </w:pPr>
      <w:r>
        <w:rPr>
          <w:rFonts w:hint="eastAsia"/>
          <w:color w:val="auto"/>
        </w:rPr>
        <w:t>检测方法为应对受检TVM执行非法钱箱安装、卸下操作，受检TVM应发出报警信息至仿真中心系统。通过仿真中心系统的记录，检测应收到TVM发送的报警数据。</w:t>
      </w:r>
    </w:p>
    <w:p>
      <w:pPr>
        <w:pStyle w:val="98"/>
        <w:spacing w:before="156" w:after="156"/>
        <w:rPr>
          <w:color w:val="auto"/>
        </w:rPr>
      </w:pPr>
      <w:bookmarkStart w:id="295" w:name="_Toc332829374"/>
      <w:bookmarkEnd w:id="295"/>
      <w:bookmarkStart w:id="296" w:name="_Toc332391478"/>
      <w:r>
        <w:rPr>
          <w:rFonts w:hint="eastAsia"/>
          <w:color w:val="auto"/>
        </w:rPr>
        <w:t>硬币清空检测</w:t>
      </w:r>
    </w:p>
    <w:p>
      <w:pPr>
        <w:pStyle w:val="60"/>
        <w:ind w:firstLine="420"/>
        <w:rPr>
          <w:color w:val="auto"/>
        </w:rPr>
      </w:pPr>
      <w:r>
        <w:rPr>
          <w:rFonts w:hint="eastAsia"/>
          <w:color w:val="auto"/>
        </w:rPr>
        <w:t>硬币清空</w:t>
      </w:r>
      <w:bookmarkEnd w:id="296"/>
      <w:r>
        <w:rPr>
          <w:rFonts w:hint="eastAsia"/>
          <w:color w:val="auto"/>
        </w:rPr>
        <w:t>检测要求如下：</w:t>
      </w:r>
    </w:p>
    <w:p>
      <w:pPr>
        <w:pStyle w:val="178"/>
        <w:numPr>
          <w:ilvl w:val="0"/>
          <w:numId w:val="222"/>
        </w:numPr>
        <w:rPr>
          <w:color w:val="auto"/>
        </w:rPr>
      </w:pPr>
      <w:r>
        <w:rPr>
          <w:rFonts w:hint="eastAsia"/>
          <w:color w:val="auto"/>
        </w:rPr>
        <w:t>检测内容应依据DB11/T 1164.1中TVM硬币清空功能的要求逐项检测；</w:t>
      </w:r>
    </w:p>
    <w:p>
      <w:pPr>
        <w:pStyle w:val="178"/>
        <w:rPr>
          <w:color w:val="auto"/>
        </w:rPr>
      </w:pPr>
      <w:r>
        <w:rPr>
          <w:rFonts w:hint="eastAsia"/>
          <w:color w:val="auto"/>
        </w:rPr>
        <w:t>检测方法要求如下：</w:t>
      </w:r>
    </w:p>
    <w:p>
      <w:pPr>
        <w:pStyle w:val="113"/>
        <w:numPr>
          <w:ilvl w:val="1"/>
          <w:numId w:val="223"/>
        </w:numPr>
        <w:rPr>
          <w:color w:val="auto"/>
        </w:rPr>
      </w:pPr>
      <w:r>
        <w:rPr>
          <w:rFonts w:hint="eastAsia"/>
          <w:color w:val="auto"/>
        </w:rPr>
        <w:t>在受检TVM上执行硬币清空动作，查看暂存器里面的硬币应全部清空；</w:t>
      </w:r>
    </w:p>
    <w:p>
      <w:pPr>
        <w:pStyle w:val="113"/>
        <w:rPr>
          <w:color w:val="auto"/>
        </w:rPr>
      </w:pPr>
      <w:r>
        <w:rPr>
          <w:rFonts w:hint="eastAsia"/>
          <w:color w:val="auto"/>
        </w:rPr>
        <w:t>通过仿真中心系统的记录检测受检TVM上传的清空数据应正确。</w:t>
      </w:r>
    </w:p>
    <w:p>
      <w:pPr>
        <w:pStyle w:val="98"/>
        <w:spacing w:before="156" w:after="156"/>
        <w:rPr>
          <w:color w:val="auto"/>
        </w:rPr>
      </w:pPr>
      <w:bookmarkStart w:id="297" w:name="_Toc332391479"/>
      <w:bookmarkEnd w:id="297"/>
      <w:bookmarkStart w:id="298" w:name="_Toc332829375"/>
      <w:r>
        <w:rPr>
          <w:rFonts w:hint="eastAsia"/>
          <w:color w:val="auto"/>
        </w:rPr>
        <w:t>检查参数/软件版本检测</w:t>
      </w:r>
    </w:p>
    <w:p>
      <w:pPr>
        <w:pStyle w:val="60"/>
        <w:ind w:firstLine="420"/>
        <w:rPr>
          <w:color w:val="auto"/>
        </w:rPr>
      </w:pPr>
      <w:r>
        <w:rPr>
          <w:rFonts w:hint="eastAsia"/>
          <w:color w:val="auto"/>
        </w:rPr>
        <w:t>检查参数</w:t>
      </w:r>
      <w:bookmarkEnd w:id="298"/>
      <w:r>
        <w:rPr>
          <w:rFonts w:hint="eastAsia"/>
          <w:color w:val="auto"/>
        </w:rPr>
        <w:t>/软件版本检测要求如下：</w:t>
      </w:r>
    </w:p>
    <w:p>
      <w:pPr>
        <w:pStyle w:val="178"/>
        <w:numPr>
          <w:ilvl w:val="0"/>
          <w:numId w:val="224"/>
        </w:numPr>
        <w:rPr>
          <w:color w:val="auto"/>
        </w:rPr>
      </w:pPr>
      <w:r>
        <w:rPr>
          <w:rFonts w:hint="eastAsia"/>
          <w:color w:val="auto"/>
        </w:rPr>
        <w:t>检测内容应依据DB11/T 1164.1中TVM检查参数/软件版本功能的要求逐项检测；</w:t>
      </w:r>
    </w:p>
    <w:p>
      <w:pPr>
        <w:pStyle w:val="178"/>
        <w:rPr>
          <w:color w:val="auto"/>
        </w:rPr>
      </w:pPr>
      <w:r>
        <w:rPr>
          <w:rFonts w:hint="eastAsia"/>
          <w:color w:val="auto"/>
        </w:rPr>
        <w:t>检测方法要求如下：</w:t>
      </w:r>
    </w:p>
    <w:p>
      <w:pPr>
        <w:pStyle w:val="113"/>
        <w:numPr>
          <w:ilvl w:val="1"/>
          <w:numId w:val="225"/>
        </w:numPr>
        <w:rPr>
          <w:color w:val="auto"/>
        </w:rPr>
      </w:pPr>
      <w:r>
        <w:rPr>
          <w:rFonts w:hint="eastAsia"/>
          <w:color w:val="auto"/>
        </w:rPr>
        <w:t>使用仿真中心系统向受检TVM下发参数数据/软件数据。在受检TVM上查询参数数据版本/软件版本信息，确认与中心系统下发的参数数据/软件数据的版本应一致；</w:t>
      </w:r>
    </w:p>
    <w:p>
      <w:pPr>
        <w:pStyle w:val="113"/>
        <w:rPr>
          <w:color w:val="auto"/>
        </w:rPr>
      </w:pPr>
      <w:r>
        <w:rPr>
          <w:rFonts w:hint="eastAsia"/>
          <w:color w:val="auto"/>
        </w:rPr>
        <w:t>在受检TVM上导入参数数据/软件数据，查询参数数据/软件数据版本，确认应与导入数据版本一致。</w:t>
      </w:r>
    </w:p>
    <w:p>
      <w:pPr>
        <w:pStyle w:val="98"/>
        <w:spacing w:before="156" w:after="156"/>
        <w:rPr>
          <w:color w:val="auto"/>
        </w:rPr>
      </w:pPr>
      <w:bookmarkStart w:id="299" w:name="_Toc332829376"/>
      <w:bookmarkEnd w:id="299"/>
      <w:bookmarkStart w:id="300" w:name="_Toc332391480"/>
      <w:r>
        <w:rPr>
          <w:rFonts w:hint="eastAsia"/>
          <w:color w:val="auto"/>
        </w:rPr>
        <w:t>设备设置检测</w:t>
      </w:r>
    </w:p>
    <w:p>
      <w:pPr>
        <w:pStyle w:val="60"/>
        <w:ind w:firstLine="420"/>
        <w:rPr>
          <w:color w:val="auto"/>
        </w:rPr>
      </w:pPr>
      <w:r>
        <w:rPr>
          <w:rFonts w:hint="eastAsia"/>
          <w:color w:val="auto"/>
        </w:rPr>
        <w:t>设备设置</w:t>
      </w:r>
      <w:bookmarkEnd w:id="300"/>
      <w:r>
        <w:rPr>
          <w:rFonts w:hint="eastAsia"/>
          <w:color w:val="auto"/>
        </w:rPr>
        <w:t>检测要求如下：</w:t>
      </w:r>
    </w:p>
    <w:p>
      <w:pPr>
        <w:pStyle w:val="178"/>
        <w:numPr>
          <w:ilvl w:val="0"/>
          <w:numId w:val="226"/>
        </w:numPr>
        <w:rPr>
          <w:color w:val="auto"/>
        </w:rPr>
      </w:pPr>
      <w:r>
        <w:rPr>
          <w:rFonts w:hint="eastAsia"/>
          <w:color w:val="auto"/>
        </w:rPr>
        <w:t>检测内容应依据DB11/T 1164.1中TVM设备设置功能的要求逐项检测；</w:t>
      </w:r>
    </w:p>
    <w:p>
      <w:pPr>
        <w:pStyle w:val="178"/>
        <w:rPr>
          <w:color w:val="auto"/>
        </w:rPr>
      </w:pPr>
      <w:r>
        <w:rPr>
          <w:rFonts w:hint="eastAsia"/>
          <w:color w:val="auto"/>
        </w:rPr>
        <w:t>检测方法应在受检TVM上进行设备设置操作。受检TVM应按照设置后的模式进行工作，通过仿真中心系统的记录检查受检TVM设置后的状态。TVM的设置信息种类</w:t>
      </w:r>
      <w:r>
        <w:rPr>
          <w:rFonts w:hint="eastAsia"/>
          <w:color w:val="auto"/>
          <w:lang w:val="en-US" w:eastAsia="zh-CN"/>
        </w:rPr>
        <w:t>应符合</w:t>
      </w:r>
      <w:r>
        <w:rPr>
          <w:rFonts w:hint="eastAsia"/>
          <w:color w:val="auto"/>
        </w:rPr>
        <w:t>表 10。</w:t>
      </w:r>
    </w:p>
    <w:p>
      <w:pPr>
        <w:pStyle w:val="116"/>
        <w:spacing w:before="156" w:after="156"/>
        <w:rPr>
          <w:color w:val="auto"/>
        </w:rPr>
      </w:pPr>
      <w:r>
        <w:rPr>
          <w:rFonts w:hint="eastAsia"/>
          <w:color w:val="auto"/>
        </w:rPr>
        <w:t>TVM设置信息种类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2"/>
        <w:gridCol w:w="4477"/>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445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设备设置</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4458"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基本信息设置</w:t>
            </w:r>
          </w:p>
        </w:tc>
        <w:tc>
          <w:tcPr>
            <w:tcW w:w="3112"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运营模式设置</w:t>
            </w:r>
          </w:p>
        </w:tc>
        <w:tc>
          <w:tcPr>
            <w:tcW w:w="3112"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仅脱机时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服务模式设置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24</w:t>
            </w:r>
            <w:r>
              <w:rPr>
                <w:rFonts w:hint="eastAsia" w:ascii="宋体" w:hAnsi="宋体"/>
                <w:color w:val="auto"/>
                <w:sz w:val="18"/>
                <w:szCs w:val="18"/>
              </w:rPr>
              <w:t>小时运营设置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延长运营设置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时钟设置</w:t>
            </w:r>
          </w:p>
        </w:tc>
        <w:tc>
          <w:tcPr>
            <w:tcW w:w="3112" w:type="dxa"/>
            <w:shd w:val="clear" w:color="auto" w:fill="auto"/>
            <w:vAlign w:val="center"/>
          </w:tcPr>
          <w:p>
            <w:pPr>
              <w:spacing w:line="240" w:lineRule="auto"/>
              <w:jc w:val="center"/>
              <w:rPr>
                <w:rFonts w:ascii="宋体" w:hAnsi="Times New Roman"/>
                <w:color w:val="auto"/>
                <w:sz w:val="18"/>
                <w:szCs w:val="18"/>
              </w:rPr>
            </w:pPr>
          </w:p>
        </w:tc>
      </w:tr>
    </w:tbl>
    <w:p>
      <w:pPr>
        <w:pStyle w:val="98"/>
        <w:spacing w:before="156" w:after="156"/>
        <w:rPr>
          <w:color w:val="auto"/>
        </w:rPr>
      </w:pPr>
      <w:bookmarkStart w:id="301" w:name="_Toc332829377"/>
      <w:bookmarkEnd w:id="301"/>
      <w:bookmarkStart w:id="302" w:name="_Toc332391481"/>
      <w:r>
        <w:rPr>
          <w:rFonts w:hint="eastAsia"/>
          <w:color w:val="auto"/>
        </w:rPr>
        <w:t>设备部件检测</w:t>
      </w:r>
    </w:p>
    <w:p>
      <w:pPr>
        <w:pStyle w:val="60"/>
        <w:ind w:firstLine="420"/>
        <w:rPr>
          <w:color w:val="auto"/>
        </w:rPr>
      </w:pPr>
      <w:r>
        <w:rPr>
          <w:rFonts w:hint="eastAsia"/>
          <w:color w:val="auto"/>
        </w:rPr>
        <w:t>设备部件检测</w:t>
      </w:r>
      <w:bookmarkEnd w:id="302"/>
      <w:r>
        <w:rPr>
          <w:rFonts w:hint="eastAsia"/>
          <w:color w:val="auto"/>
        </w:rPr>
        <w:t>要求如下：</w:t>
      </w:r>
    </w:p>
    <w:p>
      <w:pPr>
        <w:pStyle w:val="178"/>
        <w:numPr>
          <w:ilvl w:val="0"/>
          <w:numId w:val="227"/>
        </w:numPr>
        <w:rPr>
          <w:color w:val="auto"/>
        </w:rPr>
      </w:pPr>
      <w:r>
        <w:rPr>
          <w:rFonts w:hint="eastAsia"/>
          <w:color w:val="auto"/>
        </w:rPr>
        <w:t>检测内容应依据DB11/T 1164.1中TVM设备部件检测功能的要求逐项检测；</w:t>
      </w:r>
    </w:p>
    <w:p>
      <w:pPr>
        <w:pStyle w:val="178"/>
        <w:rPr>
          <w:color w:val="auto"/>
        </w:rPr>
      </w:pPr>
      <w:r>
        <w:rPr>
          <w:rFonts w:hint="eastAsia"/>
          <w:color w:val="auto"/>
        </w:rPr>
        <w:t>检测方法应在受检TVM上执行设备部件检测动作，受检TVM根据检测结果更新部件状态，并上传至仿真中心系统。通过仿真中心系统检测受检TVM上传的执行结果应正确。TVM要进行的部件检测</w:t>
      </w:r>
      <w:r>
        <w:rPr>
          <w:rFonts w:hint="eastAsia"/>
          <w:color w:val="auto"/>
          <w:lang w:eastAsia="zh-CN"/>
        </w:rPr>
        <w:t>应符合</w:t>
      </w:r>
      <w:r>
        <w:rPr>
          <w:rFonts w:hint="eastAsia"/>
          <w:color w:val="auto"/>
        </w:rPr>
        <w:t>表 11。</w:t>
      </w:r>
    </w:p>
    <w:p>
      <w:pPr>
        <w:pStyle w:val="116"/>
        <w:spacing w:before="156" w:after="156"/>
        <w:rPr>
          <w:color w:val="auto"/>
        </w:rPr>
      </w:pPr>
      <w:bookmarkStart w:id="303" w:name="_Ref49766389"/>
      <w:bookmarkEnd w:id="303"/>
      <w:bookmarkStart w:id="304" w:name="_Toc449538970"/>
      <w:bookmarkEnd w:id="304"/>
      <w:r>
        <w:rPr>
          <w:rFonts w:hint="eastAsia"/>
          <w:color w:val="auto"/>
        </w:rPr>
        <w:t>TVM部件检测表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90"/>
        <w:gridCol w:w="7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153"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部件检测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153"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网络连接状态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招援按钮检测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人体传感器检测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TPU</w:t>
            </w:r>
            <w:r>
              <w:rPr>
                <w:rFonts w:hint="eastAsia" w:ascii="宋体" w:hAnsi="宋体"/>
                <w:color w:val="auto"/>
                <w:sz w:val="18"/>
                <w:szCs w:val="18"/>
              </w:rPr>
              <w:t>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硬币单元检测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纸币单元检测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7</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纸币找零单元检测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8</w:t>
            </w:r>
          </w:p>
        </w:tc>
        <w:tc>
          <w:tcPr>
            <w:tcW w:w="715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车票发行单元检测</w:t>
            </w:r>
          </w:p>
        </w:tc>
      </w:tr>
    </w:tbl>
    <w:p>
      <w:pPr>
        <w:pStyle w:val="98"/>
        <w:spacing w:before="156" w:after="156"/>
        <w:rPr>
          <w:color w:val="auto"/>
        </w:rPr>
      </w:pPr>
      <w:bookmarkStart w:id="305" w:name="_Toc332391482"/>
      <w:bookmarkEnd w:id="305"/>
      <w:bookmarkStart w:id="306" w:name="_Toc332829378"/>
      <w:r>
        <w:rPr>
          <w:rFonts w:hint="eastAsia"/>
          <w:color w:val="auto"/>
        </w:rPr>
        <w:t>数据导入导出检测</w:t>
      </w:r>
    </w:p>
    <w:p>
      <w:pPr>
        <w:pStyle w:val="60"/>
        <w:ind w:firstLine="420"/>
        <w:rPr>
          <w:color w:val="auto"/>
        </w:rPr>
      </w:pPr>
      <w:r>
        <w:rPr>
          <w:rFonts w:hint="eastAsia"/>
          <w:color w:val="auto"/>
        </w:rPr>
        <w:t>数据导入导出</w:t>
      </w:r>
      <w:bookmarkEnd w:id="306"/>
      <w:r>
        <w:rPr>
          <w:rFonts w:hint="eastAsia"/>
          <w:color w:val="auto"/>
        </w:rPr>
        <w:t>检测要求如下：</w:t>
      </w:r>
    </w:p>
    <w:p>
      <w:pPr>
        <w:pStyle w:val="178"/>
        <w:numPr>
          <w:ilvl w:val="0"/>
          <w:numId w:val="228"/>
        </w:numPr>
        <w:rPr>
          <w:color w:val="auto"/>
        </w:rPr>
      </w:pPr>
      <w:r>
        <w:rPr>
          <w:rFonts w:hint="eastAsia"/>
          <w:color w:val="auto"/>
        </w:rPr>
        <w:t>检测内容应依据DB11/T 1164.1中TVM数据导入导出功能的要求逐项检测；</w:t>
      </w:r>
    </w:p>
    <w:p>
      <w:pPr>
        <w:pStyle w:val="178"/>
        <w:rPr>
          <w:color w:val="auto"/>
        </w:rPr>
      </w:pPr>
      <w:r>
        <w:rPr>
          <w:rFonts w:hint="eastAsia"/>
          <w:color w:val="auto"/>
        </w:rPr>
        <w:t>检测方法要求如下：</w:t>
      </w:r>
    </w:p>
    <w:p>
      <w:pPr>
        <w:pStyle w:val="113"/>
        <w:numPr>
          <w:ilvl w:val="1"/>
          <w:numId w:val="229"/>
        </w:numPr>
        <w:rPr>
          <w:color w:val="auto"/>
        </w:rPr>
      </w:pPr>
      <w:r>
        <w:rPr>
          <w:rFonts w:hint="eastAsia"/>
          <w:color w:val="auto"/>
        </w:rPr>
        <w:t>通过外部存储设备将参数数据导入到受检TVM上，进行相关的业务操作，检查受检BOM参数导入的正确性；</w:t>
      </w:r>
    </w:p>
    <w:p>
      <w:pPr>
        <w:pStyle w:val="113"/>
        <w:rPr>
          <w:color w:val="auto"/>
        </w:rPr>
      </w:pPr>
      <w:r>
        <w:rPr>
          <w:rFonts w:hint="eastAsia"/>
          <w:color w:val="auto"/>
        </w:rPr>
        <w:t>将受检TVM上的交易数据、业务数据、事件数据、日志数据导出到外部存储设备，再将外部存储设备上导出的数据导入到仿真中心系统上，检查导出数据的正确性。</w:t>
      </w:r>
    </w:p>
    <w:p>
      <w:pPr>
        <w:pStyle w:val="98"/>
        <w:spacing w:before="156" w:after="156"/>
        <w:rPr>
          <w:color w:val="auto"/>
        </w:rPr>
      </w:pPr>
      <w:bookmarkStart w:id="307" w:name="_Toc332391483"/>
      <w:bookmarkEnd w:id="307"/>
      <w:bookmarkStart w:id="308" w:name="_Toc332829379"/>
      <w:r>
        <w:rPr>
          <w:rFonts w:hint="eastAsia"/>
          <w:color w:val="auto"/>
        </w:rPr>
        <w:t>管理卡认证检测</w:t>
      </w:r>
    </w:p>
    <w:p>
      <w:pPr>
        <w:pStyle w:val="60"/>
        <w:ind w:firstLine="420"/>
        <w:rPr>
          <w:color w:val="auto"/>
        </w:rPr>
      </w:pPr>
      <w:r>
        <w:rPr>
          <w:rFonts w:hint="eastAsia"/>
          <w:color w:val="auto"/>
        </w:rPr>
        <w:t>管理卡认证</w:t>
      </w:r>
      <w:bookmarkEnd w:id="308"/>
      <w:r>
        <w:rPr>
          <w:rFonts w:hint="eastAsia"/>
          <w:color w:val="auto"/>
        </w:rPr>
        <w:t>检测要求如下：</w:t>
      </w:r>
    </w:p>
    <w:p>
      <w:pPr>
        <w:pStyle w:val="178"/>
        <w:numPr>
          <w:ilvl w:val="0"/>
          <w:numId w:val="230"/>
        </w:numPr>
        <w:rPr>
          <w:color w:val="auto"/>
        </w:rPr>
      </w:pPr>
      <w:r>
        <w:rPr>
          <w:rFonts w:hint="eastAsia"/>
          <w:color w:val="auto"/>
        </w:rPr>
        <w:t>检测内容应依据DB11/T 1164.1中TVM管理卡认证功能的要求逐项检测；</w:t>
      </w:r>
    </w:p>
    <w:p>
      <w:pPr>
        <w:pStyle w:val="178"/>
        <w:rPr>
          <w:color w:val="auto"/>
        </w:rPr>
      </w:pPr>
      <w:r>
        <w:rPr>
          <w:rFonts w:hint="eastAsia"/>
          <w:color w:val="auto"/>
        </w:rPr>
        <w:t>检测方法要求如下：</w:t>
      </w:r>
    </w:p>
    <w:p>
      <w:pPr>
        <w:pStyle w:val="113"/>
        <w:numPr>
          <w:ilvl w:val="1"/>
          <w:numId w:val="231"/>
        </w:numPr>
        <w:rPr>
          <w:color w:val="auto"/>
        </w:rPr>
      </w:pPr>
      <w:r>
        <w:rPr>
          <w:rFonts w:hint="eastAsia"/>
          <w:color w:val="auto"/>
        </w:rPr>
        <w:t>断开受检TVM的网络；</w:t>
      </w:r>
    </w:p>
    <w:p>
      <w:pPr>
        <w:pStyle w:val="113"/>
        <w:rPr>
          <w:color w:val="auto"/>
        </w:rPr>
      </w:pPr>
      <w:r>
        <w:rPr>
          <w:rFonts w:hint="eastAsia"/>
          <w:color w:val="auto"/>
        </w:rPr>
        <w:t>使用一票通认证管理卡在受检TVM上对一票通ISAM卡进行认证；</w:t>
      </w:r>
    </w:p>
    <w:p>
      <w:pPr>
        <w:pStyle w:val="113"/>
        <w:rPr>
          <w:color w:val="auto"/>
        </w:rPr>
      </w:pPr>
      <w:r>
        <w:rPr>
          <w:rFonts w:hint="eastAsia"/>
          <w:color w:val="auto"/>
        </w:rPr>
        <w:t>认证后的受检TVM对一票通车票应进行正常的售票等相关业务。</w:t>
      </w:r>
    </w:p>
    <w:p>
      <w:pPr>
        <w:pStyle w:val="98"/>
        <w:spacing w:before="156" w:after="156"/>
        <w:rPr>
          <w:color w:val="auto"/>
        </w:rPr>
      </w:pPr>
      <w:bookmarkStart w:id="309" w:name="_Toc332829380"/>
      <w:bookmarkEnd w:id="309"/>
      <w:bookmarkStart w:id="310" w:name="_Toc332391484"/>
      <w:r>
        <w:rPr>
          <w:rFonts w:hint="eastAsia"/>
          <w:color w:val="auto"/>
        </w:rPr>
        <w:t>ISAM卡签到检测</w:t>
      </w:r>
    </w:p>
    <w:p>
      <w:pPr>
        <w:pStyle w:val="60"/>
        <w:ind w:firstLine="420"/>
        <w:rPr>
          <w:color w:val="auto"/>
        </w:rPr>
      </w:pPr>
      <w:r>
        <w:rPr>
          <w:rFonts w:hint="eastAsia"/>
          <w:color w:val="auto"/>
        </w:rPr>
        <w:t>ISAM</w:t>
      </w:r>
      <w:bookmarkEnd w:id="310"/>
      <w:r>
        <w:rPr>
          <w:rFonts w:hint="eastAsia"/>
          <w:color w:val="auto"/>
        </w:rPr>
        <w:t>卡签到检测要求如下：</w:t>
      </w:r>
    </w:p>
    <w:p>
      <w:pPr>
        <w:pStyle w:val="178"/>
        <w:numPr>
          <w:ilvl w:val="0"/>
          <w:numId w:val="232"/>
        </w:numPr>
        <w:rPr>
          <w:color w:val="auto"/>
        </w:rPr>
      </w:pPr>
      <w:r>
        <w:rPr>
          <w:rFonts w:hint="eastAsia"/>
          <w:color w:val="auto"/>
        </w:rPr>
        <w:t>检测内容应依据DB11/T 1164.1中TVM ISAM卡签到功能的要求逐项检测；</w:t>
      </w:r>
    </w:p>
    <w:p>
      <w:pPr>
        <w:pStyle w:val="178"/>
        <w:rPr>
          <w:color w:val="auto"/>
        </w:rPr>
      </w:pPr>
      <w:r>
        <w:rPr>
          <w:rFonts w:hint="eastAsia"/>
          <w:color w:val="auto"/>
        </w:rPr>
        <w:t>检测方法要求如下：</w:t>
      </w:r>
    </w:p>
    <w:p>
      <w:pPr>
        <w:pStyle w:val="113"/>
        <w:numPr>
          <w:ilvl w:val="1"/>
          <w:numId w:val="233"/>
        </w:numPr>
        <w:rPr>
          <w:color w:val="auto"/>
        </w:rPr>
      </w:pPr>
      <w:r>
        <w:rPr>
          <w:rFonts w:hint="eastAsia"/>
          <w:color w:val="auto"/>
        </w:rPr>
        <w:t>受检TVM与一票通ISAM卡认证服务器网络连接正常；</w:t>
      </w:r>
    </w:p>
    <w:p>
      <w:pPr>
        <w:pStyle w:val="113"/>
        <w:rPr>
          <w:color w:val="auto"/>
        </w:rPr>
      </w:pPr>
      <w:r>
        <w:rPr>
          <w:rFonts w:hint="eastAsia"/>
          <w:color w:val="auto"/>
        </w:rPr>
        <w:t>受检TVM与一卡通ISAM卡认证服务器网络连接正常；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在受检TVM上进行一票通ISAM卡和一卡通ISAM卡签到操作，检测受检TVM的执行结果；</w:t>
      </w:r>
    </w:p>
    <w:p>
      <w:pPr>
        <w:pStyle w:val="113"/>
        <w:rPr>
          <w:color w:val="auto"/>
        </w:rPr>
      </w:pPr>
      <w:r>
        <w:rPr>
          <w:rFonts w:hint="eastAsia"/>
          <w:color w:val="auto"/>
        </w:rPr>
        <w:t>在受检TVM上执行售票、充值等业务，检测受检TVM的ISAM卡签到应成功；</w:t>
      </w:r>
    </w:p>
    <w:p>
      <w:pPr>
        <w:pStyle w:val="113"/>
        <w:rPr>
          <w:color w:val="auto"/>
        </w:rPr>
      </w:pPr>
      <w:r>
        <w:rPr>
          <w:rFonts w:hint="eastAsia"/>
          <w:color w:val="auto"/>
        </w:rPr>
        <w:t>通过仿真一卡通ISAM卡认证系统的记录检测受检TVM签到应正确；</w:t>
      </w:r>
    </w:p>
    <w:p>
      <w:pPr>
        <w:pStyle w:val="113"/>
        <w:rPr>
          <w:color w:val="auto"/>
        </w:rPr>
      </w:pPr>
      <w:r>
        <w:rPr>
          <w:rFonts w:hint="eastAsia"/>
          <w:color w:val="auto"/>
        </w:rPr>
        <w:t>通过仿真一票通ISAM卡认证系统的记录检测受检TVM签到应正确。</w:t>
      </w:r>
    </w:p>
    <w:p>
      <w:pPr>
        <w:pStyle w:val="98"/>
        <w:spacing w:before="156" w:after="156"/>
        <w:rPr>
          <w:color w:val="auto"/>
        </w:rPr>
      </w:pPr>
      <w:bookmarkStart w:id="311" w:name="_Toc332391485"/>
      <w:bookmarkEnd w:id="311"/>
      <w:bookmarkStart w:id="312" w:name="_Toc332829381"/>
      <w:r>
        <w:rPr>
          <w:rFonts w:hint="eastAsia"/>
          <w:color w:val="auto"/>
        </w:rPr>
        <w:t>ISAM卡签退检测</w:t>
      </w:r>
    </w:p>
    <w:p>
      <w:pPr>
        <w:pStyle w:val="60"/>
        <w:ind w:firstLine="420"/>
        <w:rPr>
          <w:color w:val="auto"/>
        </w:rPr>
      </w:pPr>
      <w:r>
        <w:rPr>
          <w:rFonts w:hint="eastAsia"/>
          <w:color w:val="auto"/>
        </w:rPr>
        <w:t>ISAM</w:t>
      </w:r>
      <w:bookmarkEnd w:id="312"/>
      <w:r>
        <w:rPr>
          <w:rFonts w:hint="eastAsia"/>
          <w:color w:val="auto"/>
        </w:rPr>
        <w:t>卡签退检测要求如下：</w:t>
      </w:r>
    </w:p>
    <w:p>
      <w:pPr>
        <w:pStyle w:val="178"/>
        <w:numPr>
          <w:ilvl w:val="0"/>
          <w:numId w:val="234"/>
        </w:numPr>
        <w:rPr>
          <w:color w:val="auto"/>
        </w:rPr>
      </w:pPr>
      <w:r>
        <w:rPr>
          <w:rFonts w:hint="eastAsia"/>
          <w:color w:val="auto"/>
        </w:rPr>
        <w:t>检测内容应依据DB11/T 1164.1中TVM ISAM卡签退功能的要求逐项检测；</w:t>
      </w:r>
    </w:p>
    <w:p>
      <w:pPr>
        <w:pStyle w:val="178"/>
        <w:rPr>
          <w:color w:val="auto"/>
        </w:rPr>
      </w:pPr>
      <w:r>
        <w:rPr>
          <w:rFonts w:hint="eastAsia"/>
          <w:color w:val="auto"/>
        </w:rPr>
        <w:t>检测方法要求如下：</w:t>
      </w:r>
    </w:p>
    <w:p>
      <w:pPr>
        <w:pStyle w:val="113"/>
        <w:numPr>
          <w:ilvl w:val="1"/>
          <w:numId w:val="235"/>
        </w:numPr>
        <w:rPr>
          <w:color w:val="auto"/>
        </w:rPr>
      </w:pPr>
      <w:r>
        <w:rPr>
          <w:rFonts w:hint="eastAsia"/>
          <w:color w:val="auto"/>
        </w:rPr>
        <w:t>受检TVM与一票通ISAM卡认证服务器网络连接正常；</w:t>
      </w:r>
    </w:p>
    <w:p>
      <w:pPr>
        <w:pStyle w:val="113"/>
        <w:rPr>
          <w:color w:val="auto"/>
        </w:rPr>
      </w:pPr>
      <w:r>
        <w:rPr>
          <w:rFonts w:hint="eastAsia"/>
          <w:color w:val="auto"/>
        </w:rPr>
        <w:t>受检TVM与一卡通ISAM卡认证服务器网络连接正常；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在受检TVM上进行一票通ISAM卡和一卡通ISAM卡签退操作，通过仿真一票通ISAM卡认证系统和仿真一卡通ISAM卡认证系统的记录检测受检TVM签退应正确。</w:t>
      </w:r>
    </w:p>
    <w:p>
      <w:pPr>
        <w:pStyle w:val="98"/>
        <w:spacing w:before="156" w:after="156"/>
        <w:rPr>
          <w:color w:val="auto"/>
        </w:rPr>
      </w:pPr>
      <w:bookmarkStart w:id="313" w:name="_Toc332829382"/>
      <w:bookmarkEnd w:id="313"/>
      <w:bookmarkStart w:id="314" w:name="_Toc332391486"/>
      <w:r>
        <w:rPr>
          <w:rFonts w:hint="eastAsia"/>
          <w:color w:val="auto"/>
        </w:rPr>
        <w:t>ISAM卡领用检测</w:t>
      </w:r>
    </w:p>
    <w:p>
      <w:pPr>
        <w:pStyle w:val="60"/>
        <w:ind w:firstLine="420"/>
        <w:rPr>
          <w:color w:val="auto"/>
        </w:rPr>
      </w:pPr>
      <w:r>
        <w:rPr>
          <w:rFonts w:hint="eastAsia"/>
          <w:color w:val="auto"/>
        </w:rPr>
        <w:t>ISAM</w:t>
      </w:r>
      <w:bookmarkEnd w:id="314"/>
      <w:r>
        <w:rPr>
          <w:rFonts w:hint="eastAsia"/>
          <w:color w:val="auto"/>
        </w:rPr>
        <w:t>卡领用检测要求如下：</w:t>
      </w:r>
    </w:p>
    <w:p>
      <w:pPr>
        <w:pStyle w:val="178"/>
        <w:numPr>
          <w:ilvl w:val="0"/>
          <w:numId w:val="236"/>
        </w:numPr>
        <w:rPr>
          <w:color w:val="auto"/>
        </w:rPr>
      </w:pPr>
      <w:r>
        <w:rPr>
          <w:rFonts w:hint="eastAsia"/>
          <w:color w:val="auto"/>
        </w:rPr>
        <w:t>检测内容应依据DB11/T 1164.1中TVM ISAM卡领用功能的要求逐项检测；</w:t>
      </w:r>
    </w:p>
    <w:p>
      <w:pPr>
        <w:pStyle w:val="178"/>
        <w:rPr>
          <w:color w:val="auto"/>
        </w:rPr>
      </w:pPr>
      <w:r>
        <w:rPr>
          <w:rFonts w:hint="eastAsia"/>
          <w:color w:val="auto"/>
        </w:rPr>
        <w:t>检测方法要求如下：</w:t>
      </w:r>
    </w:p>
    <w:p>
      <w:pPr>
        <w:pStyle w:val="113"/>
        <w:numPr>
          <w:ilvl w:val="1"/>
          <w:numId w:val="237"/>
        </w:numPr>
        <w:rPr>
          <w:color w:val="auto"/>
        </w:rPr>
      </w:pPr>
      <w:r>
        <w:rPr>
          <w:rFonts w:hint="eastAsia"/>
          <w:color w:val="auto"/>
        </w:rPr>
        <w:t>在受检TVM上安装未使用过的一卡通ISAM卡，执行一卡通ISAM卡领用操作；</w:t>
      </w:r>
    </w:p>
    <w:p>
      <w:pPr>
        <w:pStyle w:val="113"/>
        <w:rPr>
          <w:color w:val="auto"/>
        </w:rPr>
      </w:pPr>
      <w:r>
        <w:rPr>
          <w:rFonts w:hint="eastAsia"/>
          <w:color w:val="auto"/>
        </w:rPr>
        <w:t>通过仿真一卡通ISAM卡认证系统的记录检测受检TVM领用应正确。</w:t>
      </w:r>
    </w:p>
    <w:p>
      <w:pPr>
        <w:pStyle w:val="98"/>
        <w:spacing w:before="156" w:after="156"/>
        <w:rPr>
          <w:color w:val="auto"/>
        </w:rPr>
      </w:pPr>
      <w:bookmarkStart w:id="315" w:name="_Toc332391487"/>
      <w:bookmarkEnd w:id="315"/>
      <w:bookmarkStart w:id="316" w:name="_Toc332829383"/>
      <w:r>
        <w:rPr>
          <w:rFonts w:hint="eastAsia"/>
          <w:color w:val="auto"/>
        </w:rPr>
        <w:t>ISAM卡更换检测</w:t>
      </w:r>
    </w:p>
    <w:p>
      <w:pPr>
        <w:pStyle w:val="60"/>
        <w:ind w:firstLine="420"/>
        <w:rPr>
          <w:color w:val="auto"/>
        </w:rPr>
      </w:pPr>
      <w:r>
        <w:rPr>
          <w:rFonts w:hint="eastAsia"/>
          <w:color w:val="auto"/>
        </w:rPr>
        <w:t>ISAM</w:t>
      </w:r>
      <w:bookmarkEnd w:id="316"/>
      <w:r>
        <w:rPr>
          <w:rFonts w:hint="eastAsia"/>
          <w:color w:val="auto"/>
        </w:rPr>
        <w:t>卡更换检测要求如下：</w:t>
      </w:r>
    </w:p>
    <w:p>
      <w:pPr>
        <w:pStyle w:val="178"/>
        <w:numPr>
          <w:ilvl w:val="0"/>
          <w:numId w:val="238"/>
        </w:numPr>
        <w:rPr>
          <w:color w:val="auto"/>
        </w:rPr>
      </w:pPr>
      <w:r>
        <w:rPr>
          <w:rFonts w:hint="eastAsia"/>
          <w:color w:val="auto"/>
        </w:rPr>
        <w:t>检测内容应依据DB11/T 1164.1中TVM ISAM卡更换功能的要求逐项检测；</w:t>
      </w:r>
    </w:p>
    <w:p>
      <w:pPr>
        <w:pStyle w:val="178"/>
        <w:rPr>
          <w:color w:val="auto"/>
        </w:rPr>
      </w:pPr>
      <w:r>
        <w:rPr>
          <w:rFonts w:hint="eastAsia"/>
          <w:color w:val="auto"/>
        </w:rPr>
        <w:t>检测方法要求如下：</w:t>
      </w:r>
    </w:p>
    <w:p>
      <w:pPr>
        <w:pStyle w:val="113"/>
        <w:numPr>
          <w:ilvl w:val="1"/>
          <w:numId w:val="239"/>
        </w:numPr>
        <w:rPr>
          <w:color w:val="auto"/>
        </w:rPr>
      </w:pPr>
      <w:r>
        <w:rPr>
          <w:rFonts w:hint="eastAsia"/>
          <w:color w:val="auto"/>
        </w:rPr>
        <w:t>更换受检TVM的一卡通ISAM卡，执行一卡通ISAM卡更换操作；</w:t>
      </w:r>
    </w:p>
    <w:p>
      <w:pPr>
        <w:pStyle w:val="113"/>
        <w:rPr>
          <w:color w:val="auto"/>
        </w:rPr>
      </w:pPr>
      <w:r>
        <w:rPr>
          <w:rFonts w:hint="eastAsia"/>
          <w:color w:val="auto"/>
        </w:rPr>
        <w:t>通过仿真一卡通ISAM卡认证系统的记录检测受检TVM更换应正确。</w:t>
      </w:r>
    </w:p>
    <w:p>
      <w:pPr>
        <w:pStyle w:val="98"/>
        <w:spacing w:before="156" w:after="156"/>
        <w:rPr>
          <w:color w:val="auto"/>
        </w:rPr>
      </w:pPr>
      <w:bookmarkStart w:id="317" w:name="_Toc332829384"/>
      <w:bookmarkEnd w:id="317"/>
      <w:bookmarkStart w:id="318" w:name="_Toc332391488"/>
      <w:r>
        <w:rPr>
          <w:rFonts w:hint="eastAsia"/>
          <w:color w:val="auto"/>
        </w:rPr>
        <w:t>远程监视检测</w:t>
      </w:r>
    </w:p>
    <w:p>
      <w:pPr>
        <w:pStyle w:val="60"/>
        <w:ind w:firstLine="420"/>
        <w:rPr>
          <w:color w:val="auto"/>
        </w:rPr>
      </w:pPr>
      <w:r>
        <w:rPr>
          <w:rFonts w:hint="eastAsia"/>
          <w:color w:val="auto"/>
        </w:rPr>
        <w:t>远程监视</w:t>
      </w:r>
      <w:bookmarkEnd w:id="318"/>
      <w:r>
        <w:rPr>
          <w:rFonts w:hint="eastAsia"/>
          <w:color w:val="auto"/>
        </w:rPr>
        <w:t>检测要求如下：</w:t>
      </w:r>
    </w:p>
    <w:p>
      <w:pPr>
        <w:pStyle w:val="178"/>
        <w:numPr>
          <w:ilvl w:val="0"/>
          <w:numId w:val="240"/>
        </w:numPr>
        <w:rPr>
          <w:color w:val="auto"/>
        </w:rPr>
      </w:pPr>
      <w:r>
        <w:rPr>
          <w:rFonts w:hint="eastAsia"/>
          <w:color w:val="auto"/>
        </w:rPr>
        <w:t>检测内容应依据DB11/T 1164.1中TVM远程监视功能的要求逐项检测；</w:t>
      </w:r>
    </w:p>
    <w:p>
      <w:pPr>
        <w:pStyle w:val="178"/>
        <w:rPr>
          <w:color w:val="auto"/>
        </w:rPr>
      </w:pPr>
      <w:r>
        <w:rPr>
          <w:rFonts w:hint="eastAsia"/>
          <w:color w:val="auto"/>
        </w:rPr>
        <w:t>检测方法应改变受检TVM的状态，或使受检TVM出现故障，通过仿真中心系统的记录检查受检BOM的状态应即时上传。</w:t>
      </w:r>
    </w:p>
    <w:p>
      <w:pPr>
        <w:pStyle w:val="98"/>
        <w:spacing w:before="156" w:after="156"/>
        <w:rPr>
          <w:color w:val="auto"/>
        </w:rPr>
      </w:pPr>
      <w:bookmarkStart w:id="319" w:name="_Toc332829385"/>
      <w:bookmarkEnd w:id="319"/>
      <w:bookmarkStart w:id="320" w:name="_Toc332391489"/>
      <w:r>
        <w:rPr>
          <w:rFonts w:hint="eastAsia"/>
          <w:color w:val="auto"/>
        </w:rPr>
        <w:t>远程控制检测</w:t>
      </w:r>
    </w:p>
    <w:p>
      <w:pPr>
        <w:pStyle w:val="60"/>
        <w:ind w:firstLine="420"/>
        <w:rPr>
          <w:color w:val="auto"/>
        </w:rPr>
      </w:pPr>
      <w:r>
        <w:rPr>
          <w:rFonts w:hint="eastAsia"/>
          <w:color w:val="auto"/>
        </w:rPr>
        <w:t>远程控制</w:t>
      </w:r>
      <w:bookmarkEnd w:id="320"/>
      <w:r>
        <w:rPr>
          <w:rFonts w:hint="eastAsia"/>
          <w:color w:val="auto"/>
        </w:rPr>
        <w:t>检测要求如下：</w:t>
      </w:r>
    </w:p>
    <w:p>
      <w:pPr>
        <w:pStyle w:val="178"/>
        <w:numPr>
          <w:ilvl w:val="0"/>
          <w:numId w:val="241"/>
        </w:numPr>
        <w:rPr>
          <w:color w:val="auto"/>
        </w:rPr>
      </w:pPr>
      <w:r>
        <w:rPr>
          <w:rFonts w:hint="eastAsia"/>
          <w:color w:val="auto"/>
        </w:rPr>
        <w:t>检测内容应依据DB11/T 1164.1中TVM远程控制功能的要求逐项检测；</w:t>
      </w:r>
    </w:p>
    <w:p>
      <w:pPr>
        <w:pStyle w:val="178"/>
        <w:rPr>
          <w:color w:val="auto"/>
        </w:rPr>
      </w:pPr>
      <w:r>
        <w:rPr>
          <w:rFonts w:hint="eastAsia"/>
          <w:color w:val="auto"/>
        </w:rPr>
        <w:t>检测方法应使用仿真中心系统向受检TVM发送控制指令。通过仿真中心系统的记录检测受检TVM应正确执行该命令，并上传执行结果。中心系统发送的控制命令</w:t>
      </w:r>
      <w:r>
        <w:rPr>
          <w:rFonts w:hint="eastAsia"/>
          <w:color w:val="auto"/>
          <w:lang w:eastAsia="zh-CN"/>
        </w:rPr>
        <w:t>应符合</w:t>
      </w:r>
      <w:r>
        <w:rPr>
          <w:rFonts w:hint="eastAsia"/>
          <w:color w:val="auto"/>
        </w:rPr>
        <w:t>表 12。</w:t>
      </w:r>
    </w:p>
    <w:p>
      <w:pPr>
        <w:pStyle w:val="116"/>
        <w:spacing w:before="156" w:after="156"/>
        <w:rPr>
          <w:color w:val="auto"/>
        </w:rPr>
      </w:pPr>
      <w:bookmarkStart w:id="321" w:name="_Ref49766421"/>
      <w:bookmarkEnd w:id="321"/>
      <w:bookmarkStart w:id="322" w:name="_Toc449538971"/>
      <w:bookmarkEnd w:id="322"/>
      <w:r>
        <w:rPr>
          <w:rFonts w:hint="eastAsia"/>
          <w:color w:val="auto"/>
        </w:rPr>
        <w:t>控制命令表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55"/>
        <w:gridCol w:w="7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28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288"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开机控制命令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运营结束控制命令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关机控制命令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服务模式控制命令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24</w:t>
            </w:r>
            <w:r>
              <w:rPr>
                <w:rFonts w:hint="eastAsia" w:ascii="宋体" w:hAnsi="宋体"/>
                <w:color w:val="auto"/>
                <w:sz w:val="18"/>
                <w:szCs w:val="18"/>
              </w:rPr>
              <w:t>小时运营控制命令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7</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延长运营控制命令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8</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车站停售控制命令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9</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强制登出控制命令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10</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强制时钟同步控制命令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11</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参数更新控制命令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12</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软件更新控制命令</w:t>
            </w:r>
          </w:p>
        </w:tc>
      </w:tr>
    </w:tbl>
    <w:p>
      <w:pPr>
        <w:pStyle w:val="98"/>
        <w:spacing w:before="156" w:after="156"/>
        <w:rPr>
          <w:color w:val="auto"/>
        </w:rPr>
      </w:pPr>
      <w:r>
        <w:rPr>
          <w:rFonts w:hint="eastAsia"/>
          <w:color w:val="auto"/>
        </w:rPr>
        <w:t>互联网支付检测</w:t>
      </w:r>
    </w:p>
    <w:p>
      <w:pPr>
        <w:pStyle w:val="60"/>
        <w:ind w:firstLine="420"/>
        <w:rPr>
          <w:color w:val="auto"/>
        </w:rPr>
      </w:pPr>
      <w:r>
        <w:rPr>
          <w:rFonts w:hint="eastAsia"/>
          <w:color w:val="auto"/>
        </w:rPr>
        <w:t>互联网支付检测要求如下：</w:t>
      </w:r>
    </w:p>
    <w:p>
      <w:pPr>
        <w:pStyle w:val="178"/>
        <w:numPr>
          <w:ilvl w:val="0"/>
          <w:numId w:val="242"/>
        </w:numPr>
        <w:rPr>
          <w:color w:val="auto"/>
        </w:rPr>
      </w:pPr>
      <w:r>
        <w:rPr>
          <w:rFonts w:hint="eastAsia"/>
          <w:color w:val="auto"/>
        </w:rPr>
        <w:t>检测内容应依据DB11/T 1164.1中 中心系统非现金支付功能的要求逐项检测；</w:t>
      </w:r>
    </w:p>
    <w:p>
      <w:pPr>
        <w:pStyle w:val="178"/>
        <w:rPr>
          <w:color w:val="auto"/>
        </w:rPr>
      </w:pPr>
      <w:r>
        <w:rPr>
          <w:rFonts w:hint="eastAsia"/>
          <w:color w:val="auto"/>
        </w:rPr>
        <w:t>检测方法应使用受检终端设备进行非现金支付业务处理，所生成的交易数据上传至实验室环境测试中心系统。通过中心系统的记录检测受检终端设备交易正确。</w:t>
      </w:r>
    </w:p>
    <w:p>
      <w:pPr>
        <w:pStyle w:val="69"/>
        <w:spacing w:before="156" w:after="156"/>
        <w:rPr>
          <w:color w:val="auto"/>
        </w:rPr>
      </w:pPr>
      <w:r>
        <w:rPr>
          <w:rFonts w:hint="eastAsia"/>
          <w:color w:val="auto"/>
        </w:rPr>
        <w:t>性能检测</w:t>
      </w:r>
    </w:p>
    <w:p>
      <w:pPr>
        <w:pStyle w:val="98"/>
        <w:spacing w:before="156" w:after="156"/>
        <w:rPr>
          <w:color w:val="auto"/>
        </w:rPr>
      </w:pPr>
      <w:bookmarkStart w:id="323" w:name="_Toc332829387"/>
      <w:bookmarkEnd w:id="323"/>
      <w:bookmarkStart w:id="324" w:name="_Toc332391492"/>
      <w:r>
        <w:rPr>
          <w:rFonts w:hint="eastAsia"/>
          <w:color w:val="auto"/>
        </w:rPr>
        <w:t>设备参数同步时间检测</w:t>
      </w:r>
    </w:p>
    <w:p>
      <w:pPr>
        <w:pStyle w:val="60"/>
        <w:ind w:firstLine="420"/>
        <w:rPr>
          <w:color w:val="auto"/>
        </w:rPr>
      </w:pPr>
      <w:r>
        <w:rPr>
          <w:rFonts w:hint="eastAsia"/>
          <w:color w:val="auto"/>
        </w:rPr>
        <w:t>设备参数同步时间</w:t>
      </w:r>
      <w:bookmarkEnd w:id="324"/>
      <w:r>
        <w:rPr>
          <w:rFonts w:hint="eastAsia"/>
          <w:color w:val="auto"/>
        </w:rPr>
        <w:t>检测要求如下：</w:t>
      </w:r>
    </w:p>
    <w:p>
      <w:pPr>
        <w:pStyle w:val="178"/>
        <w:numPr>
          <w:ilvl w:val="0"/>
          <w:numId w:val="243"/>
        </w:numPr>
        <w:rPr>
          <w:color w:val="auto"/>
        </w:rPr>
      </w:pPr>
      <w:r>
        <w:rPr>
          <w:rFonts w:hint="eastAsia"/>
          <w:color w:val="auto"/>
        </w:rPr>
        <w:t>检测内容为受检TVM成功完成参数同步的时间；</w:t>
      </w:r>
    </w:p>
    <w:p>
      <w:pPr>
        <w:pStyle w:val="178"/>
        <w:rPr>
          <w:color w:val="auto"/>
        </w:rPr>
      </w:pPr>
      <w:r>
        <w:rPr>
          <w:rFonts w:hint="eastAsia"/>
          <w:color w:val="auto"/>
        </w:rPr>
        <w:t>检测方法应使用仿真中心系统向受检TVM下发参数。通过仿真中心系统的记录检测受检TVM完成参数同步的时间。</w:t>
      </w:r>
    </w:p>
    <w:p>
      <w:pPr>
        <w:pStyle w:val="98"/>
        <w:spacing w:before="156" w:after="156"/>
        <w:rPr>
          <w:color w:val="auto"/>
        </w:rPr>
      </w:pPr>
      <w:bookmarkStart w:id="325" w:name="_Toc332829388"/>
      <w:bookmarkEnd w:id="325"/>
      <w:bookmarkStart w:id="326" w:name="_Toc332391493"/>
      <w:r>
        <w:rPr>
          <w:rFonts w:hint="eastAsia"/>
          <w:color w:val="auto"/>
        </w:rPr>
        <w:t>设备执行控制指令时间检测</w:t>
      </w:r>
    </w:p>
    <w:p>
      <w:pPr>
        <w:pStyle w:val="60"/>
        <w:ind w:firstLine="420"/>
        <w:rPr>
          <w:color w:val="auto"/>
        </w:rPr>
      </w:pPr>
      <w:r>
        <w:rPr>
          <w:rFonts w:hint="eastAsia"/>
          <w:color w:val="auto"/>
        </w:rPr>
        <w:t>设备执行控制指令时间</w:t>
      </w:r>
      <w:bookmarkEnd w:id="326"/>
      <w:r>
        <w:rPr>
          <w:rFonts w:hint="eastAsia"/>
          <w:color w:val="auto"/>
        </w:rPr>
        <w:t>检测要求如下：</w:t>
      </w:r>
    </w:p>
    <w:p>
      <w:pPr>
        <w:pStyle w:val="178"/>
        <w:numPr>
          <w:ilvl w:val="0"/>
          <w:numId w:val="244"/>
        </w:numPr>
        <w:rPr>
          <w:color w:val="auto"/>
        </w:rPr>
      </w:pPr>
      <w:r>
        <w:rPr>
          <w:rFonts w:hint="eastAsia"/>
          <w:color w:val="auto"/>
        </w:rPr>
        <w:t>检测内容为中心系统下发控制指令开始到受检TVM成功执行控制指令的时间间隔；</w:t>
      </w:r>
    </w:p>
    <w:p>
      <w:pPr>
        <w:pStyle w:val="178"/>
        <w:rPr>
          <w:color w:val="auto"/>
        </w:rPr>
      </w:pPr>
      <w:r>
        <w:rPr>
          <w:rFonts w:hint="eastAsia"/>
          <w:color w:val="auto"/>
        </w:rPr>
        <w:t>检测方法应使用仿真中心系统向受检TVM发送控制命令。通过仿真中心系统的记录检测受检TVM接收到控制命令并将执行结果上传至仿真中心系统的时间间隔。</w:t>
      </w:r>
    </w:p>
    <w:p>
      <w:pPr>
        <w:pStyle w:val="98"/>
        <w:spacing w:before="156" w:after="156"/>
        <w:rPr>
          <w:color w:val="auto"/>
        </w:rPr>
      </w:pPr>
      <w:bookmarkStart w:id="327" w:name="_Toc332391494"/>
      <w:bookmarkEnd w:id="327"/>
      <w:bookmarkStart w:id="328" w:name="_Toc332829389"/>
      <w:bookmarkEnd w:id="328"/>
      <w:bookmarkStart w:id="329" w:name="_Toc330802415"/>
      <w:bookmarkEnd w:id="329"/>
      <w:bookmarkStart w:id="330" w:name="_Toc331436415"/>
      <w:r>
        <w:rPr>
          <w:rFonts w:hint="eastAsia"/>
          <w:color w:val="auto"/>
        </w:rPr>
        <w:t>单张车票发售时间检测</w:t>
      </w:r>
    </w:p>
    <w:p>
      <w:pPr>
        <w:pStyle w:val="60"/>
        <w:ind w:firstLine="420"/>
        <w:rPr>
          <w:color w:val="auto"/>
        </w:rPr>
      </w:pPr>
      <w:r>
        <w:rPr>
          <w:rFonts w:hint="eastAsia"/>
          <w:color w:val="auto"/>
        </w:rPr>
        <w:t>单张车票发售时间</w:t>
      </w:r>
      <w:bookmarkEnd w:id="330"/>
      <w:r>
        <w:rPr>
          <w:rFonts w:hint="eastAsia"/>
          <w:color w:val="auto"/>
        </w:rPr>
        <w:t>检测要求如下：</w:t>
      </w:r>
    </w:p>
    <w:p>
      <w:pPr>
        <w:pStyle w:val="178"/>
        <w:numPr>
          <w:ilvl w:val="0"/>
          <w:numId w:val="245"/>
        </w:numPr>
        <w:rPr>
          <w:color w:val="auto"/>
        </w:rPr>
      </w:pPr>
      <w:r>
        <w:rPr>
          <w:rFonts w:hint="eastAsia"/>
          <w:color w:val="auto"/>
        </w:rPr>
        <w:t>检测内容为受检设备应符合DB11/T 1164.7自动售票机的单张车票发售时间要求；</w:t>
      </w:r>
    </w:p>
    <w:p>
      <w:pPr>
        <w:pStyle w:val="178"/>
        <w:rPr>
          <w:color w:val="auto"/>
        </w:rPr>
      </w:pPr>
      <w:r>
        <w:rPr>
          <w:rFonts w:hint="eastAsia"/>
          <w:color w:val="auto"/>
        </w:rPr>
        <w:t>检测方法应在受检设备上按下表推荐用例购买单张车票，投入所需金额的钱币或使用非现金支付，记录从完成投币后或完成非现金支付后开始购票，到车票和找零钱币完全送出的间隔时间。每个项目类别各测量5次，取平均值。各类车票发售项目的推荐测试用例</w:t>
      </w:r>
      <w:r>
        <w:rPr>
          <w:rFonts w:hint="eastAsia"/>
          <w:color w:val="auto"/>
          <w:lang w:eastAsia="zh-CN"/>
        </w:rPr>
        <w:t>应符合</w:t>
      </w:r>
      <w:r>
        <w:rPr>
          <w:rFonts w:hint="eastAsia"/>
          <w:color w:val="auto"/>
        </w:rPr>
        <w:t>表 13。</w:t>
      </w:r>
    </w:p>
    <w:p>
      <w:pPr>
        <w:pStyle w:val="116"/>
        <w:spacing w:before="156" w:after="156"/>
        <w:rPr>
          <w:color w:val="auto"/>
        </w:rPr>
      </w:pPr>
      <w:bookmarkStart w:id="331" w:name="_Toc449538972"/>
      <w:bookmarkEnd w:id="331"/>
      <w:bookmarkStart w:id="332" w:name="_Toc322563209"/>
      <w:bookmarkEnd w:id="332"/>
      <w:bookmarkStart w:id="333" w:name="_Toc331436567"/>
      <w:bookmarkEnd w:id="333"/>
      <w:bookmarkStart w:id="334" w:name="_Ref49766483"/>
      <w:bookmarkEnd w:id="334"/>
      <w:bookmarkStart w:id="335" w:name="_Toc332391806"/>
      <w:bookmarkEnd w:id="335"/>
      <w:r>
        <w:rPr>
          <w:rFonts w:hint="eastAsia"/>
          <w:color w:val="auto"/>
        </w:rPr>
        <w:t>各车票发售项目推荐测试用例</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4"/>
        <w:gridCol w:w="3472"/>
        <w:gridCol w:w="4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3457"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项目类别</w:t>
            </w:r>
          </w:p>
        </w:tc>
        <w:tc>
          <w:tcPr>
            <w:tcW w:w="4250"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推荐用例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3457"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硬币支付无找零</w:t>
            </w:r>
          </w:p>
        </w:tc>
        <w:tc>
          <w:tcPr>
            <w:tcW w:w="4250" w:type="dxa"/>
            <w:tcBorders>
              <w:top w:val="single" w:color="auto" w:sz="8" w:space="0"/>
            </w:tcBorders>
            <w:shd w:val="clear" w:color="auto" w:fill="auto"/>
            <w:vAlign w:val="center"/>
          </w:tcPr>
          <w:p>
            <w:pPr>
              <w:pStyle w:val="60"/>
              <w:ind w:firstLine="0" w:firstLineChars="0"/>
              <w:rPr>
                <w:color w:val="auto"/>
                <w:sz w:val="18"/>
              </w:rPr>
            </w:pPr>
            <w:r>
              <w:rPr>
                <w:rFonts w:hint="eastAsia"/>
                <w:color w:val="auto"/>
                <w:sz w:val="18"/>
              </w:rPr>
              <w:t>3枚硬币购1张3元车票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shd w:val="clear" w:color="auto" w:fill="auto"/>
            <w:vAlign w:val="center"/>
          </w:tcPr>
          <w:p>
            <w:pPr>
              <w:pStyle w:val="60"/>
              <w:ind w:firstLine="360"/>
              <w:rPr>
                <w:color w:val="auto"/>
                <w:sz w:val="18"/>
              </w:rPr>
            </w:pPr>
            <w:r>
              <w:rPr>
                <w:rFonts w:hint="eastAsia"/>
                <w:color w:val="auto"/>
                <w:sz w:val="18"/>
              </w:rPr>
              <w:t>2</w:t>
            </w:r>
          </w:p>
        </w:tc>
        <w:tc>
          <w:tcPr>
            <w:tcW w:w="3457" w:type="dxa"/>
            <w:shd w:val="clear" w:color="auto" w:fill="auto"/>
            <w:vAlign w:val="center"/>
          </w:tcPr>
          <w:p>
            <w:pPr>
              <w:pStyle w:val="60"/>
              <w:ind w:firstLine="360"/>
              <w:rPr>
                <w:color w:val="auto"/>
                <w:sz w:val="18"/>
              </w:rPr>
            </w:pPr>
            <w:r>
              <w:rPr>
                <w:rFonts w:hint="eastAsia"/>
                <w:color w:val="auto"/>
                <w:sz w:val="18"/>
              </w:rPr>
              <w:t>纸币支付无找零</w:t>
            </w:r>
          </w:p>
        </w:tc>
        <w:tc>
          <w:tcPr>
            <w:tcW w:w="4250" w:type="dxa"/>
            <w:shd w:val="clear" w:color="auto" w:fill="auto"/>
            <w:vAlign w:val="center"/>
          </w:tcPr>
          <w:p>
            <w:pPr>
              <w:pStyle w:val="60"/>
              <w:ind w:firstLine="0" w:firstLineChars="0"/>
              <w:rPr>
                <w:color w:val="auto"/>
                <w:sz w:val="18"/>
              </w:rPr>
            </w:pPr>
            <w:r>
              <w:rPr>
                <w:rFonts w:hint="eastAsia"/>
                <w:color w:val="auto"/>
                <w:sz w:val="18"/>
              </w:rPr>
              <w:t>5元纸币购1张5元车票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shd w:val="clear" w:color="auto" w:fill="auto"/>
            <w:vAlign w:val="center"/>
          </w:tcPr>
          <w:p>
            <w:pPr>
              <w:pStyle w:val="60"/>
              <w:ind w:firstLine="360"/>
              <w:rPr>
                <w:color w:val="auto"/>
                <w:sz w:val="18"/>
              </w:rPr>
            </w:pPr>
            <w:r>
              <w:rPr>
                <w:rFonts w:hint="eastAsia"/>
                <w:color w:val="auto"/>
                <w:sz w:val="18"/>
              </w:rPr>
              <w:t>3</w:t>
            </w:r>
          </w:p>
        </w:tc>
        <w:tc>
          <w:tcPr>
            <w:tcW w:w="3457" w:type="dxa"/>
            <w:shd w:val="clear" w:color="auto" w:fill="auto"/>
            <w:vAlign w:val="center"/>
          </w:tcPr>
          <w:p>
            <w:pPr>
              <w:pStyle w:val="60"/>
              <w:ind w:firstLine="360"/>
              <w:rPr>
                <w:color w:val="auto"/>
                <w:sz w:val="18"/>
              </w:rPr>
            </w:pPr>
            <w:r>
              <w:rPr>
                <w:rFonts w:hint="eastAsia"/>
                <w:color w:val="auto"/>
                <w:sz w:val="18"/>
              </w:rPr>
              <w:t>纸币支付硬币找零</w:t>
            </w:r>
          </w:p>
        </w:tc>
        <w:tc>
          <w:tcPr>
            <w:tcW w:w="4250" w:type="dxa"/>
            <w:shd w:val="clear" w:color="auto" w:fill="auto"/>
            <w:vAlign w:val="center"/>
          </w:tcPr>
          <w:p>
            <w:pPr>
              <w:pStyle w:val="60"/>
              <w:ind w:firstLine="0" w:firstLineChars="0"/>
              <w:rPr>
                <w:color w:val="auto"/>
                <w:sz w:val="18"/>
              </w:rPr>
            </w:pPr>
            <w:r>
              <w:rPr>
                <w:rFonts w:hint="eastAsia"/>
                <w:color w:val="auto"/>
                <w:sz w:val="18"/>
              </w:rPr>
              <w:t>5元纸币购1张3元车票，找零2枚1元硬币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shd w:val="clear" w:color="auto" w:fill="auto"/>
            <w:vAlign w:val="center"/>
          </w:tcPr>
          <w:p>
            <w:pPr>
              <w:pStyle w:val="60"/>
              <w:ind w:firstLine="360"/>
              <w:rPr>
                <w:color w:val="auto"/>
                <w:sz w:val="18"/>
              </w:rPr>
            </w:pPr>
            <w:r>
              <w:rPr>
                <w:rFonts w:hint="eastAsia"/>
                <w:color w:val="auto"/>
                <w:sz w:val="18"/>
              </w:rPr>
              <w:t>4</w:t>
            </w:r>
          </w:p>
        </w:tc>
        <w:tc>
          <w:tcPr>
            <w:tcW w:w="3457" w:type="dxa"/>
            <w:shd w:val="clear" w:color="auto" w:fill="auto"/>
            <w:vAlign w:val="center"/>
          </w:tcPr>
          <w:p>
            <w:pPr>
              <w:pStyle w:val="60"/>
              <w:ind w:firstLine="360"/>
              <w:rPr>
                <w:color w:val="auto"/>
                <w:sz w:val="18"/>
              </w:rPr>
            </w:pPr>
            <w:r>
              <w:rPr>
                <w:rFonts w:hint="eastAsia"/>
                <w:color w:val="auto"/>
                <w:sz w:val="18"/>
              </w:rPr>
              <w:t>纸币支付纸币找零</w:t>
            </w:r>
          </w:p>
        </w:tc>
        <w:tc>
          <w:tcPr>
            <w:tcW w:w="4250" w:type="dxa"/>
            <w:shd w:val="clear" w:color="auto" w:fill="auto"/>
            <w:vAlign w:val="center"/>
          </w:tcPr>
          <w:p>
            <w:pPr>
              <w:pStyle w:val="60"/>
              <w:ind w:firstLine="0" w:firstLineChars="0"/>
              <w:rPr>
                <w:color w:val="auto"/>
                <w:sz w:val="18"/>
              </w:rPr>
            </w:pPr>
            <w:r>
              <w:rPr>
                <w:rFonts w:hint="eastAsia"/>
                <w:color w:val="auto"/>
                <w:sz w:val="18"/>
              </w:rPr>
              <w:t>5元纸币购1张3元车票，找零2张1元纸币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shd w:val="clear" w:color="auto" w:fill="auto"/>
            <w:vAlign w:val="center"/>
          </w:tcPr>
          <w:p>
            <w:pPr>
              <w:pStyle w:val="60"/>
              <w:ind w:firstLine="360"/>
              <w:rPr>
                <w:color w:val="auto"/>
                <w:sz w:val="18"/>
              </w:rPr>
            </w:pPr>
            <w:r>
              <w:rPr>
                <w:rFonts w:hint="eastAsia"/>
                <w:color w:val="auto"/>
                <w:sz w:val="18"/>
              </w:rPr>
              <w:t>5</w:t>
            </w:r>
          </w:p>
        </w:tc>
        <w:tc>
          <w:tcPr>
            <w:tcW w:w="3457" w:type="dxa"/>
            <w:shd w:val="clear" w:color="auto" w:fill="auto"/>
            <w:vAlign w:val="center"/>
          </w:tcPr>
          <w:p>
            <w:pPr>
              <w:pStyle w:val="60"/>
              <w:ind w:firstLine="360"/>
              <w:rPr>
                <w:color w:val="auto"/>
                <w:sz w:val="18"/>
              </w:rPr>
            </w:pPr>
            <w:r>
              <w:rPr>
                <w:rFonts w:hint="eastAsia"/>
                <w:color w:val="auto"/>
                <w:sz w:val="18"/>
              </w:rPr>
              <w:t>纸币支付混合找零</w:t>
            </w:r>
          </w:p>
        </w:tc>
        <w:tc>
          <w:tcPr>
            <w:tcW w:w="4250" w:type="dxa"/>
            <w:shd w:val="clear" w:color="auto" w:fill="auto"/>
            <w:vAlign w:val="center"/>
          </w:tcPr>
          <w:p>
            <w:pPr>
              <w:pStyle w:val="60"/>
              <w:ind w:firstLine="0" w:firstLineChars="0"/>
              <w:rPr>
                <w:color w:val="auto"/>
                <w:sz w:val="18"/>
              </w:rPr>
            </w:pPr>
            <w:r>
              <w:rPr>
                <w:rFonts w:hint="eastAsia"/>
                <w:color w:val="auto"/>
                <w:sz w:val="18"/>
              </w:rPr>
              <w:t>10元纸币购1张3元车票，找零1张5元纸币和2枚1元硬币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7" w:type="dxa"/>
            <w:shd w:val="clear" w:color="auto" w:fill="auto"/>
            <w:vAlign w:val="center"/>
          </w:tcPr>
          <w:p>
            <w:pPr>
              <w:pStyle w:val="60"/>
              <w:ind w:firstLine="360"/>
              <w:rPr>
                <w:color w:val="auto"/>
                <w:sz w:val="18"/>
              </w:rPr>
            </w:pPr>
            <w:r>
              <w:rPr>
                <w:rFonts w:hint="eastAsia"/>
                <w:color w:val="auto"/>
                <w:sz w:val="18"/>
              </w:rPr>
              <w:t>6</w:t>
            </w:r>
          </w:p>
        </w:tc>
        <w:tc>
          <w:tcPr>
            <w:tcW w:w="3457" w:type="dxa"/>
            <w:shd w:val="clear" w:color="auto" w:fill="auto"/>
            <w:vAlign w:val="center"/>
          </w:tcPr>
          <w:p>
            <w:pPr>
              <w:pStyle w:val="60"/>
              <w:ind w:firstLine="360"/>
              <w:rPr>
                <w:color w:val="auto"/>
                <w:sz w:val="18"/>
              </w:rPr>
            </w:pPr>
            <w:r>
              <w:rPr>
                <w:rFonts w:hint="eastAsia"/>
                <w:color w:val="auto"/>
                <w:sz w:val="18"/>
              </w:rPr>
              <w:t>非现金支付</w:t>
            </w:r>
          </w:p>
        </w:tc>
        <w:tc>
          <w:tcPr>
            <w:tcW w:w="4250" w:type="dxa"/>
            <w:shd w:val="clear" w:color="auto" w:fill="auto"/>
            <w:vAlign w:val="center"/>
          </w:tcPr>
          <w:p>
            <w:pPr>
              <w:pStyle w:val="60"/>
              <w:ind w:firstLine="0" w:firstLineChars="0"/>
              <w:rPr>
                <w:color w:val="auto"/>
                <w:sz w:val="18"/>
              </w:rPr>
            </w:pPr>
            <w:r>
              <w:rPr>
                <w:rFonts w:hint="eastAsia"/>
                <w:color w:val="auto"/>
                <w:sz w:val="18"/>
              </w:rPr>
              <w:t>非现金支付购1张3元车票</w:t>
            </w:r>
          </w:p>
        </w:tc>
      </w:tr>
    </w:tbl>
    <w:p>
      <w:pPr>
        <w:pStyle w:val="109"/>
        <w:spacing w:before="156" w:after="156"/>
        <w:rPr>
          <w:color w:val="auto"/>
        </w:rPr>
      </w:pPr>
      <w:bookmarkStart w:id="336" w:name="_Toc58340979"/>
      <w:bookmarkEnd w:id="336"/>
      <w:bookmarkStart w:id="337" w:name="_Toc330802416"/>
      <w:bookmarkEnd w:id="337"/>
      <w:bookmarkStart w:id="338" w:name="_Toc331436416"/>
      <w:bookmarkEnd w:id="338"/>
      <w:bookmarkStart w:id="339" w:name="_Toc332391495"/>
      <w:bookmarkEnd w:id="339"/>
      <w:bookmarkStart w:id="340" w:name="_Toc322562837"/>
      <w:bookmarkEnd w:id="340"/>
      <w:bookmarkStart w:id="341" w:name="_Toc332829390"/>
      <w:bookmarkStart w:id="342" w:name="_Toc11155"/>
      <w:r>
        <w:rPr>
          <w:rFonts w:hint="eastAsia"/>
          <w:color w:val="auto"/>
        </w:rPr>
        <w:t>半自动售票机</w:t>
      </w:r>
      <w:bookmarkEnd w:id="341"/>
      <w:r>
        <w:rPr>
          <w:rFonts w:hint="eastAsia"/>
          <w:color w:val="auto"/>
        </w:rPr>
        <w:t>检测</w:t>
      </w:r>
      <w:bookmarkEnd w:id="342"/>
    </w:p>
    <w:p>
      <w:pPr>
        <w:pStyle w:val="69"/>
        <w:spacing w:before="156" w:after="156"/>
        <w:rPr>
          <w:color w:val="auto"/>
        </w:rPr>
      </w:pPr>
      <w:bookmarkStart w:id="343" w:name="_Toc332391496"/>
      <w:bookmarkEnd w:id="343"/>
      <w:bookmarkStart w:id="344" w:name="_Toc332829391"/>
      <w:r>
        <w:rPr>
          <w:rFonts w:hint="eastAsia"/>
          <w:color w:val="auto"/>
        </w:rPr>
        <w:t>外观与结构检测</w:t>
      </w:r>
      <w:bookmarkEnd w:id="344"/>
    </w:p>
    <w:p>
      <w:pPr>
        <w:pStyle w:val="60"/>
        <w:ind w:firstLine="420"/>
        <w:rPr>
          <w:color w:val="auto"/>
        </w:rPr>
      </w:pPr>
      <w:r>
        <w:rPr>
          <w:rFonts w:hint="eastAsia"/>
          <w:color w:val="auto"/>
        </w:rPr>
        <w:t>外观与结构检测要求如下：</w:t>
      </w:r>
    </w:p>
    <w:p>
      <w:pPr>
        <w:pStyle w:val="178"/>
        <w:numPr>
          <w:ilvl w:val="0"/>
          <w:numId w:val="246"/>
        </w:numPr>
        <w:rPr>
          <w:color w:val="auto"/>
        </w:rPr>
      </w:pPr>
      <w:r>
        <w:rPr>
          <w:rFonts w:hint="eastAsia"/>
          <w:color w:val="auto"/>
        </w:rPr>
        <w:t>检测内容应依据DB11/T 1164.7半自动售票机的外观与结构要求逐项检测；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bookmarkStart w:id="345" w:name="_Toc332391497"/>
      <w:bookmarkEnd w:id="345"/>
      <w:bookmarkStart w:id="346" w:name="_Toc322562839"/>
      <w:bookmarkEnd w:id="346"/>
      <w:bookmarkStart w:id="347" w:name="_Toc330802418"/>
      <w:bookmarkEnd w:id="347"/>
      <w:bookmarkStart w:id="348" w:name="_Toc332829392"/>
      <w:bookmarkEnd w:id="348"/>
      <w:bookmarkStart w:id="349" w:name="_Toc331436418"/>
      <w:r>
        <w:rPr>
          <w:rFonts w:hint="eastAsia"/>
          <w:color w:val="auto"/>
        </w:rPr>
        <w:t>装配检测</w:t>
      </w:r>
      <w:bookmarkEnd w:id="349"/>
    </w:p>
    <w:p>
      <w:pPr>
        <w:pStyle w:val="60"/>
        <w:ind w:firstLine="420"/>
        <w:rPr>
          <w:color w:val="auto"/>
        </w:rPr>
      </w:pPr>
      <w:r>
        <w:rPr>
          <w:rFonts w:hint="eastAsia"/>
          <w:color w:val="auto"/>
        </w:rPr>
        <w:t>装配检测要求如下：</w:t>
      </w:r>
    </w:p>
    <w:p>
      <w:pPr>
        <w:pStyle w:val="178"/>
        <w:numPr>
          <w:ilvl w:val="0"/>
          <w:numId w:val="247"/>
        </w:numPr>
        <w:rPr>
          <w:color w:val="auto"/>
        </w:rPr>
      </w:pPr>
      <w:r>
        <w:rPr>
          <w:rFonts w:hint="eastAsia"/>
          <w:color w:val="auto"/>
        </w:rPr>
        <w:t>检测内容应依据DB11/T 1164.7半自动售票机的装配要求逐项检测；</w:t>
      </w:r>
    </w:p>
    <w:p>
      <w:pPr>
        <w:pStyle w:val="178"/>
        <w:rPr>
          <w:color w:val="auto"/>
        </w:rPr>
      </w:pPr>
      <w:r>
        <w:rPr>
          <w:rFonts w:hint="eastAsia"/>
          <w:color w:val="auto"/>
        </w:rPr>
        <w:t>检测方法应使用目测的方法进行检测。</w:t>
      </w:r>
    </w:p>
    <w:p>
      <w:pPr>
        <w:pStyle w:val="69"/>
        <w:spacing w:before="156" w:after="156"/>
        <w:rPr>
          <w:color w:val="auto"/>
        </w:rPr>
      </w:pPr>
      <w:bookmarkStart w:id="350" w:name="_Toc322562840"/>
      <w:bookmarkEnd w:id="350"/>
      <w:bookmarkStart w:id="351" w:name="_Toc331436419"/>
      <w:bookmarkEnd w:id="351"/>
      <w:bookmarkStart w:id="352" w:name="_Toc332391498"/>
      <w:bookmarkEnd w:id="352"/>
      <w:bookmarkStart w:id="353" w:name="_Toc330802419"/>
      <w:bookmarkEnd w:id="353"/>
      <w:bookmarkStart w:id="354" w:name="_Toc332829393"/>
      <w:r>
        <w:rPr>
          <w:rFonts w:hint="eastAsia"/>
          <w:color w:val="auto"/>
        </w:rPr>
        <w:t>配置检测</w:t>
      </w:r>
      <w:bookmarkEnd w:id="354"/>
    </w:p>
    <w:p>
      <w:pPr>
        <w:pStyle w:val="98"/>
        <w:spacing w:before="156" w:after="156"/>
        <w:rPr>
          <w:color w:val="auto"/>
        </w:rPr>
      </w:pPr>
      <w:bookmarkStart w:id="355" w:name="_Toc332829394"/>
      <w:bookmarkEnd w:id="355"/>
      <w:bookmarkStart w:id="356" w:name="_Toc331436420"/>
      <w:bookmarkEnd w:id="356"/>
      <w:bookmarkStart w:id="357" w:name="_Toc330802420"/>
      <w:bookmarkEnd w:id="357"/>
      <w:bookmarkStart w:id="358" w:name="_Toc332391499"/>
      <w:r>
        <w:rPr>
          <w:rFonts w:hint="eastAsia"/>
          <w:color w:val="auto"/>
        </w:rPr>
        <w:t>硬件配置检测</w:t>
      </w:r>
    </w:p>
    <w:p>
      <w:pPr>
        <w:pStyle w:val="60"/>
        <w:ind w:firstLine="420"/>
        <w:rPr>
          <w:color w:val="auto"/>
        </w:rPr>
      </w:pPr>
      <w:r>
        <w:rPr>
          <w:rFonts w:hint="eastAsia"/>
          <w:color w:val="auto"/>
        </w:rPr>
        <w:t>硬件配置检测</w:t>
      </w:r>
      <w:bookmarkEnd w:id="358"/>
      <w:r>
        <w:rPr>
          <w:rFonts w:hint="eastAsia"/>
          <w:color w:val="auto"/>
        </w:rPr>
        <w:t>要求如下：</w:t>
      </w:r>
    </w:p>
    <w:p>
      <w:pPr>
        <w:pStyle w:val="178"/>
        <w:numPr>
          <w:ilvl w:val="0"/>
          <w:numId w:val="248"/>
        </w:numPr>
        <w:rPr>
          <w:color w:val="auto"/>
        </w:rPr>
      </w:pPr>
      <w:r>
        <w:rPr>
          <w:rFonts w:hint="eastAsia"/>
          <w:color w:val="auto"/>
        </w:rPr>
        <w:t>检测内容应依据DB11/T 1164.7半自动售票机的硬件配置要求逐项检测；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359" w:name="_Toc332829395"/>
      <w:bookmarkEnd w:id="359"/>
      <w:bookmarkStart w:id="360" w:name="_Toc332391500"/>
      <w:bookmarkEnd w:id="360"/>
      <w:bookmarkStart w:id="361" w:name="_Toc331436421"/>
      <w:bookmarkEnd w:id="361"/>
      <w:bookmarkStart w:id="362" w:name="_Toc330802421"/>
      <w:r>
        <w:rPr>
          <w:rFonts w:hint="eastAsia"/>
          <w:color w:val="auto"/>
        </w:rPr>
        <w:t>软件配置检测</w:t>
      </w:r>
    </w:p>
    <w:p>
      <w:pPr>
        <w:pStyle w:val="60"/>
        <w:ind w:firstLine="420"/>
        <w:rPr>
          <w:color w:val="auto"/>
        </w:rPr>
      </w:pPr>
      <w:r>
        <w:rPr>
          <w:rFonts w:hint="eastAsia"/>
          <w:color w:val="auto"/>
        </w:rPr>
        <w:t>软件配置检测</w:t>
      </w:r>
      <w:bookmarkEnd w:id="362"/>
      <w:r>
        <w:rPr>
          <w:rFonts w:hint="eastAsia"/>
          <w:color w:val="auto"/>
        </w:rPr>
        <w:t>要求如下：</w:t>
      </w:r>
    </w:p>
    <w:p>
      <w:pPr>
        <w:pStyle w:val="178"/>
        <w:numPr>
          <w:ilvl w:val="0"/>
          <w:numId w:val="249"/>
        </w:numPr>
        <w:rPr>
          <w:color w:val="auto"/>
        </w:rPr>
      </w:pPr>
      <w:r>
        <w:rPr>
          <w:rFonts w:hint="eastAsia"/>
          <w:color w:val="auto"/>
        </w:rPr>
        <w:t>检测内容应依据DB11/T 1164.7半自动售票机的软件配置要求逐项检测；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363" w:name="_Toc332829396"/>
      <w:bookmarkEnd w:id="363"/>
      <w:bookmarkStart w:id="364" w:name="_Toc330802422"/>
      <w:bookmarkEnd w:id="364"/>
      <w:bookmarkStart w:id="365" w:name="_Toc332391501"/>
      <w:bookmarkEnd w:id="365"/>
      <w:bookmarkStart w:id="366" w:name="_Toc331436422"/>
      <w:r>
        <w:rPr>
          <w:rFonts w:hint="eastAsia"/>
          <w:color w:val="auto"/>
        </w:rPr>
        <w:t>接口检测</w:t>
      </w:r>
    </w:p>
    <w:p>
      <w:pPr>
        <w:pStyle w:val="60"/>
        <w:ind w:firstLine="420"/>
        <w:rPr>
          <w:color w:val="auto"/>
        </w:rPr>
      </w:pPr>
      <w:r>
        <w:rPr>
          <w:rFonts w:hint="eastAsia"/>
          <w:color w:val="auto"/>
        </w:rPr>
        <w:t>接口检测</w:t>
      </w:r>
      <w:bookmarkEnd w:id="366"/>
      <w:r>
        <w:rPr>
          <w:rFonts w:hint="eastAsia"/>
          <w:color w:val="auto"/>
        </w:rPr>
        <w:t>要求如下：</w:t>
      </w:r>
    </w:p>
    <w:p>
      <w:pPr>
        <w:pStyle w:val="178"/>
        <w:numPr>
          <w:ilvl w:val="0"/>
          <w:numId w:val="250"/>
        </w:numPr>
        <w:rPr>
          <w:color w:val="auto"/>
        </w:rPr>
      </w:pPr>
      <w:r>
        <w:rPr>
          <w:rFonts w:hint="eastAsia"/>
          <w:color w:val="auto"/>
        </w:rPr>
        <w:t>检测内容应依据DB11/T 1164.7半自动售票机的接口要求逐项检测；</w:t>
      </w:r>
    </w:p>
    <w:p>
      <w:pPr>
        <w:pStyle w:val="178"/>
        <w:rPr>
          <w:color w:val="auto"/>
        </w:rPr>
      </w:pPr>
      <w:r>
        <w:rPr>
          <w:rFonts w:hint="eastAsia"/>
          <w:color w:val="auto"/>
        </w:rPr>
        <w:t>检测方法应使用仿真系统/仿真工具模拟中心系统/专用模块进行检测。</w:t>
      </w:r>
    </w:p>
    <w:p>
      <w:pPr>
        <w:pStyle w:val="69"/>
        <w:spacing w:before="156" w:after="156"/>
        <w:rPr>
          <w:color w:val="auto"/>
        </w:rPr>
      </w:pPr>
      <w:bookmarkStart w:id="367" w:name="_Toc332829397"/>
      <w:bookmarkEnd w:id="367"/>
      <w:bookmarkStart w:id="368" w:name="_Toc332391502"/>
      <w:bookmarkEnd w:id="368"/>
      <w:bookmarkStart w:id="369" w:name="_Toc322562841"/>
      <w:bookmarkEnd w:id="369"/>
      <w:bookmarkStart w:id="370" w:name="_Toc330802423"/>
      <w:bookmarkEnd w:id="370"/>
      <w:bookmarkStart w:id="371" w:name="_Toc331436423"/>
      <w:r>
        <w:rPr>
          <w:rFonts w:hint="eastAsia"/>
          <w:color w:val="auto"/>
        </w:rPr>
        <w:t>功能检测</w:t>
      </w:r>
      <w:bookmarkEnd w:id="371"/>
    </w:p>
    <w:p>
      <w:pPr>
        <w:pStyle w:val="98"/>
        <w:spacing w:before="156" w:after="156"/>
        <w:rPr>
          <w:color w:val="auto"/>
        </w:rPr>
      </w:pPr>
      <w:bookmarkStart w:id="372" w:name="_Toc332391503"/>
      <w:bookmarkEnd w:id="372"/>
      <w:bookmarkStart w:id="373" w:name="_Toc332829398"/>
      <w:r>
        <w:rPr>
          <w:rFonts w:hint="eastAsia"/>
          <w:color w:val="auto"/>
        </w:rPr>
        <w:t>售票检测</w:t>
      </w:r>
    </w:p>
    <w:p>
      <w:pPr>
        <w:pStyle w:val="60"/>
        <w:ind w:firstLine="420"/>
        <w:rPr>
          <w:color w:val="auto"/>
        </w:rPr>
      </w:pPr>
      <w:r>
        <w:rPr>
          <w:rFonts w:hint="eastAsia"/>
          <w:color w:val="auto"/>
        </w:rPr>
        <w:t>售票</w:t>
      </w:r>
      <w:bookmarkEnd w:id="373"/>
      <w:r>
        <w:rPr>
          <w:rFonts w:hint="eastAsia"/>
          <w:color w:val="auto"/>
        </w:rPr>
        <w:t>检测要求如下：</w:t>
      </w:r>
    </w:p>
    <w:p>
      <w:pPr>
        <w:pStyle w:val="178"/>
        <w:numPr>
          <w:ilvl w:val="0"/>
          <w:numId w:val="251"/>
        </w:numPr>
        <w:rPr>
          <w:color w:val="auto"/>
        </w:rPr>
      </w:pPr>
      <w:r>
        <w:rPr>
          <w:rFonts w:hint="eastAsia"/>
          <w:color w:val="auto"/>
        </w:rPr>
        <w:t>检测内容应依据DB11/T 1164.1中BOM业务处理售票业务的要求逐项检测；</w:t>
      </w:r>
    </w:p>
    <w:p>
      <w:pPr>
        <w:pStyle w:val="178"/>
        <w:rPr>
          <w:color w:val="auto"/>
        </w:rPr>
      </w:pPr>
      <w:r>
        <w:rPr>
          <w:rFonts w:hint="eastAsia"/>
          <w:color w:val="auto"/>
        </w:rPr>
        <w:t>检测方法应在受检BOM上发售一票通发行的所有车票和一卡通发行的所有一卡通卡，通过仿真中心系统的记录检测受检BOM产生售票数据的正确性。</w:t>
      </w:r>
    </w:p>
    <w:p>
      <w:pPr>
        <w:pStyle w:val="98"/>
        <w:spacing w:before="156" w:after="156"/>
        <w:rPr>
          <w:color w:val="auto"/>
        </w:rPr>
      </w:pPr>
      <w:bookmarkStart w:id="374" w:name="_Toc332829399"/>
      <w:bookmarkEnd w:id="374"/>
      <w:bookmarkStart w:id="375" w:name="_Toc332391504"/>
      <w:r>
        <w:rPr>
          <w:rFonts w:hint="eastAsia"/>
          <w:color w:val="auto"/>
        </w:rPr>
        <w:t>充值检测</w:t>
      </w:r>
    </w:p>
    <w:p>
      <w:pPr>
        <w:pStyle w:val="60"/>
        <w:ind w:firstLine="420"/>
        <w:rPr>
          <w:color w:val="auto"/>
        </w:rPr>
      </w:pPr>
      <w:r>
        <w:rPr>
          <w:rFonts w:hint="eastAsia"/>
          <w:color w:val="auto"/>
        </w:rPr>
        <w:t>充值</w:t>
      </w:r>
      <w:bookmarkEnd w:id="375"/>
      <w:r>
        <w:rPr>
          <w:rFonts w:hint="eastAsia"/>
          <w:color w:val="auto"/>
        </w:rPr>
        <w:t>检测要求如下：</w:t>
      </w:r>
    </w:p>
    <w:p>
      <w:pPr>
        <w:pStyle w:val="178"/>
        <w:numPr>
          <w:ilvl w:val="0"/>
          <w:numId w:val="252"/>
        </w:numPr>
        <w:rPr>
          <w:color w:val="auto"/>
        </w:rPr>
      </w:pPr>
      <w:r>
        <w:rPr>
          <w:rFonts w:hint="eastAsia"/>
          <w:color w:val="auto"/>
        </w:rPr>
        <w:t>检测内容应依据DB11/T 1164.1中BOM业务处理充值业务的要求逐项检测；</w:t>
      </w:r>
    </w:p>
    <w:p>
      <w:pPr>
        <w:pStyle w:val="178"/>
        <w:rPr>
          <w:color w:val="auto"/>
        </w:rPr>
      </w:pPr>
      <w:r>
        <w:rPr>
          <w:rFonts w:hint="eastAsia"/>
          <w:color w:val="auto"/>
        </w:rPr>
        <w:t>检测方法应在受检BOM上对一卡通发行的允许充值的一卡通卡进行充值操作，通过仿真中心系统的记录检测受检BOM产生充值数据的正确性。</w:t>
      </w:r>
    </w:p>
    <w:p>
      <w:pPr>
        <w:pStyle w:val="98"/>
        <w:spacing w:before="156" w:after="156"/>
        <w:rPr>
          <w:color w:val="auto"/>
        </w:rPr>
      </w:pPr>
      <w:bookmarkStart w:id="376" w:name="_Toc332391505"/>
      <w:bookmarkEnd w:id="376"/>
      <w:bookmarkStart w:id="377" w:name="_Toc332829400"/>
      <w:r>
        <w:rPr>
          <w:rFonts w:hint="eastAsia"/>
          <w:color w:val="auto"/>
        </w:rPr>
        <w:t>退票检测</w:t>
      </w:r>
    </w:p>
    <w:p>
      <w:pPr>
        <w:pStyle w:val="60"/>
        <w:ind w:firstLine="420"/>
        <w:rPr>
          <w:color w:val="auto"/>
        </w:rPr>
      </w:pPr>
      <w:r>
        <w:rPr>
          <w:rFonts w:hint="eastAsia"/>
          <w:color w:val="auto"/>
        </w:rPr>
        <w:t>退票</w:t>
      </w:r>
      <w:bookmarkEnd w:id="377"/>
      <w:r>
        <w:rPr>
          <w:rFonts w:hint="eastAsia"/>
          <w:color w:val="auto"/>
        </w:rPr>
        <w:t>检测要求如下：</w:t>
      </w:r>
    </w:p>
    <w:p>
      <w:pPr>
        <w:pStyle w:val="178"/>
        <w:numPr>
          <w:ilvl w:val="0"/>
          <w:numId w:val="253"/>
        </w:numPr>
        <w:rPr>
          <w:color w:val="auto"/>
        </w:rPr>
      </w:pPr>
      <w:r>
        <w:rPr>
          <w:rFonts w:hint="eastAsia"/>
          <w:color w:val="auto"/>
        </w:rPr>
        <w:t>检测内容应依据DB11/T 1164.1中BOM业务处理退票业务的要求逐项检测；</w:t>
      </w:r>
    </w:p>
    <w:p>
      <w:pPr>
        <w:pStyle w:val="178"/>
        <w:rPr>
          <w:color w:val="auto"/>
        </w:rPr>
      </w:pPr>
      <w:r>
        <w:rPr>
          <w:rFonts w:hint="eastAsia"/>
          <w:color w:val="auto"/>
        </w:rPr>
        <w:t>检测方法应在受检BOM上对一票通发行的允许退票的车票和一卡通发行的允许退票的一卡通卡分别进行退票操作，通过仿真中心系统的记录检测受检BOM产生退票数据的正确性。</w:t>
      </w:r>
    </w:p>
    <w:p>
      <w:pPr>
        <w:pStyle w:val="98"/>
        <w:spacing w:before="156" w:after="156"/>
        <w:rPr>
          <w:color w:val="auto"/>
        </w:rPr>
      </w:pPr>
      <w:bookmarkStart w:id="378" w:name="_Toc332829401"/>
      <w:bookmarkEnd w:id="378"/>
      <w:bookmarkStart w:id="379" w:name="_Toc332391506"/>
      <w:r>
        <w:rPr>
          <w:rFonts w:hint="eastAsia"/>
          <w:color w:val="auto"/>
        </w:rPr>
        <w:t>抵消检测</w:t>
      </w:r>
    </w:p>
    <w:p>
      <w:pPr>
        <w:pStyle w:val="60"/>
        <w:ind w:firstLine="420"/>
        <w:rPr>
          <w:color w:val="auto"/>
        </w:rPr>
      </w:pPr>
      <w:r>
        <w:rPr>
          <w:rFonts w:hint="eastAsia"/>
          <w:color w:val="auto"/>
        </w:rPr>
        <w:t>抵消</w:t>
      </w:r>
      <w:bookmarkEnd w:id="379"/>
      <w:r>
        <w:rPr>
          <w:rFonts w:hint="eastAsia"/>
          <w:color w:val="auto"/>
        </w:rPr>
        <w:t>检测要求如下：</w:t>
      </w:r>
    </w:p>
    <w:p>
      <w:pPr>
        <w:pStyle w:val="178"/>
        <w:numPr>
          <w:ilvl w:val="0"/>
          <w:numId w:val="254"/>
        </w:numPr>
        <w:rPr>
          <w:color w:val="auto"/>
        </w:rPr>
      </w:pPr>
      <w:r>
        <w:rPr>
          <w:rFonts w:hint="eastAsia"/>
          <w:color w:val="auto"/>
        </w:rPr>
        <w:t>检测内容应依据DB11/T 1164.1中BOM业务处理抵消业务的要求逐项检测；</w:t>
      </w:r>
    </w:p>
    <w:p>
      <w:pPr>
        <w:pStyle w:val="178"/>
        <w:rPr>
          <w:color w:val="auto"/>
        </w:rPr>
      </w:pPr>
      <w:r>
        <w:rPr>
          <w:rFonts w:hint="eastAsia"/>
          <w:color w:val="auto"/>
        </w:rPr>
        <w:t>检测方法应在受检BOM上对一票通发行的允许抵消的车票进行抵消操作，通过仿真中心系统的记录检测受检BOM产生抵消数据的正确性。</w:t>
      </w:r>
    </w:p>
    <w:p>
      <w:pPr>
        <w:pStyle w:val="98"/>
        <w:spacing w:before="156" w:after="156"/>
        <w:rPr>
          <w:color w:val="auto"/>
        </w:rPr>
      </w:pPr>
      <w:bookmarkStart w:id="380" w:name="_Toc332829402"/>
      <w:bookmarkEnd w:id="380"/>
      <w:bookmarkStart w:id="381" w:name="_Toc332391507"/>
      <w:r>
        <w:rPr>
          <w:rFonts w:hint="eastAsia"/>
          <w:color w:val="auto"/>
        </w:rPr>
        <w:t>补票检测</w:t>
      </w:r>
    </w:p>
    <w:p>
      <w:pPr>
        <w:pStyle w:val="60"/>
        <w:ind w:firstLine="420"/>
        <w:rPr>
          <w:color w:val="auto"/>
        </w:rPr>
      </w:pPr>
      <w:r>
        <w:rPr>
          <w:rFonts w:hint="eastAsia"/>
          <w:color w:val="auto"/>
        </w:rPr>
        <w:t>补票</w:t>
      </w:r>
      <w:bookmarkEnd w:id="381"/>
      <w:r>
        <w:rPr>
          <w:rFonts w:hint="eastAsia"/>
          <w:color w:val="auto"/>
        </w:rPr>
        <w:t>检测要求如下：</w:t>
      </w:r>
    </w:p>
    <w:p>
      <w:pPr>
        <w:pStyle w:val="178"/>
        <w:numPr>
          <w:ilvl w:val="0"/>
          <w:numId w:val="255"/>
        </w:numPr>
        <w:rPr>
          <w:color w:val="auto"/>
        </w:rPr>
      </w:pPr>
      <w:r>
        <w:rPr>
          <w:rFonts w:hint="eastAsia"/>
          <w:color w:val="auto"/>
        </w:rPr>
        <w:t>检测内容应依据DB11/T 1164.1中BOM业务处理补票业务的要求逐项检测；</w:t>
      </w:r>
    </w:p>
    <w:p>
      <w:pPr>
        <w:pStyle w:val="178"/>
        <w:rPr>
          <w:color w:val="auto"/>
        </w:rPr>
      </w:pPr>
      <w:r>
        <w:rPr>
          <w:rFonts w:hint="eastAsia"/>
          <w:color w:val="auto"/>
        </w:rPr>
        <w:t>检测方法应在受检BOM上对一票通发行的需要补票的车票和一卡通发行的需要补票的一卡通卡分别进行补票操作，通过仿真中心系统的记录检测受检BOM产生补票数据的正确性。</w:t>
      </w:r>
    </w:p>
    <w:p>
      <w:pPr>
        <w:pStyle w:val="98"/>
        <w:spacing w:before="156" w:after="156"/>
        <w:rPr>
          <w:color w:val="auto"/>
        </w:rPr>
      </w:pPr>
      <w:bookmarkStart w:id="382" w:name="_Toc332391508"/>
      <w:bookmarkEnd w:id="382"/>
      <w:bookmarkStart w:id="383" w:name="_Toc332829403"/>
      <w:r>
        <w:rPr>
          <w:rFonts w:hint="eastAsia"/>
          <w:color w:val="auto"/>
        </w:rPr>
        <w:t>替换检测</w:t>
      </w:r>
    </w:p>
    <w:p>
      <w:pPr>
        <w:pStyle w:val="60"/>
        <w:ind w:firstLine="420"/>
        <w:rPr>
          <w:color w:val="auto"/>
        </w:rPr>
      </w:pPr>
      <w:r>
        <w:rPr>
          <w:rFonts w:hint="eastAsia"/>
          <w:color w:val="auto"/>
        </w:rPr>
        <w:t>替换</w:t>
      </w:r>
      <w:bookmarkEnd w:id="383"/>
      <w:r>
        <w:rPr>
          <w:rFonts w:hint="eastAsia"/>
          <w:color w:val="auto"/>
        </w:rPr>
        <w:t>检测要求如下：</w:t>
      </w:r>
    </w:p>
    <w:p>
      <w:pPr>
        <w:pStyle w:val="178"/>
        <w:numPr>
          <w:ilvl w:val="0"/>
          <w:numId w:val="256"/>
        </w:numPr>
        <w:rPr>
          <w:color w:val="auto"/>
        </w:rPr>
      </w:pPr>
      <w:r>
        <w:rPr>
          <w:rFonts w:hint="eastAsia"/>
          <w:color w:val="auto"/>
        </w:rPr>
        <w:t>检测内容应依据DB11/T 1164.1中BOM业务处理替换业务的要求逐项检测；</w:t>
      </w:r>
    </w:p>
    <w:p>
      <w:pPr>
        <w:pStyle w:val="178"/>
        <w:rPr>
          <w:color w:val="auto"/>
        </w:rPr>
      </w:pPr>
      <w:r>
        <w:rPr>
          <w:rFonts w:hint="eastAsia"/>
          <w:color w:val="auto"/>
        </w:rPr>
        <w:t>检测方法应在受检BOM上对一票通发行的允许替换的车票和一卡通发行的允许替换的一卡通卡分别进行替换操作，通过仿真中心系统的记录检测受检BOM产生替换数据的正确性。</w:t>
      </w:r>
    </w:p>
    <w:p>
      <w:pPr>
        <w:pStyle w:val="98"/>
        <w:spacing w:before="156" w:after="156"/>
        <w:rPr>
          <w:color w:val="auto"/>
        </w:rPr>
      </w:pPr>
      <w:bookmarkStart w:id="384" w:name="_Toc332391509"/>
      <w:bookmarkEnd w:id="384"/>
      <w:bookmarkStart w:id="385" w:name="_Toc332829404"/>
      <w:r>
        <w:rPr>
          <w:rFonts w:hint="eastAsia"/>
          <w:color w:val="auto"/>
        </w:rPr>
        <w:t>激活检测</w:t>
      </w:r>
    </w:p>
    <w:p>
      <w:pPr>
        <w:pStyle w:val="60"/>
        <w:ind w:firstLine="420"/>
        <w:rPr>
          <w:color w:val="auto"/>
        </w:rPr>
      </w:pPr>
      <w:r>
        <w:rPr>
          <w:rFonts w:hint="eastAsia"/>
          <w:color w:val="auto"/>
        </w:rPr>
        <w:t>激活</w:t>
      </w:r>
      <w:bookmarkEnd w:id="385"/>
      <w:r>
        <w:rPr>
          <w:rFonts w:hint="eastAsia"/>
          <w:color w:val="auto"/>
        </w:rPr>
        <w:t>检测要求如下：</w:t>
      </w:r>
    </w:p>
    <w:p>
      <w:pPr>
        <w:pStyle w:val="178"/>
        <w:numPr>
          <w:ilvl w:val="0"/>
          <w:numId w:val="257"/>
        </w:numPr>
        <w:rPr>
          <w:color w:val="auto"/>
        </w:rPr>
      </w:pPr>
      <w:r>
        <w:rPr>
          <w:rFonts w:hint="eastAsia"/>
          <w:color w:val="auto"/>
        </w:rPr>
        <w:t>检测内容应依据DB11/T 1164.1中BOM业务处理激活业务的要求逐项检测；</w:t>
      </w:r>
    </w:p>
    <w:p>
      <w:pPr>
        <w:pStyle w:val="178"/>
        <w:rPr>
          <w:color w:val="auto"/>
        </w:rPr>
      </w:pPr>
      <w:r>
        <w:rPr>
          <w:rFonts w:hint="eastAsia"/>
          <w:color w:val="auto"/>
        </w:rPr>
        <w:t>检测方法应在受检BOM上对一票通发行的需要激活的车票和一卡通发行的需要激活的一卡通卡分别进行激活操作，通过仿真中心系统的记录检测受检BOM产生补票数据的正确性。</w:t>
      </w:r>
    </w:p>
    <w:p>
      <w:pPr>
        <w:pStyle w:val="98"/>
        <w:spacing w:before="156" w:after="156"/>
        <w:rPr>
          <w:color w:val="auto"/>
        </w:rPr>
      </w:pPr>
      <w:bookmarkStart w:id="386" w:name="_Toc332391511"/>
      <w:bookmarkEnd w:id="386"/>
      <w:bookmarkStart w:id="387" w:name="_Toc332829406"/>
      <w:r>
        <w:rPr>
          <w:rFonts w:hint="eastAsia"/>
          <w:color w:val="auto"/>
        </w:rPr>
        <w:t>查询检测</w:t>
      </w:r>
    </w:p>
    <w:p>
      <w:pPr>
        <w:pStyle w:val="60"/>
        <w:ind w:firstLine="420"/>
        <w:rPr>
          <w:color w:val="auto"/>
        </w:rPr>
      </w:pPr>
      <w:r>
        <w:rPr>
          <w:rFonts w:hint="eastAsia"/>
          <w:color w:val="auto"/>
        </w:rPr>
        <w:t>查询</w:t>
      </w:r>
      <w:bookmarkEnd w:id="387"/>
      <w:r>
        <w:rPr>
          <w:rFonts w:hint="eastAsia"/>
          <w:color w:val="auto"/>
        </w:rPr>
        <w:t>检测要求如下：</w:t>
      </w:r>
    </w:p>
    <w:p>
      <w:pPr>
        <w:pStyle w:val="178"/>
        <w:numPr>
          <w:ilvl w:val="0"/>
          <w:numId w:val="258"/>
        </w:numPr>
        <w:rPr>
          <w:color w:val="auto"/>
        </w:rPr>
      </w:pPr>
      <w:r>
        <w:rPr>
          <w:rFonts w:hint="eastAsia"/>
          <w:color w:val="auto"/>
        </w:rPr>
        <w:t>检测内容应依据DB11/T 1164.1中BOM业务处理查询业务的要求逐项检测；</w:t>
      </w:r>
    </w:p>
    <w:p>
      <w:pPr>
        <w:pStyle w:val="178"/>
        <w:rPr>
          <w:color w:val="auto"/>
        </w:rPr>
      </w:pPr>
      <w:r>
        <w:rPr>
          <w:rFonts w:hint="eastAsia"/>
          <w:color w:val="auto"/>
        </w:rPr>
        <w:t>检测方法应在受检BOM上对一票通发行的车票和一卡通发行的一卡通卡分别进行查询操作，通过受检BOM上的显示结果检测其查询的正确性。</w:t>
      </w:r>
    </w:p>
    <w:p>
      <w:pPr>
        <w:pStyle w:val="98"/>
        <w:spacing w:before="156" w:after="156"/>
        <w:rPr>
          <w:color w:val="auto"/>
        </w:rPr>
      </w:pPr>
      <w:bookmarkStart w:id="388" w:name="_Toc332391512"/>
      <w:bookmarkEnd w:id="388"/>
      <w:bookmarkStart w:id="389" w:name="_Toc332829407"/>
      <w:r>
        <w:rPr>
          <w:rFonts w:hint="eastAsia"/>
          <w:color w:val="auto"/>
        </w:rPr>
        <w:t>TVM故障退款检测</w:t>
      </w:r>
    </w:p>
    <w:p>
      <w:pPr>
        <w:pStyle w:val="60"/>
        <w:ind w:firstLine="420"/>
        <w:rPr>
          <w:color w:val="auto"/>
        </w:rPr>
      </w:pPr>
      <w:r>
        <w:rPr>
          <w:rFonts w:hint="eastAsia"/>
          <w:color w:val="auto"/>
        </w:rPr>
        <w:t>TVM故障退款</w:t>
      </w:r>
      <w:bookmarkEnd w:id="389"/>
      <w:r>
        <w:rPr>
          <w:rFonts w:hint="eastAsia"/>
          <w:color w:val="auto"/>
        </w:rPr>
        <w:t>检测要求如下：</w:t>
      </w:r>
    </w:p>
    <w:p>
      <w:pPr>
        <w:pStyle w:val="178"/>
        <w:numPr>
          <w:ilvl w:val="0"/>
          <w:numId w:val="259"/>
        </w:numPr>
        <w:rPr>
          <w:color w:val="auto"/>
        </w:rPr>
      </w:pPr>
      <w:r>
        <w:rPr>
          <w:rFonts w:hint="eastAsia"/>
          <w:color w:val="auto"/>
        </w:rPr>
        <w:t>检测内容应依据DB11/T 1164.1中BOM业务处理TVM故障退款业务的要求逐项检测；</w:t>
      </w:r>
    </w:p>
    <w:p>
      <w:pPr>
        <w:pStyle w:val="178"/>
        <w:rPr>
          <w:color w:val="auto"/>
        </w:rPr>
      </w:pPr>
      <w:r>
        <w:rPr>
          <w:rFonts w:hint="eastAsia"/>
          <w:color w:val="auto"/>
        </w:rPr>
        <w:t>检测方法应在受检BOM进行TVM故障退款操作，通过仿真中心系统的记录检测受检BOM产生TVM故障退款数据的正确性。</w:t>
      </w:r>
    </w:p>
    <w:p>
      <w:pPr>
        <w:pStyle w:val="98"/>
        <w:spacing w:before="156" w:after="156"/>
        <w:rPr>
          <w:color w:val="auto"/>
        </w:rPr>
      </w:pPr>
      <w:bookmarkStart w:id="390" w:name="_Toc332391513"/>
      <w:bookmarkEnd w:id="390"/>
      <w:bookmarkStart w:id="391" w:name="_Toc332829408"/>
      <w:r>
        <w:rPr>
          <w:rFonts w:hint="eastAsia"/>
          <w:color w:val="auto"/>
        </w:rPr>
        <w:t>操作员结算检测</w:t>
      </w:r>
    </w:p>
    <w:p>
      <w:pPr>
        <w:pStyle w:val="60"/>
        <w:ind w:firstLine="420"/>
        <w:rPr>
          <w:color w:val="auto"/>
        </w:rPr>
      </w:pPr>
      <w:r>
        <w:rPr>
          <w:rFonts w:hint="eastAsia"/>
          <w:color w:val="auto"/>
        </w:rPr>
        <w:t>操作员结算</w:t>
      </w:r>
      <w:bookmarkEnd w:id="391"/>
      <w:r>
        <w:rPr>
          <w:rFonts w:hint="eastAsia"/>
          <w:color w:val="auto"/>
        </w:rPr>
        <w:t>检测要求如下：</w:t>
      </w:r>
    </w:p>
    <w:p>
      <w:pPr>
        <w:pStyle w:val="178"/>
        <w:numPr>
          <w:ilvl w:val="0"/>
          <w:numId w:val="260"/>
        </w:numPr>
        <w:rPr>
          <w:color w:val="auto"/>
        </w:rPr>
      </w:pPr>
      <w:r>
        <w:rPr>
          <w:rFonts w:hint="eastAsia"/>
          <w:color w:val="auto"/>
        </w:rPr>
        <w:t>检测内容应依据DB11/T 1164.1中BOM操作员结算功能的要求逐项检测；</w:t>
      </w:r>
    </w:p>
    <w:p>
      <w:pPr>
        <w:pStyle w:val="178"/>
        <w:rPr>
          <w:color w:val="auto"/>
        </w:rPr>
      </w:pPr>
      <w:r>
        <w:rPr>
          <w:rFonts w:hint="eastAsia"/>
          <w:color w:val="auto"/>
        </w:rPr>
        <w:t>检测方法应在受检BOM上执行结算操作，通过仿真中心系统的记录检测受检BOM上传的BOM审计数据或班次现金核算数据应正确。</w:t>
      </w:r>
    </w:p>
    <w:p>
      <w:pPr>
        <w:pStyle w:val="98"/>
        <w:spacing w:before="156" w:after="156"/>
        <w:rPr>
          <w:color w:val="auto"/>
        </w:rPr>
      </w:pPr>
      <w:bookmarkStart w:id="392" w:name="_Toc332391514"/>
      <w:bookmarkEnd w:id="392"/>
      <w:bookmarkStart w:id="393" w:name="_Toc332829409"/>
      <w:r>
        <w:rPr>
          <w:rFonts w:hint="eastAsia"/>
          <w:color w:val="auto"/>
        </w:rPr>
        <w:t>运营开始检测</w:t>
      </w:r>
    </w:p>
    <w:p>
      <w:pPr>
        <w:pStyle w:val="60"/>
        <w:ind w:firstLine="420"/>
        <w:rPr>
          <w:color w:val="auto"/>
        </w:rPr>
      </w:pPr>
      <w:r>
        <w:rPr>
          <w:rFonts w:hint="eastAsia"/>
          <w:color w:val="auto"/>
        </w:rPr>
        <w:t>运营开始</w:t>
      </w:r>
      <w:bookmarkEnd w:id="393"/>
      <w:r>
        <w:rPr>
          <w:rFonts w:hint="eastAsia"/>
          <w:color w:val="auto"/>
        </w:rPr>
        <w:t>检测要求如下：</w:t>
      </w:r>
    </w:p>
    <w:p>
      <w:pPr>
        <w:pStyle w:val="178"/>
        <w:numPr>
          <w:ilvl w:val="0"/>
          <w:numId w:val="261"/>
        </w:numPr>
        <w:rPr>
          <w:color w:val="auto"/>
        </w:rPr>
      </w:pPr>
      <w:r>
        <w:rPr>
          <w:rFonts w:hint="eastAsia"/>
          <w:color w:val="auto"/>
        </w:rPr>
        <w:t>检测内容应依据DB11/T 1164.1中BOM运营开始功能的要求逐项检测；</w:t>
      </w:r>
    </w:p>
    <w:p>
      <w:pPr>
        <w:pStyle w:val="178"/>
        <w:rPr>
          <w:color w:val="auto"/>
        </w:rPr>
      </w:pPr>
      <w:r>
        <w:rPr>
          <w:rFonts w:hint="eastAsia"/>
          <w:color w:val="auto"/>
        </w:rPr>
        <w:t>检测方法应在受检BOM上手动设置运营开始指令，通过仿真系统的记录检测受检BOM的处理应符合DB11/T 1164.1、DB11/T 1164.2和DB11/T 1164.3有关运营开始的规定。</w:t>
      </w:r>
    </w:p>
    <w:p>
      <w:pPr>
        <w:pStyle w:val="98"/>
        <w:spacing w:before="156" w:after="156"/>
        <w:rPr>
          <w:color w:val="auto"/>
        </w:rPr>
      </w:pPr>
      <w:bookmarkStart w:id="394" w:name="_Toc332391515"/>
      <w:bookmarkEnd w:id="394"/>
      <w:bookmarkStart w:id="395" w:name="_Toc332829410"/>
      <w:r>
        <w:rPr>
          <w:rFonts w:hint="eastAsia"/>
          <w:color w:val="auto"/>
        </w:rPr>
        <w:t>运营结束检测</w:t>
      </w:r>
    </w:p>
    <w:p>
      <w:pPr>
        <w:pStyle w:val="60"/>
        <w:ind w:firstLine="420"/>
        <w:rPr>
          <w:color w:val="auto"/>
        </w:rPr>
      </w:pPr>
      <w:r>
        <w:rPr>
          <w:rFonts w:hint="eastAsia"/>
          <w:color w:val="auto"/>
        </w:rPr>
        <w:t>运营结束</w:t>
      </w:r>
      <w:bookmarkEnd w:id="395"/>
      <w:r>
        <w:rPr>
          <w:rFonts w:hint="eastAsia"/>
          <w:color w:val="auto"/>
        </w:rPr>
        <w:t>检测要求如下：</w:t>
      </w:r>
    </w:p>
    <w:p>
      <w:pPr>
        <w:pStyle w:val="178"/>
        <w:numPr>
          <w:ilvl w:val="0"/>
          <w:numId w:val="262"/>
        </w:numPr>
        <w:rPr>
          <w:color w:val="auto"/>
        </w:rPr>
      </w:pPr>
      <w:r>
        <w:rPr>
          <w:rFonts w:hint="eastAsia"/>
          <w:color w:val="auto"/>
        </w:rPr>
        <w:t>检测内容应依据DB11/T 1164.1中BOM运营结束功能的要求逐项检测；</w:t>
      </w:r>
    </w:p>
    <w:p>
      <w:pPr>
        <w:pStyle w:val="178"/>
        <w:rPr>
          <w:color w:val="auto"/>
        </w:rPr>
      </w:pPr>
      <w:r>
        <w:rPr>
          <w:rFonts w:hint="eastAsia"/>
          <w:color w:val="auto"/>
        </w:rPr>
        <w:t>检测方法应在受检BOM上手动设置运营开始指令，通过仿真系统的记录检测受检BOM的处理应符合DB11/T 1164.1、DB11/T 1164.2和DB11/T 1164.3有关运营结束的规定。</w:t>
      </w:r>
    </w:p>
    <w:p>
      <w:pPr>
        <w:pStyle w:val="98"/>
        <w:spacing w:before="156" w:after="156"/>
        <w:rPr>
          <w:color w:val="auto"/>
        </w:rPr>
      </w:pPr>
      <w:bookmarkStart w:id="396" w:name="_Toc332391516"/>
      <w:bookmarkEnd w:id="396"/>
      <w:bookmarkStart w:id="397" w:name="_Toc332829411"/>
      <w:r>
        <w:rPr>
          <w:rFonts w:hint="eastAsia"/>
          <w:color w:val="auto"/>
        </w:rPr>
        <w:t>时钟同步检测</w:t>
      </w:r>
    </w:p>
    <w:p>
      <w:pPr>
        <w:pStyle w:val="60"/>
        <w:ind w:firstLine="420"/>
        <w:rPr>
          <w:color w:val="auto"/>
        </w:rPr>
      </w:pPr>
      <w:r>
        <w:rPr>
          <w:rFonts w:hint="eastAsia"/>
          <w:color w:val="auto"/>
        </w:rPr>
        <w:t>时钟同步</w:t>
      </w:r>
      <w:bookmarkEnd w:id="397"/>
      <w:r>
        <w:rPr>
          <w:rFonts w:hint="eastAsia"/>
          <w:color w:val="auto"/>
        </w:rPr>
        <w:t>检测要求如下：</w:t>
      </w:r>
    </w:p>
    <w:p>
      <w:pPr>
        <w:pStyle w:val="178"/>
        <w:numPr>
          <w:ilvl w:val="0"/>
          <w:numId w:val="263"/>
        </w:numPr>
        <w:rPr>
          <w:color w:val="auto"/>
        </w:rPr>
      </w:pPr>
      <w:r>
        <w:rPr>
          <w:rFonts w:hint="eastAsia"/>
          <w:color w:val="auto"/>
        </w:rPr>
        <w:t>检测内容应依据DB11/T 1164.1中BOM时钟同步功能的要求逐项检测；</w:t>
      </w:r>
    </w:p>
    <w:p>
      <w:pPr>
        <w:pStyle w:val="178"/>
        <w:rPr>
          <w:color w:val="auto"/>
        </w:rPr>
      </w:pPr>
      <w:r>
        <w:rPr>
          <w:rFonts w:hint="eastAsia"/>
          <w:color w:val="auto"/>
        </w:rPr>
        <w:t>自动时钟同步检测方法要求如下：</w:t>
      </w:r>
    </w:p>
    <w:p>
      <w:pPr>
        <w:pStyle w:val="113"/>
        <w:numPr>
          <w:ilvl w:val="1"/>
          <w:numId w:val="264"/>
        </w:numPr>
        <w:rPr>
          <w:color w:val="auto"/>
        </w:rPr>
      </w:pPr>
      <w:r>
        <w:rPr>
          <w:rFonts w:hint="eastAsia"/>
          <w:color w:val="auto"/>
        </w:rPr>
        <w:t>使用仿真中心系统下发时钟同步间隔参数至受检BOM；</w:t>
      </w:r>
    </w:p>
    <w:p>
      <w:pPr>
        <w:pStyle w:val="113"/>
        <w:rPr>
          <w:color w:val="auto"/>
        </w:rPr>
      </w:pPr>
      <w:r>
        <w:rPr>
          <w:rFonts w:hint="eastAsia"/>
          <w:color w:val="auto"/>
        </w:rPr>
        <w:t>通过设置受检BOM的时钟与仿真中心系统的时钟的差异，观察受检BOM的处理应符合DB11/T 1164.1、DB11/T 1164.2和DB11/T 1164.3有关时钟同步的规定。</w:t>
      </w:r>
    </w:p>
    <w:p>
      <w:pPr>
        <w:pStyle w:val="178"/>
        <w:rPr>
          <w:color w:val="auto"/>
        </w:rPr>
      </w:pPr>
      <w:r>
        <w:rPr>
          <w:rFonts w:hint="eastAsia"/>
          <w:color w:val="auto"/>
        </w:rPr>
        <w:t>强制时钟同步检测方法要求如下：</w:t>
      </w:r>
    </w:p>
    <w:p>
      <w:pPr>
        <w:pStyle w:val="113"/>
        <w:numPr>
          <w:ilvl w:val="1"/>
          <w:numId w:val="265"/>
        </w:numPr>
        <w:rPr>
          <w:color w:val="auto"/>
        </w:rPr>
      </w:pPr>
      <w:r>
        <w:rPr>
          <w:rFonts w:hint="eastAsia"/>
          <w:color w:val="auto"/>
        </w:rPr>
        <w:t>使用仿真中心系统下发强制时钟同步命令，观察受检BOM的强制时钟同步处理应正确；</w:t>
      </w:r>
    </w:p>
    <w:p>
      <w:pPr>
        <w:pStyle w:val="113"/>
        <w:rPr>
          <w:color w:val="auto"/>
        </w:rPr>
      </w:pPr>
      <w:r>
        <w:rPr>
          <w:rFonts w:hint="eastAsia"/>
          <w:color w:val="auto"/>
        </w:rPr>
        <w:t>通过仿真中心系统的记录检测受检BOM上传的同步结果数据应正确。</w:t>
      </w:r>
    </w:p>
    <w:p>
      <w:pPr>
        <w:pStyle w:val="98"/>
        <w:spacing w:before="156" w:after="156"/>
        <w:rPr>
          <w:color w:val="auto"/>
        </w:rPr>
      </w:pPr>
      <w:bookmarkStart w:id="398" w:name="_Toc332391517"/>
      <w:bookmarkEnd w:id="398"/>
      <w:bookmarkStart w:id="399" w:name="_Toc332829412"/>
      <w:r>
        <w:rPr>
          <w:rFonts w:hint="eastAsia"/>
          <w:color w:val="auto"/>
        </w:rPr>
        <w:t>操作员登录登出检测</w:t>
      </w:r>
    </w:p>
    <w:p>
      <w:pPr>
        <w:pStyle w:val="60"/>
        <w:ind w:firstLine="420"/>
        <w:rPr>
          <w:color w:val="auto"/>
        </w:rPr>
      </w:pPr>
      <w:r>
        <w:rPr>
          <w:rFonts w:hint="eastAsia"/>
          <w:color w:val="auto"/>
        </w:rPr>
        <w:t>操作员登录登出</w:t>
      </w:r>
      <w:bookmarkEnd w:id="399"/>
      <w:r>
        <w:rPr>
          <w:rFonts w:hint="eastAsia"/>
          <w:color w:val="auto"/>
        </w:rPr>
        <w:t>检测要求如下：</w:t>
      </w:r>
    </w:p>
    <w:p>
      <w:pPr>
        <w:pStyle w:val="178"/>
        <w:numPr>
          <w:ilvl w:val="0"/>
          <w:numId w:val="266"/>
        </w:numPr>
        <w:rPr>
          <w:color w:val="auto"/>
        </w:rPr>
      </w:pPr>
      <w:r>
        <w:rPr>
          <w:rFonts w:hint="eastAsia"/>
          <w:color w:val="auto"/>
        </w:rPr>
        <w:t>检测内容应依据DB11/T 1164.1中BOM操作员登录登出功能的要求逐项检测；</w:t>
      </w:r>
    </w:p>
    <w:p>
      <w:pPr>
        <w:pStyle w:val="178"/>
        <w:rPr>
          <w:color w:val="auto"/>
        </w:rPr>
      </w:pPr>
      <w:r>
        <w:rPr>
          <w:rFonts w:hint="eastAsia"/>
          <w:color w:val="auto"/>
        </w:rPr>
        <w:t>检测方法要求如下：</w:t>
      </w:r>
    </w:p>
    <w:p>
      <w:pPr>
        <w:pStyle w:val="113"/>
        <w:numPr>
          <w:ilvl w:val="1"/>
          <w:numId w:val="267"/>
        </w:numPr>
        <w:rPr>
          <w:color w:val="auto"/>
        </w:rPr>
      </w:pPr>
      <w:r>
        <w:rPr>
          <w:rFonts w:hint="eastAsia"/>
          <w:color w:val="auto"/>
        </w:rPr>
        <w:t>使用仿真中心系统向受检BOM下发操作员权限参数，在受检BOM上进行登录操作，通过仿真系统的记录检测受检BOM对操作员登录的处理应符合DB11/T 1164.1和DB11/T 1164.2的规定；</w:t>
      </w:r>
    </w:p>
    <w:p>
      <w:pPr>
        <w:pStyle w:val="113"/>
        <w:rPr>
          <w:color w:val="auto"/>
        </w:rPr>
      </w:pPr>
      <w:r>
        <w:rPr>
          <w:rFonts w:hint="eastAsia"/>
          <w:color w:val="auto"/>
        </w:rPr>
        <w:t>在受检BOM上导入操作员权限参数，在受检BOM上进行登录操作，通过仿真系统的记录检测受检BOM对操作员登录登出的处理应符合DB11/T 1164.1和DB11/T 1164.2的规定；</w:t>
      </w:r>
    </w:p>
    <w:p>
      <w:pPr>
        <w:pStyle w:val="113"/>
        <w:rPr>
          <w:color w:val="auto"/>
        </w:rPr>
      </w:pPr>
      <w:r>
        <w:rPr>
          <w:rFonts w:hint="eastAsia"/>
          <w:color w:val="auto"/>
        </w:rPr>
        <w:t>在受检BOM上进行登出操作，通过仿真系统的检测受检BOM对操作员登出的处理应符合DB11/T 1164.1和DB11/T 1164.2的规定。</w:t>
      </w:r>
    </w:p>
    <w:p>
      <w:pPr>
        <w:pStyle w:val="98"/>
        <w:spacing w:before="156" w:after="156"/>
        <w:rPr>
          <w:color w:val="auto"/>
        </w:rPr>
      </w:pPr>
      <w:bookmarkStart w:id="400" w:name="_Toc332829413"/>
      <w:bookmarkEnd w:id="400"/>
      <w:bookmarkStart w:id="401" w:name="_Toc332391518"/>
      <w:r>
        <w:rPr>
          <w:rFonts w:hint="eastAsia"/>
          <w:color w:val="auto"/>
        </w:rPr>
        <w:t>数据查询检测</w:t>
      </w:r>
    </w:p>
    <w:p>
      <w:pPr>
        <w:pStyle w:val="60"/>
        <w:ind w:firstLine="420"/>
        <w:rPr>
          <w:color w:val="auto"/>
        </w:rPr>
      </w:pPr>
      <w:r>
        <w:rPr>
          <w:rFonts w:hint="eastAsia"/>
          <w:color w:val="auto"/>
        </w:rPr>
        <w:t>数据查询</w:t>
      </w:r>
      <w:bookmarkEnd w:id="401"/>
      <w:r>
        <w:rPr>
          <w:rFonts w:hint="eastAsia"/>
          <w:color w:val="auto"/>
        </w:rPr>
        <w:t>检测要求如下：</w:t>
      </w:r>
    </w:p>
    <w:p>
      <w:pPr>
        <w:pStyle w:val="178"/>
        <w:numPr>
          <w:ilvl w:val="0"/>
          <w:numId w:val="268"/>
        </w:numPr>
        <w:rPr>
          <w:color w:val="auto"/>
        </w:rPr>
      </w:pPr>
      <w:r>
        <w:rPr>
          <w:rFonts w:hint="eastAsia"/>
          <w:color w:val="auto"/>
        </w:rPr>
        <w:t>检测内容应依据DB11/T 1164.1中BOM数据查询功能的要求逐项检测；</w:t>
      </w:r>
    </w:p>
    <w:p>
      <w:pPr>
        <w:pStyle w:val="178"/>
        <w:rPr>
          <w:color w:val="auto"/>
        </w:rPr>
      </w:pPr>
      <w:r>
        <w:rPr>
          <w:rFonts w:hint="eastAsia"/>
          <w:color w:val="auto"/>
        </w:rPr>
        <w:t>检测方法要求如下：</w:t>
      </w:r>
    </w:p>
    <w:p>
      <w:pPr>
        <w:pStyle w:val="113"/>
        <w:numPr>
          <w:ilvl w:val="1"/>
          <w:numId w:val="269"/>
        </w:numPr>
        <w:rPr>
          <w:color w:val="auto"/>
        </w:rPr>
      </w:pPr>
      <w:r>
        <w:rPr>
          <w:rFonts w:hint="eastAsia"/>
          <w:color w:val="auto"/>
        </w:rPr>
        <w:t>在受检BOM进行售票、充值、退票、退资、抵消、补票、替换等业务操作，应在本地查询到相关交易数据、数据传送信息数据；</w:t>
      </w:r>
    </w:p>
    <w:p>
      <w:pPr>
        <w:pStyle w:val="113"/>
        <w:rPr>
          <w:color w:val="auto"/>
        </w:rPr>
      </w:pPr>
      <w:r>
        <w:rPr>
          <w:rFonts w:hint="eastAsia"/>
          <w:color w:val="auto"/>
        </w:rPr>
        <w:t>在受检BOM上模拟故障，应在本地查询到相关故障数据、状态数据；</w:t>
      </w:r>
    </w:p>
    <w:p>
      <w:pPr>
        <w:pStyle w:val="113"/>
        <w:rPr>
          <w:color w:val="auto"/>
        </w:rPr>
      </w:pPr>
      <w:r>
        <w:rPr>
          <w:rFonts w:hint="eastAsia"/>
          <w:color w:val="auto"/>
        </w:rPr>
        <w:t>在受检BOM上进行部件更换操作，应在本地查询到部件信息数据、日志数据。BOM数据查询的种类</w:t>
      </w:r>
      <w:r>
        <w:rPr>
          <w:rFonts w:hint="eastAsia"/>
          <w:color w:val="auto"/>
          <w:lang w:eastAsia="zh-CN"/>
        </w:rPr>
        <w:t>应符合</w:t>
      </w:r>
      <w:r>
        <w:rPr>
          <w:rFonts w:hint="eastAsia"/>
          <w:color w:val="auto"/>
        </w:rPr>
        <w:t>表 14。</w:t>
      </w:r>
    </w:p>
    <w:p>
      <w:pPr>
        <w:pStyle w:val="116"/>
        <w:spacing w:before="156" w:after="156"/>
        <w:rPr>
          <w:color w:val="auto"/>
        </w:rPr>
      </w:pPr>
      <w:bookmarkStart w:id="402" w:name="_Ref49766534"/>
      <w:bookmarkEnd w:id="402"/>
      <w:bookmarkStart w:id="403" w:name="_Toc449538973"/>
      <w:bookmarkEnd w:id="403"/>
      <w:r>
        <w:rPr>
          <w:rFonts w:hint="eastAsia"/>
          <w:color w:val="auto"/>
        </w:rPr>
        <w:t>AG数据查询种类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052"/>
        <w:gridCol w:w="73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291"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291"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水单数据查询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销售信息查询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7</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8</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2043"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9</w:t>
            </w:r>
          </w:p>
        </w:tc>
        <w:tc>
          <w:tcPr>
            <w:tcW w:w="7291"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运转数据查询</w:t>
            </w:r>
          </w:p>
        </w:tc>
      </w:tr>
    </w:tbl>
    <w:p>
      <w:pPr>
        <w:pStyle w:val="98"/>
        <w:spacing w:before="156" w:after="156"/>
        <w:rPr>
          <w:color w:val="auto"/>
        </w:rPr>
      </w:pPr>
      <w:bookmarkStart w:id="404" w:name="_Toc332391519"/>
      <w:bookmarkEnd w:id="404"/>
      <w:bookmarkStart w:id="405" w:name="_Toc332829414"/>
      <w:r>
        <w:rPr>
          <w:rFonts w:hint="eastAsia"/>
          <w:color w:val="auto"/>
        </w:rPr>
        <w:t>票箱安装卸下检测</w:t>
      </w:r>
    </w:p>
    <w:p>
      <w:pPr>
        <w:pStyle w:val="60"/>
        <w:ind w:firstLine="420"/>
        <w:rPr>
          <w:color w:val="auto"/>
        </w:rPr>
      </w:pPr>
      <w:r>
        <w:rPr>
          <w:rFonts w:hint="eastAsia"/>
          <w:color w:val="auto"/>
        </w:rPr>
        <w:t>票箱安装卸下</w:t>
      </w:r>
      <w:bookmarkEnd w:id="405"/>
      <w:r>
        <w:rPr>
          <w:rFonts w:hint="eastAsia"/>
          <w:color w:val="auto"/>
        </w:rPr>
        <w:t>检测要求如下：</w:t>
      </w:r>
    </w:p>
    <w:p>
      <w:pPr>
        <w:pStyle w:val="178"/>
        <w:numPr>
          <w:ilvl w:val="0"/>
          <w:numId w:val="270"/>
        </w:numPr>
        <w:rPr>
          <w:color w:val="auto"/>
        </w:rPr>
      </w:pPr>
      <w:r>
        <w:rPr>
          <w:rFonts w:hint="eastAsia"/>
          <w:color w:val="auto"/>
        </w:rPr>
        <w:t>检测内容应依据DB11/T 1164.1中BOM票箱安装卸下功能的要求逐项检测；</w:t>
      </w:r>
    </w:p>
    <w:p>
      <w:pPr>
        <w:pStyle w:val="178"/>
        <w:rPr>
          <w:color w:val="auto"/>
        </w:rPr>
      </w:pPr>
      <w:r>
        <w:rPr>
          <w:rFonts w:hint="eastAsia"/>
          <w:color w:val="auto"/>
        </w:rPr>
        <w:t>检测方法应在受检BOM上执行票箱安装、卸下操作，受检BOM应自动更新票箱状态，并上传至仿真中心系统。通过仿真中心系统的记录，检测应收到受检BOM发送的状态变化数据。</w:t>
      </w:r>
    </w:p>
    <w:p>
      <w:pPr>
        <w:pStyle w:val="98"/>
        <w:spacing w:before="156" w:after="156"/>
        <w:rPr>
          <w:color w:val="auto"/>
        </w:rPr>
      </w:pPr>
      <w:bookmarkStart w:id="406" w:name="_Toc332829415"/>
      <w:bookmarkEnd w:id="406"/>
      <w:bookmarkStart w:id="407" w:name="_Toc332391520"/>
      <w:r>
        <w:rPr>
          <w:rFonts w:hint="eastAsia"/>
          <w:color w:val="auto"/>
        </w:rPr>
        <w:t>票箱警报检测</w:t>
      </w:r>
    </w:p>
    <w:p>
      <w:pPr>
        <w:pStyle w:val="60"/>
        <w:ind w:firstLine="420"/>
        <w:rPr>
          <w:color w:val="auto"/>
        </w:rPr>
      </w:pPr>
      <w:r>
        <w:rPr>
          <w:rFonts w:hint="eastAsia"/>
          <w:color w:val="auto"/>
        </w:rPr>
        <w:t>票箱警报</w:t>
      </w:r>
      <w:bookmarkEnd w:id="407"/>
      <w:r>
        <w:rPr>
          <w:rFonts w:hint="eastAsia"/>
          <w:color w:val="auto"/>
        </w:rPr>
        <w:t>检测要求如下：</w:t>
      </w:r>
    </w:p>
    <w:p>
      <w:pPr>
        <w:pStyle w:val="178"/>
        <w:numPr>
          <w:ilvl w:val="0"/>
          <w:numId w:val="271"/>
        </w:numPr>
        <w:rPr>
          <w:color w:val="auto"/>
        </w:rPr>
      </w:pPr>
      <w:r>
        <w:rPr>
          <w:rFonts w:hint="eastAsia"/>
          <w:color w:val="auto"/>
        </w:rPr>
        <w:t>检测内容应依据DB11/T 1164.1中BOM票箱报警功能的要求逐项检测；</w:t>
      </w:r>
    </w:p>
    <w:p>
      <w:pPr>
        <w:pStyle w:val="178"/>
        <w:rPr>
          <w:color w:val="auto"/>
        </w:rPr>
      </w:pPr>
      <w:r>
        <w:rPr>
          <w:rFonts w:hint="eastAsia"/>
          <w:color w:val="auto"/>
        </w:rPr>
        <w:t>检测方法应对受检BOM执行非法票箱安装、卸下操作，受检BOM应发出报警信息至仿真中心系统。通过仿真中心系统的记录，检测应收到BOM发送的报警数据。</w:t>
      </w:r>
    </w:p>
    <w:p>
      <w:pPr>
        <w:pStyle w:val="98"/>
        <w:spacing w:before="156" w:after="156"/>
        <w:rPr>
          <w:color w:val="auto"/>
        </w:rPr>
      </w:pPr>
      <w:bookmarkStart w:id="408" w:name="_Toc332391521"/>
      <w:bookmarkEnd w:id="408"/>
      <w:bookmarkStart w:id="409" w:name="_Toc332829416"/>
      <w:r>
        <w:rPr>
          <w:rFonts w:hint="eastAsia"/>
          <w:color w:val="auto"/>
        </w:rPr>
        <w:t>检查参数/软件版本检测</w:t>
      </w:r>
    </w:p>
    <w:p>
      <w:pPr>
        <w:pStyle w:val="60"/>
        <w:ind w:firstLine="420"/>
        <w:rPr>
          <w:color w:val="auto"/>
        </w:rPr>
      </w:pPr>
      <w:r>
        <w:rPr>
          <w:rFonts w:hint="eastAsia"/>
          <w:color w:val="auto"/>
        </w:rPr>
        <w:t>检查参数</w:t>
      </w:r>
      <w:bookmarkEnd w:id="409"/>
      <w:r>
        <w:rPr>
          <w:rFonts w:hint="eastAsia"/>
          <w:color w:val="auto"/>
        </w:rPr>
        <w:t>/软件版本检测要求如下：</w:t>
      </w:r>
    </w:p>
    <w:p>
      <w:pPr>
        <w:pStyle w:val="178"/>
        <w:numPr>
          <w:ilvl w:val="0"/>
          <w:numId w:val="272"/>
        </w:numPr>
        <w:rPr>
          <w:color w:val="auto"/>
        </w:rPr>
      </w:pPr>
      <w:r>
        <w:rPr>
          <w:rFonts w:hint="eastAsia"/>
          <w:color w:val="auto"/>
        </w:rPr>
        <w:t>检测内容应依据DB11/T 1164.1中BOM检查参数/软件版本功能的要求逐项检测；</w:t>
      </w:r>
    </w:p>
    <w:p>
      <w:pPr>
        <w:pStyle w:val="178"/>
        <w:rPr>
          <w:color w:val="auto"/>
        </w:rPr>
      </w:pPr>
      <w:r>
        <w:rPr>
          <w:rFonts w:hint="eastAsia"/>
          <w:color w:val="auto"/>
        </w:rPr>
        <w:t>检测方法要求如下：</w:t>
      </w:r>
    </w:p>
    <w:p>
      <w:pPr>
        <w:pStyle w:val="113"/>
        <w:numPr>
          <w:ilvl w:val="1"/>
          <w:numId w:val="273"/>
        </w:numPr>
        <w:rPr>
          <w:color w:val="auto"/>
        </w:rPr>
      </w:pPr>
      <w:r>
        <w:rPr>
          <w:rFonts w:hint="eastAsia"/>
          <w:color w:val="auto"/>
        </w:rPr>
        <w:t>使用仿真中心系统向受检BOM下发参数数据/软件数据。在受检BOM上查询参数数据版本/软件版本信息，确认与中心系统下发的参数数据/软件数据的版本应一致；</w:t>
      </w:r>
    </w:p>
    <w:p>
      <w:pPr>
        <w:pStyle w:val="113"/>
        <w:rPr>
          <w:color w:val="auto"/>
        </w:rPr>
      </w:pPr>
      <w:r>
        <w:rPr>
          <w:rFonts w:hint="eastAsia"/>
          <w:color w:val="auto"/>
        </w:rPr>
        <w:t>在受检BOM上导入参数数据/软件数据，查询参数数据/软件数据版本，确认应与导入数据版本一致。</w:t>
      </w:r>
    </w:p>
    <w:p>
      <w:pPr>
        <w:pStyle w:val="98"/>
        <w:spacing w:before="156" w:after="156"/>
        <w:rPr>
          <w:color w:val="auto"/>
        </w:rPr>
      </w:pPr>
      <w:bookmarkStart w:id="410" w:name="_Toc332391522"/>
      <w:bookmarkEnd w:id="410"/>
      <w:bookmarkStart w:id="411" w:name="_Toc332829417"/>
      <w:r>
        <w:rPr>
          <w:rFonts w:hint="eastAsia"/>
          <w:color w:val="auto"/>
        </w:rPr>
        <w:t>设备设置检测</w:t>
      </w:r>
    </w:p>
    <w:p>
      <w:pPr>
        <w:pStyle w:val="60"/>
        <w:ind w:firstLine="420"/>
        <w:rPr>
          <w:color w:val="auto"/>
        </w:rPr>
      </w:pPr>
      <w:r>
        <w:rPr>
          <w:rFonts w:hint="eastAsia"/>
          <w:color w:val="auto"/>
        </w:rPr>
        <w:t>设备设置</w:t>
      </w:r>
      <w:bookmarkEnd w:id="411"/>
      <w:r>
        <w:rPr>
          <w:rFonts w:hint="eastAsia"/>
          <w:color w:val="auto"/>
        </w:rPr>
        <w:t>检测要求如下：</w:t>
      </w:r>
    </w:p>
    <w:p>
      <w:pPr>
        <w:pStyle w:val="178"/>
        <w:numPr>
          <w:ilvl w:val="0"/>
          <w:numId w:val="274"/>
        </w:numPr>
        <w:rPr>
          <w:color w:val="auto"/>
        </w:rPr>
      </w:pPr>
      <w:r>
        <w:rPr>
          <w:rFonts w:hint="eastAsia"/>
          <w:color w:val="auto"/>
        </w:rPr>
        <w:t>检测内容应依据DB11/T 1164.1中BOM设备设置功能的要求逐项检测；</w:t>
      </w:r>
    </w:p>
    <w:p>
      <w:pPr>
        <w:pStyle w:val="178"/>
        <w:rPr>
          <w:color w:val="auto"/>
        </w:rPr>
      </w:pPr>
      <w:r>
        <w:rPr>
          <w:rFonts w:hint="eastAsia"/>
          <w:color w:val="auto"/>
        </w:rPr>
        <w:t>检测方法应在受检BOM上进行设备设置操作。受检BOM应按照设置后的模式进行工作，通过仿真中心系统的记录检查受检BOM设置后的状态。BOM的设置信息种类</w:t>
      </w:r>
      <w:r>
        <w:rPr>
          <w:rFonts w:hint="eastAsia"/>
          <w:color w:val="auto"/>
          <w:lang w:eastAsia="zh-CN"/>
        </w:rPr>
        <w:t>应符合</w:t>
      </w:r>
      <w:r>
        <w:rPr>
          <w:rFonts w:hint="eastAsia"/>
          <w:color w:val="auto"/>
        </w:rPr>
        <w:t>表 15。</w:t>
      </w:r>
    </w:p>
    <w:p>
      <w:pPr>
        <w:pStyle w:val="116"/>
        <w:spacing w:before="156" w:after="156"/>
        <w:rPr>
          <w:color w:val="auto"/>
        </w:rPr>
      </w:pPr>
      <w:bookmarkStart w:id="412" w:name="_Ref49766563"/>
      <w:bookmarkEnd w:id="412"/>
      <w:bookmarkStart w:id="413" w:name="_Toc332391808"/>
      <w:bookmarkEnd w:id="413"/>
      <w:r>
        <w:rPr>
          <w:rFonts w:hint="eastAsia"/>
          <w:color w:val="auto"/>
        </w:rPr>
        <w:t>BOM设置信息种类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2"/>
        <w:gridCol w:w="4477"/>
        <w:gridCol w:w="31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序号</w:t>
            </w:r>
          </w:p>
        </w:tc>
        <w:tc>
          <w:tcPr>
            <w:tcW w:w="4458"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设备设置</w:t>
            </w:r>
          </w:p>
        </w:tc>
        <w:tc>
          <w:tcPr>
            <w:tcW w:w="3112"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1</w:t>
            </w:r>
          </w:p>
        </w:tc>
        <w:tc>
          <w:tcPr>
            <w:tcW w:w="4458"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基本信息设置</w:t>
            </w:r>
          </w:p>
        </w:tc>
        <w:tc>
          <w:tcPr>
            <w:tcW w:w="3112" w:type="dxa"/>
            <w:tcBorders>
              <w:top w:val="single" w:color="000000" w:sz="8" w:space="0"/>
            </w:tcBorders>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2</w:t>
            </w:r>
          </w:p>
        </w:tc>
        <w:tc>
          <w:tcPr>
            <w:tcW w:w="4458" w:type="dxa"/>
            <w:shd w:val="clear" w:color="auto" w:fill="auto"/>
            <w:vAlign w:val="center"/>
          </w:tcPr>
          <w:p>
            <w:pPr>
              <w:pStyle w:val="60"/>
              <w:ind w:firstLine="360"/>
              <w:rPr>
                <w:color w:val="auto"/>
                <w:sz w:val="18"/>
              </w:rPr>
            </w:pPr>
            <w:r>
              <w:rPr>
                <w:rFonts w:hint="eastAsia"/>
                <w:color w:val="auto"/>
                <w:sz w:val="18"/>
              </w:rPr>
              <w:t>运营模式设置</w:t>
            </w:r>
          </w:p>
        </w:tc>
        <w:tc>
          <w:tcPr>
            <w:tcW w:w="3112" w:type="dxa"/>
            <w:shd w:val="clear" w:color="auto" w:fill="auto"/>
            <w:vAlign w:val="center"/>
          </w:tcPr>
          <w:p>
            <w:pPr>
              <w:pStyle w:val="60"/>
              <w:ind w:firstLine="360"/>
              <w:rPr>
                <w:color w:val="auto"/>
                <w:sz w:val="18"/>
              </w:rPr>
            </w:pPr>
            <w:r>
              <w:rPr>
                <w:rFonts w:hint="eastAsia"/>
                <w:color w:val="auto"/>
                <w:sz w:val="18"/>
              </w:rPr>
              <w:t>仅脱机时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3</w:t>
            </w:r>
          </w:p>
        </w:tc>
        <w:tc>
          <w:tcPr>
            <w:tcW w:w="4458" w:type="dxa"/>
            <w:shd w:val="clear" w:color="auto" w:fill="auto"/>
            <w:vAlign w:val="center"/>
          </w:tcPr>
          <w:p>
            <w:pPr>
              <w:pStyle w:val="60"/>
              <w:ind w:firstLine="360"/>
              <w:rPr>
                <w:color w:val="auto"/>
                <w:sz w:val="18"/>
              </w:rPr>
            </w:pPr>
            <w:r>
              <w:rPr>
                <w:rFonts w:hint="eastAsia"/>
                <w:color w:val="auto"/>
                <w:sz w:val="18"/>
              </w:rPr>
              <w:t>服务模式设置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4</w:t>
            </w:r>
          </w:p>
        </w:tc>
        <w:tc>
          <w:tcPr>
            <w:tcW w:w="4458" w:type="dxa"/>
            <w:shd w:val="clear" w:color="auto" w:fill="auto"/>
            <w:vAlign w:val="center"/>
          </w:tcPr>
          <w:p>
            <w:pPr>
              <w:pStyle w:val="60"/>
              <w:ind w:firstLine="360"/>
              <w:rPr>
                <w:color w:val="auto"/>
                <w:sz w:val="18"/>
              </w:rPr>
            </w:pPr>
            <w:r>
              <w:rPr>
                <w:rFonts w:hint="eastAsia"/>
                <w:color w:val="auto"/>
                <w:sz w:val="18"/>
              </w:rPr>
              <w:t>24小时运营设置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5</w:t>
            </w:r>
          </w:p>
        </w:tc>
        <w:tc>
          <w:tcPr>
            <w:tcW w:w="4458" w:type="dxa"/>
            <w:shd w:val="clear" w:color="auto" w:fill="auto"/>
            <w:vAlign w:val="center"/>
          </w:tcPr>
          <w:p>
            <w:pPr>
              <w:pStyle w:val="60"/>
              <w:ind w:firstLine="360"/>
              <w:rPr>
                <w:color w:val="auto"/>
                <w:sz w:val="18"/>
              </w:rPr>
            </w:pPr>
            <w:r>
              <w:rPr>
                <w:rFonts w:hint="eastAsia"/>
                <w:color w:val="auto"/>
                <w:sz w:val="18"/>
              </w:rPr>
              <w:t>延长运营设置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6</w:t>
            </w:r>
          </w:p>
        </w:tc>
        <w:tc>
          <w:tcPr>
            <w:tcW w:w="4458" w:type="dxa"/>
            <w:shd w:val="clear" w:color="auto" w:fill="auto"/>
            <w:vAlign w:val="center"/>
          </w:tcPr>
          <w:p>
            <w:pPr>
              <w:pStyle w:val="60"/>
              <w:ind w:firstLine="360"/>
              <w:rPr>
                <w:color w:val="auto"/>
                <w:sz w:val="18"/>
              </w:rPr>
            </w:pPr>
            <w:r>
              <w:rPr>
                <w:rFonts w:hint="eastAsia"/>
                <w:color w:val="auto"/>
                <w:sz w:val="18"/>
              </w:rPr>
              <w:t>时钟设置</w:t>
            </w:r>
          </w:p>
        </w:tc>
        <w:tc>
          <w:tcPr>
            <w:tcW w:w="3112" w:type="dxa"/>
            <w:shd w:val="clear" w:color="auto" w:fill="auto"/>
            <w:vAlign w:val="center"/>
          </w:tcPr>
          <w:p>
            <w:pPr>
              <w:pStyle w:val="60"/>
              <w:ind w:firstLine="360"/>
              <w:rPr>
                <w:color w:val="auto"/>
                <w:sz w:val="18"/>
              </w:rPr>
            </w:pPr>
          </w:p>
        </w:tc>
      </w:tr>
    </w:tbl>
    <w:p>
      <w:pPr>
        <w:pStyle w:val="98"/>
        <w:spacing w:before="156" w:after="156"/>
        <w:rPr>
          <w:color w:val="auto"/>
        </w:rPr>
      </w:pPr>
      <w:bookmarkStart w:id="414" w:name="_Toc332391523"/>
      <w:bookmarkEnd w:id="414"/>
      <w:bookmarkStart w:id="415" w:name="_Toc332829418"/>
      <w:r>
        <w:rPr>
          <w:rFonts w:hint="eastAsia"/>
          <w:color w:val="auto"/>
        </w:rPr>
        <w:t>设备部件检测</w:t>
      </w:r>
    </w:p>
    <w:p>
      <w:pPr>
        <w:pStyle w:val="60"/>
        <w:ind w:firstLine="420"/>
        <w:rPr>
          <w:color w:val="auto"/>
        </w:rPr>
      </w:pPr>
      <w:r>
        <w:rPr>
          <w:rFonts w:hint="eastAsia"/>
          <w:color w:val="auto"/>
        </w:rPr>
        <w:t>设备部件检测</w:t>
      </w:r>
      <w:bookmarkEnd w:id="415"/>
      <w:r>
        <w:rPr>
          <w:rFonts w:hint="eastAsia"/>
          <w:color w:val="auto"/>
        </w:rPr>
        <w:t>要求如下：</w:t>
      </w:r>
    </w:p>
    <w:p>
      <w:pPr>
        <w:pStyle w:val="178"/>
        <w:numPr>
          <w:ilvl w:val="0"/>
          <w:numId w:val="275"/>
        </w:numPr>
        <w:rPr>
          <w:color w:val="auto"/>
        </w:rPr>
      </w:pPr>
      <w:r>
        <w:rPr>
          <w:rFonts w:hint="eastAsia"/>
          <w:color w:val="auto"/>
        </w:rPr>
        <w:t>检测内容应依据DB11/T 1164.1中BOM设备维修维护功能的要求逐项检测；</w:t>
      </w:r>
    </w:p>
    <w:p>
      <w:pPr>
        <w:pStyle w:val="178"/>
        <w:rPr>
          <w:color w:val="auto"/>
        </w:rPr>
      </w:pPr>
      <w:r>
        <w:rPr>
          <w:rFonts w:hint="eastAsia"/>
          <w:color w:val="auto"/>
        </w:rPr>
        <w:t>检测方法应在受检BOM上执行设备部件检测动作，受检BOM根据检测结果更新部件状态，并上传至仿真中心系统。通过仿真中心系统检测受检BOM上传的执行结果应正确。BOM要进行的部件检测</w:t>
      </w:r>
      <w:r>
        <w:rPr>
          <w:rFonts w:hint="eastAsia"/>
          <w:color w:val="auto"/>
          <w:lang w:eastAsia="zh-CN"/>
        </w:rPr>
        <w:t>应符合</w:t>
      </w:r>
      <w:r>
        <w:rPr>
          <w:rFonts w:hint="eastAsia"/>
          <w:color w:val="auto"/>
        </w:rPr>
        <w:t>表 16。</w:t>
      </w:r>
    </w:p>
    <w:p>
      <w:pPr>
        <w:pStyle w:val="116"/>
        <w:spacing w:before="156" w:after="156"/>
        <w:rPr>
          <w:color w:val="auto"/>
        </w:rPr>
      </w:pPr>
      <w:bookmarkStart w:id="416" w:name="_Toc332391809"/>
      <w:bookmarkEnd w:id="416"/>
      <w:bookmarkStart w:id="417" w:name="_Ref49766593"/>
      <w:bookmarkEnd w:id="417"/>
      <w:r>
        <w:rPr>
          <w:rFonts w:hint="eastAsia"/>
          <w:color w:val="auto"/>
        </w:rPr>
        <w:t>BOM部件检测表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3"/>
        <w:gridCol w:w="7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7569"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部件检测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7569"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网络连接状态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2</w:t>
            </w:r>
          </w:p>
        </w:tc>
        <w:tc>
          <w:tcPr>
            <w:tcW w:w="7569" w:type="dxa"/>
            <w:shd w:val="clear" w:color="auto" w:fill="auto"/>
            <w:vAlign w:val="center"/>
          </w:tcPr>
          <w:p>
            <w:pPr>
              <w:pStyle w:val="60"/>
              <w:ind w:firstLine="360"/>
              <w:rPr>
                <w:color w:val="auto"/>
                <w:sz w:val="18"/>
              </w:rPr>
            </w:pPr>
            <w:r>
              <w:rPr>
                <w:rFonts w:hint="eastAsia"/>
                <w:color w:val="auto"/>
                <w:sz w:val="18"/>
              </w:rPr>
              <w:t>TPU检测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3</w:t>
            </w:r>
          </w:p>
        </w:tc>
        <w:tc>
          <w:tcPr>
            <w:tcW w:w="7569" w:type="dxa"/>
            <w:shd w:val="clear" w:color="auto" w:fill="auto"/>
            <w:vAlign w:val="center"/>
          </w:tcPr>
          <w:p>
            <w:pPr>
              <w:pStyle w:val="60"/>
              <w:ind w:firstLine="360"/>
              <w:rPr>
                <w:color w:val="auto"/>
                <w:sz w:val="18"/>
              </w:rPr>
            </w:pPr>
            <w:r>
              <w:rPr>
                <w:rFonts w:hint="eastAsia"/>
                <w:color w:val="auto"/>
                <w:sz w:val="18"/>
              </w:rPr>
              <w:t>触摸屏检测检测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4</w:t>
            </w:r>
          </w:p>
        </w:tc>
        <w:tc>
          <w:tcPr>
            <w:tcW w:w="7569" w:type="dxa"/>
            <w:shd w:val="clear" w:color="auto" w:fill="auto"/>
            <w:vAlign w:val="center"/>
          </w:tcPr>
          <w:p>
            <w:pPr>
              <w:pStyle w:val="60"/>
              <w:ind w:firstLine="360"/>
              <w:rPr>
                <w:color w:val="auto"/>
                <w:sz w:val="18"/>
              </w:rPr>
            </w:pPr>
            <w:r>
              <w:rPr>
                <w:rFonts w:hint="eastAsia"/>
                <w:color w:val="auto"/>
                <w:sz w:val="18"/>
              </w:rPr>
              <w:t>票卡发行单元检测</w:t>
            </w:r>
          </w:p>
        </w:tc>
      </w:tr>
    </w:tbl>
    <w:p>
      <w:pPr>
        <w:pStyle w:val="98"/>
        <w:spacing w:before="156" w:after="156"/>
        <w:rPr>
          <w:color w:val="auto"/>
        </w:rPr>
      </w:pPr>
      <w:bookmarkStart w:id="418" w:name="_Toc332391524"/>
      <w:bookmarkEnd w:id="418"/>
      <w:bookmarkStart w:id="419" w:name="_Toc332829419"/>
      <w:r>
        <w:rPr>
          <w:rFonts w:hint="eastAsia"/>
          <w:color w:val="auto"/>
        </w:rPr>
        <w:t>数据导入导出检测</w:t>
      </w:r>
    </w:p>
    <w:p>
      <w:pPr>
        <w:pStyle w:val="60"/>
        <w:ind w:firstLine="420"/>
        <w:rPr>
          <w:color w:val="auto"/>
        </w:rPr>
      </w:pPr>
      <w:r>
        <w:rPr>
          <w:rFonts w:hint="eastAsia"/>
          <w:color w:val="auto"/>
        </w:rPr>
        <w:t>数据导入导出</w:t>
      </w:r>
      <w:bookmarkEnd w:id="419"/>
      <w:r>
        <w:rPr>
          <w:rFonts w:hint="eastAsia"/>
          <w:color w:val="auto"/>
        </w:rPr>
        <w:t>检测要求如下：</w:t>
      </w:r>
    </w:p>
    <w:p>
      <w:pPr>
        <w:pStyle w:val="178"/>
        <w:numPr>
          <w:ilvl w:val="0"/>
          <w:numId w:val="276"/>
        </w:numPr>
        <w:rPr>
          <w:color w:val="auto"/>
        </w:rPr>
      </w:pPr>
      <w:r>
        <w:rPr>
          <w:rFonts w:hint="eastAsia"/>
          <w:color w:val="auto"/>
        </w:rPr>
        <w:t>检测内容应依据DB11/T 1164.1中BOM数据导入导出功能的要求逐项检测；</w:t>
      </w:r>
    </w:p>
    <w:p>
      <w:pPr>
        <w:pStyle w:val="178"/>
        <w:rPr>
          <w:color w:val="auto"/>
        </w:rPr>
      </w:pPr>
      <w:r>
        <w:rPr>
          <w:rFonts w:hint="eastAsia"/>
          <w:color w:val="auto"/>
        </w:rPr>
        <w:t>检测方法要求如下：</w:t>
      </w:r>
    </w:p>
    <w:p>
      <w:pPr>
        <w:pStyle w:val="113"/>
        <w:numPr>
          <w:ilvl w:val="1"/>
          <w:numId w:val="277"/>
        </w:numPr>
        <w:rPr>
          <w:color w:val="auto"/>
        </w:rPr>
      </w:pPr>
      <w:r>
        <w:rPr>
          <w:rFonts w:hint="eastAsia"/>
          <w:color w:val="auto"/>
        </w:rPr>
        <w:t>通过外部存储设备将参数数据导入到受检BOM上，进行相关的业务操作，检查受检BOM参数导入的正确性；</w:t>
      </w:r>
    </w:p>
    <w:p>
      <w:pPr>
        <w:pStyle w:val="113"/>
        <w:rPr>
          <w:color w:val="auto"/>
        </w:rPr>
      </w:pPr>
      <w:r>
        <w:rPr>
          <w:rFonts w:hint="eastAsia"/>
          <w:color w:val="auto"/>
        </w:rPr>
        <w:t>将受检BOM上的交易数据、业务数据、事件数据、日志数据导出到外部存储设备，再将外部存储设备上导出的数据导入到仿真中心系统上，检查导出数据的正确性。</w:t>
      </w:r>
    </w:p>
    <w:p>
      <w:pPr>
        <w:pStyle w:val="98"/>
        <w:spacing w:before="156" w:after="156"/>
        <w:rPr>
          <w:color w:val="auto"/>
        </w:rPr>
      </w:pPr>
      <w:bookmarkStart w:id="420" w:name="_Toc332829420"/>
      <w:bookmarkEnd w:id="420"/>
      <w:bookmarkStart w:id="421" w:name="_Toc332391525"/>
      <w:r>
        <w:rPr>
          <w:rFonts w:hint="eastAsia"/>
          <w:color w:val="auto"/>
        </w:rPr>
        <w:t>管理卡认证检测</w:t>
      </w:r>
    </w:p>
    <w:p>
      <w:pPr>
        <w:pStyle w:val="60"/>
        <w:ind w:firstLine="420"/>
        <w:rPr>
          <w:color w:val="auto"/>
        </w:rPr>
      </w:pPr>
      <w:r>
        <w:rPr>
          <w:rFonts w:hint="eastAsia"/>
          <w:color w:val="auto"/>
        </w:rPr>
        <w:t>管理卡认证</w:t>
      </w:r>
      <w:bookmarkEnd w:id="421"/>
      <w:r>
        <w:rPr>
          <w:rFonts w:hint="eastAsia"/>
          <w:color w:val="auto"/>
        </w:rPr>
        <w:t>检测要求如下：</w:t>
      </w:r>
    </w:p>
    <w:p>
      <w:pPr>
        <w:pStyle w:val="178"/>
        <w:numPr>
          <w:ilvl w:val="0"/>
          <w:numId w:val="278"/>
        </w:numPr>
        <w:rPr>
          <w:color w:val="auto"/>
        </w:rPr>
      </w:pPr>
      <w:r>
        <w:rPr>
          <w:rFonts w:hint="eastAsia"/>
          <w:color w:val="auto"/>
        </w:rPr>
        <w:t>检测内容应依据DB11/T 1164.1中BOM管理卡认证功能的要求逐项检测；</w:t>
      </w:r>
    </w:p>
    <w:p>
      <w:pPr>
        <w:pStyle w:val="178"/>
        <w:rPr>
          <w:color w:val="auto"/>
        </w:rPr>
      </w:pPr>
      <w:r>
        <w:rPr>
          <w:rFonts w:hint="eastAsia"/>
          <w:color w:val="auto"/>
        </w:rPr>
        <w:t>检测方法要求如下：</w:t>
      </w:r>
    </w:p>
    <w:p>
      <w:pPr>
        <w:pStyle w:val="113"/>
        <w:numPr>
          <w:ilvl w:val="1"/>
          <w:numId w:val="279"/>
        </w:numPr>
        <w:rPr>
          <w:color w:val="auto"/>
        </w:rPr>
      </w:pPr>
      <w:r>
        <w:rPr>
          <w:rFonts w:hint="eastAsia"/>
          <w:color w:val="auto"/>
        </w:rPr>
        <w:t>断开受检BOM的网络；</w:t>
      </w:r>
    </w:p>
    <w:p>
      <w:pPr>
        <w:pStyle w:val="113"/>
        <w:rPr>
          <w:color w:val="auto"/>
        </w:rPr>
      </w:pPr>
      <w:r>
        <w:rPr>
          <w:rFonts w:hint="eastAsia"/>
          <w:color w:val="auto"/>
        </w:rPr>
        <w:t>使用一票通认证管理卡在受检BOM上对一票通ISAM卡进行认证；</w:t>
      </w:r>
    </w:p>
    <w:p>
      <w:pPr>
        <w:pStyle w:val="113"/>
        <w:rPr>
          <w:color w:val="auto"/>
        </w:rPr>
      </w:pPr>
      <w:r>
        <w:rPr>
          <w:rFonts w:hint="eastAsia"/>
          <w:color w:val="auto"/>
        </w:rPr>
        <w:t>认证后的受检BOM对一票通车票应进行正常的售票等相关业务。</w:t>
      </w:r>
    </w:p>
    <w:p>
      <w:pPr>
        <w:pStyle w:val="98"/>
        <w:spacing w:before="156" w:after="156"/>
        <w:rPr>
          <w:color w:val="auto"/>
        </w:rPr>
      </w:pPr>
      <w:bookmarkStart w:id="422" w:name="_Toc332391526"/>
      <w:bookmarkEnd w:id="422"/>
      <w:bookmarkStart w:id="423" w:name="_Toc332829421"/>
      <w:r>
        <w:rPr>
          <w:rFonts w:hint="eastAsia"/>
          <w:color w:val="auto"/>
        </w:rPr>
        <w:t>ISAM卡签到检测</w:t>
      </w:r>
    </w:p>
    <w:p>
      <w:pPr>
        <w:pStyle w:val="60"/>
        <w:ind w:firstLine="420"/>
        <w:rPr>
          <w:color w:val="auto"/>
        </w:rPr>
      </w:pPr>
      <w:r>
        <w:rPr>
          <w:rFonts w:hint="eastAsia"/>
          <w:color w:val="auto"/>
        </w:rPr>
        <w:t>ISAM</w:t>
      </w:r>
      <w:bookmarkEnd w:id="423"/>
      <w:r>
        <w:rPr>
          <w:rFonts w:hint="eastAsia"/>
          <w:color w:val="auto"/>
        </w:rPr>
        <w:t>卡签到检测要求如下：</w:t>
      </w:r>
    </w:p>
    <w:p>
      <w:pPr>
        <w:pStyle w:val="178"/>
        <w:numPr>
          <w:ilvl w:val="0"/>
          <w:numId w:val="280"/>
        </w:numPr>
        <w:rPr>
          <w:color w:val="auto"/>
        </w:rPr>
      </w:pPr>
      <w:r>
        <w:rPr>
          <w:rFonts w:hint="eastAsia"/>
          <w:color w:val="auto"/>
        </w:rPr>
        <w:t>检测内容应依据DB11/T 1164.1中BOM ISAM卡签到功能的要求逐项检测；</w:t>
      </w:r>
    </w:p>
    <w:p>
      <w:pPr>
        <w:pStyle w:val="178"/>
        <w:rPr>
          <w:color w:val="auto"/>
        </w:rPr>
      </w:pPr>
      <w:r>
        <w:rPr>
          <w:rFonts w:hint="eastAsia"/>
          <w:color w:val="auto"/>
        </w:rPr>
        <w:t>检测方法要求如下：</w:t>
      </w:r>
    </w:p>
    <w:p>
      <w:pPr>
        <w:pStyle w:val="113"/>
        <w:numPr>
          <w:ilvl w:val="1"/>
          <w:numId w:val="281"/>
        </w:numPr>
        <w:rPr>
          <w:color w:val="auto"/>
        </w:rPr>
      </w:pPr>
      <w:r>
        <w:rPr>
          <w:rFonts w:hint="eastAsia"/>
          <w:color w:val="auto"/>
        </w:rPr>
        <w:t>受检BOM与一票通ISAM卡认证服务器网络连接正常；</w:t>
      </w:r>
    </w:p>
    <w:p>
      <w:pPr>
        <w:pStyle w:val="113"/>
        <w:rPr>
          <w:color w:val="auto"/>
        </w:rPr>
      </w:pPr>
      <w:r>
        <w:rPr>
          <w:rFonts w:hint="eastAsia"/>
          <w:color w:val="auto"/>
        </w:rPr>
        <w:t>受检BOM与一卡通ISAM卡认证服务器网络连接正常；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在受检BOM上进行一票通ISAM卡和一卡通ISAM卡签到操作，检测受检BOM的执行结果；</w:t>
      </w:r>
    </w:p>
    <w:p>
      <w:pPr>
        <w:pStyle w:val="113"/>
        <w:rPr>
          <w:color w:val="auto"/>
        </w:rPr>
      </w:pPr>
      <w:r>
        <w:rPr>
          <w:rFonts w:hint="eastAsia"/>
          <w:color w:val="auto"/>
        </w:rPr>
        <w:t>在受检BOM上执行售票、充值等业务，检测受检BOM的ISAM卡签到应成功；</w:t>
      </w:r>
    </w:p>
    <w:p>
      <w:pPr>
        <w:pStyle w:val="113"/>
        <w:rPr>
          <w:color w:val="auto"/>
        </w:rPr>
      </w:pPr>
      <w:r>
        <w:rPr>
          <w:rFonts w:hint="eastAsia"/>
          <w:color w:val="auto"/>
        </w:rPr>
        <w:t>通过仿真一卡通ISAM卡认证系统的记录检测受检BOM签到应正确；</w:t>
      </w:r>
    </w:p>
    <w:p>
      <w:pPr>
        <w:pStyle w:val="113"/>
        <w:rPr>
          <w:color w:val="auto"/>
        </w:rPr>
      </w:pPr>
      <w:r>
        <w:rPr>
          <w:rFonts w:hint="eastAsia"/>
          <w:color w:val="auto"/>
        </w:rPr>
        <w:t>通过仿真一票通ISAM卡认证系统的记录检测受检BOM签到应正确。</w:t>
      </w:r>
    </w:p>
    <w:p>
      <w:pPr>
        <w:pStyle w:val="98"/>
        <w:spacing w:before="156" w:after="156"/>
        <w:rPr>
          <w:color w:val="auto"/>
        </w:rPr>
      </w:pPr>
      <w:bookmarkStart w:id="424" w:name="_Toc332391527"/>
      <w:bookmarkEnd w:id="424"/>
      <w:bookmarkStart w:id="425" w:name="_Toc332829422"/>
      <w:r>
        <w:rPr>
          <w:rFonts w:hint="eastAsia"/>
          <w:color w:val="auto"/>
        </w:rPr>
        <w:t>ISAM卡签退检测</w:t>
      </w:r>
    </w:p>
    <w:p>
      <w:pPr>
        <w:pStyle w:val="60"/>
        <w:ind w:firstLine="420"/>
        <w:rPr>
          <w:color w:val="auto"/>
        </w:rPr>
      </w:pPr>
      <w:r>
        <w:rPr>
          <w:rFonts w:hint="eastAsia"/>
          <w:color w:val="auto"/>
        </w:rPr>
        <w:t>ISAM</w:t>
      </w:r>
      <w:bookmarkEnd w:id="425"/>
      <w:r>
        <w:rPr>
          <w:rFonts w:hint="eastAsia"/>
          <w:color w:val="auto"/>
        </w:rPr>
        <w:t>卡签退检测要求如下：</w:t>
      </w:r>
    </w:p>
    <w:p>
      <w:pPr>
        <w:pStyle w:val="178"/>
        <w:numPr>
          <w:ilvl w:val="0"/>
          <w:numId w:val="282"/>
        </w:numPr>
        <w:rPr>
          <w:color w:val="auto"/>
        </w:rPr>
      </w:pPr>
      <w:r>
        <w:rPr>
          <w:rFonts w:hint="eastAsia"/>
          <w:color w:val="auto"/>
        </w:rPr>
        <w:t>检测内容应依据DB11/T 1164.1中BOM ISAM卡签退功能的要求逐项检测；</w:t>
      </w:r>
    </w:p>
    <w:p>
      <w:pPr>
        <w:pStyle w:val="178"/>
        <w:rPr>
          <w:color w:val="auto"/>
        </w:rPr>
      </w:pPr>
      <w:r>
        <w:rPr>
          <w:rFonts w:hint="eastAsia"/>
          <w:color w:val="auto"/>
        </w:rPr>
        <w:t>检测方法要求如下：</w:t>
      </w:r>
    </w:p>
    <w:p>
      <w:pPr>
        <w:pStyle w:val="113"/>
        <w:numPr>
          <w:ilvl w:val="1"/>
          <w:numId w:val="283"/>
        </w:numPr>
        <w:rPr>
          <w:color w:val="auto"/>
        </w:rPr>
      </w:pPr>
      <w:r>
        <w:rPr>
          <w:rFonts w:hint="eastAsia"/>
          <w:color w:val="auto"/>
        </w:rPr>
        <w:t>受检BOM与一票通ISAM卡认证服务器网络连接正常；</w:t>
      </w:r>
    </w:p>
    <w:p>
      <w:pPr>
        <w:pStyle w:val="113"/>
        <w:rPr>
          <w:color w:val="auto"/>
        </w:rPr>
      </w:pPr>
      <w:r>
        <w:rPr>
          <w:rFonts w:hint="eastAsia"/>
          <w:color w:val="auto"/>
        </w:rPr>
        <w:t>受检BOM与一卡通ISAM卡认证服务器网络连接正常；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在受检BOM上进行一票通ISAM卡和一卡通ISAM卡签退操作，通过仿真一票通ISAM卡认证系统和仿真一卡通ISAM卡认证系统的记录检测受检BOM签退应正确。</w:t>
      </w:r>
    </w:p>
    <w:p>
      <w:pPr>
        <w:pStyle w:val="98"/>
        <w:spacing w:before="156" w:after="156"/>
        <w:rPr>
          <w:color w:val="auto"/>
        </w:rPr>
      </w:pPr>
      <w:bookmarkStart w:id="426" w:name="_Toc332391528"/>
      <w:bookmarkEnd w:id="426"/>
      <w:bookmarkStart w:id="427" w:name="_Toc332829423"/>
      <w:r>
        <w:rPr>
          <w:rFonts w:hint="eastAsia"/>
          <w:color w:val="auto"/>
        </w:rPr>
        <w:t>ISAM卡领用检测</w:t>
      </w:r>
    </w:p>
    <w:p>
      <w:pPr>
        <w:pStyle w:val="60"/>
        <w:ind w:firstLine="420"/>
        <w:rPr>
          <w:color w:val="auto"/>
        </w:rPr>
      </w:pPr>
      <w:r>
        <w:rPr>
          <w:rFonts w:hint="eastAsia"/>
          <w:color w:val="auto"/>
        </w:rPr>
        <w:t>ISAM</w:t>
      </w:r>
      <w:bookmarkEnd w:id="427"/>
      <w:r>
        <w:rPr>
          <w:rFonts w:hint="eastAsia"/>
          <w:color w:val="auto"/>
        </w:rPr>
        <w:t>卡领用检测要求如下：</w:t>
      </w:r>
    </w:p>
    <w:p>
      <w:pPr>
        <w:pStyle w:val="178"/>
        <w:numPr>
          <w:ilvl w:val="0"/>
          <w:numId w:val="284"/>
        </w:numPr>
        <w:rPr>
          <w:color w:val="auto"/>
        </w:rPr>
      </w:pPr>
      <w:r>
        <w:rPr>
          <w:rFonts w:hint="eastAsia"/>
          <w:color w:val="auto"/>
        </w:rPr>
        <w:t>检测内容应依据DB11/T 1164.1中BOM ISAM卡领用功能的要求逐项检测；</w:t>
      </w:r>
    </w:p>
    <w:p>
      <w:pPr>
        <w:pStyle w:val="178"/>
        <w:rPr>
          <w:color w:val="auto"/>
        </w:rPr>
      </w:pPr>
      <w:r>
        <w:rPr>
          <w:rFonts w:hint="eastAsia"/>
          <w:color w:val="auto"/>
        </w:rPr>
        <w:t>检测方法要求如下：</w:t>
      </w:r>
    </w:p>
    <w:p>
      <w:pPr>
        <w:pStyle w:val="113"/>
        <w:numPr>
          <w:ilvl w:val="1"/>
          <w:numId w:val="285"/>
        </w:numPr>
        <w:rPr>
          <w:color w:val="auto"/>
        </w:rPr>
      </w:pPr>
      <w:r>
        <w:rPr>
          <w:rFonts w:hint="eastAsia"/>
          <w:color w:val="auto"/>
        </w:rPr>
        <w:t>在受检BOM上安装未使用过的一卡通ISAM卡，执行一卡通ISAM卡领用操作；</w:t>
      </w:r>
    </w:p>
    <w:p>
      <w:pPr>
        <w:pStyle w:val="113"/>
        <w:rPr>
          <w:color w:val="auto"/>
        </w:rPr>
      </w:pPr>
      <w:r>
        <w:rPr>
          <w:rFonts w:hint="eastAsia"/>
          <w:color w:val="auto"/>
        </w:rPr>
        <w:t>通过仿真一卡通ISAM卡认证系统的记录检测受检BOM领用应正确。</w:t>
      </w:r>
    </w:p>
    <w:p>
      <w:pPr>
        <w:pStyle w:val="98"/>
        <w:spacing w:before="156" w:after="156"/>
        <w:rPr>
          <w:color w:val="auto"/>
        </w:rPr>
      </w:pPr>
      <w:bookmarkStart w:id="428" w:name="_Toc332391529"/>
      <w:bookmarkEnd w:id="428"/>
      <w:bookmarkStart w:id="429" w:name="_Toc332829424"/>
      <w:r>
        <w:rPr>
          <w:rFonts w:hint="eastAsia"/>
          <w:color w:val="auto"/>
        </w:rPr>
        <w:t>ISAM卡更换检测</w:t>
      </w:r>
    </w:p>
    <w:p>
      <w:pPr>
        <w:pStyle w:val="60"/>
        <w:ind w:firstLine="420"/>
        <w:rPr>
          <w:color w:val="auto"/>
        </w:rPr>
      </w:pPr>
      <w:r>
        <w:rPr>
          <w:rFonts w:hint="eastAsia"/>
          <w:color w:val="auto"/>
        </w:rPr>
        <w:t>ISAM</w:t>
      </w:r>
      <w:bookmarkEnd w:id="429"/>
      <w:r>
        <w:rPr>
          <w:rFonts w:hint="eastAsia"/>
          <w:color w:val="auto"/>
        </w:rPr>
        <w:t>卡更换检测要求如下：</w:t>
      </w:r>
    </w:p>
    <w:p>
      <w:pPr>
        <w:pStyle w:val="178"/>
        <w:numPr>
          <w:ilvl w:val="0"/>
          <w:numId w:val="286"/>
        </w:numPr>
        <w:rPr>
          <w:color w:val="auto"/>
        </w:rPr>
      </w:pPr>
      <w:r>
        <w:rPr>
          <w:rFonts w:hint="eastAsia"/>
          <w:color w:val="auto"/>
        </w:rPr>
        <w:t>检测内容应依据DB11/T 1164.1中BOM ISAM卡更换功能的要求逐项检测；</w:t>
      </w:r>
    </w:p>
    <w:p>
      <w:pPr>
        <w:pStyle w:val="178"/>
        <w:rPr>
          <w:color w:val="auto"/>
        </w:rPr>
      </w:pPr>
      <w:r>
        <w:rPr>
          <w:rFonts w:hint="eastAsia"/>
          <w:color w:val="auto"/>
        </w:rPr>
        <w:t>检测方法要求如下：</w:t>
      </w:r>
    </w:p>
    <w:p>
      <w:pPr>
        <w:pStyle w:val="113"/>
        <w:numPr>
          <w:ilvl w:val="1"/>
          <w:numId w:val="287"/>
        </w:numPr>
        <w:rPr>
          <w:color w:val="auto"/>
        </w:rPr>
      </w:pPr>
      <w:r>
        <w:rPr>
          <w:rFonts w:hint="eastAsia"/>
          <w:color w:val="auto"/>
        </w:rPr>
        <w:t>更换受检BOM的一卡通ISAM卡，执行一卡通ISAM卡更换操作；</w:t>
      </w:r>
    </w:p>
    <w:p>
      <w:pPr>
        <w:pStyle w:val="113"/>
        <w:rPr>
          <w:color w:val="auto"/>
        </w:rPr>
      </w:pPr>
      <w:r>
        <w:rPr>
          <w:rFonts w:hint="eastAsia"/>
          <w:color w:val="auto"/>
        </w:rPr>
        <w:t>通过仿真一卡通ISAM卡认证系统的记录检测受检BOM更换应正确。</w:t>
      </w:r>
    </w:p>
    <w:p>
      <w:pPr>
        <w:pStyle w:val="98"/>
        <w:spacing w:before="156" w:after="156"/>
        <w:rPr>
          <w:color w:val="auto"/>
        </w:rPr>
      </w:pPr>
      <w:bookmarkStart w:id="430" w:name="_Toc332829425"/>
      <w:bookmarkEnd w:id="430"/>
      <w:bookmarkStart w:id="431" w:name="_Toc332391530"/>
      <w:r>
        <w:rPr>
          <w:rFonts w:hint="eastAsia"/>
          <w:color w:val="auto"/>
        </w:rPr>
        <w:t>远程监视检测</w:t>
      </w:r>
    </w:p>
    <w:p>
      <w:pPr>
        <w:pStyle w:val="60"/>
        <w:ind w:firstLine="420"/>
        <w:rPr>
          <w:color w:val="auto"/>
        </w:rPr>
      </w:pPr>
      <w:r>
        <w:rPr>
          <w:rFonts w:hint="eastAsia"/>
          <w:color w:val="auto"/>
        </w:rPr>
        <w:t>远程监视</w:t>
      </w:r>
      <w:bookmarkEnd w:id="431"/>
      <w:r>
        <w:rPr>
          <w:rFonts w:hint="eastAsia"/>
          <w:color w:val="auto"/>
        </w:rPr>
        <w:t>检测要求如下：</w:t>
      </w:r>
    </w:p>
    <w:p>
      <w:pPr>
        <w:pStyle w:val="178"/>
        <w:numPr>
          <w:ilvl w:val="0"/>
          <w:numId w:val="288"/>
        </w:numPr>
        <w:rPr>
          <w:color w:val="auto"/>
        </w:rPr>
      </w:pPr>
      <w:r>
        <w:rPr>
          <w:rFonts w:hint="eastAsia"/>
          <w:color w:val="auto"/>
        </w:rPr>
        <w:t>检测内容应依据DB11/T 1164.1中BOM远程监视功能的要求逐项检测；</w:t>
      </w:r>
    </w:p>
    <w:p>
      <w:pPr>
        <w:pStyle w:val="178"/>
        <w:rPr>
          <w:color w:val="auto"/>
        </w:rPr>
      </w:pPr>
      <w:r>
        <w:rPr>
          <w:rFonts w:hint="eastAsia"/>
          <w:color w:val="auto"/>
        </w:rPr>
        <w:t>检测方法应改变受检BOM的状态，或使受检BOM出现故障，通过仿真中心系统的记录检查受检BOM的状态应即时上传。</w:t>
      </w:r>
    </w:p>
    <w:p>
      <w:pPr>
        <w:pStyle w:val="98"/>
        <w:spacing w:before="156" w:after="156"/>
        <w:rPr>
          <w:color w:val="auto"/>
        </w:rPr>
      </w:pPr>
      <w:bookmarkStart w:id="432" w:name="_Toc332829426"/>
      <w:bookmarkEnd w:id="432"/>
      <w:bookmarkStart w:id="433" w:name="_Toc332391531"/>
      <w:r>
        <w:rPr>
          <w:rFonts w:hint="eastAsia"/>
          <w:color w:val="auto"/>
        </w:rPr>
        <w:t>远程控制检测</w:t>
      </w:r>
    </w:p>
    <w:p>
      <w:pPr>
        <w:pStyle w:val="60"/>
        <w:ind w:firstLine="420"/>
        <w:rPr>
          <w:color w:val="auto"/>
        </w:rPr>
      </w:pPr>
      <w:r>
        <w:rPr>
          <w:rFonts w:hint="eastAsia"/>
          <w:color w:val="auto"/>
        </w:rPr>
        <w:t>远程控制</w:t>
      </w:r>
      <w:bookmarkEnd w:id="433"/>
      <w:r>
        <w:rPr>
          <w:rFonts w:hint="eastAsia"/>
          <w:color w:val="auto"/>
        </w:rPr>
        <w:t>检测要求如下：</w:t>
      </w:r>
    </w:p>
    <w:p>
      <w:pPr>
        <w:pStyle w:val="178"/>
        <w:numPr>
          <w:ilvl w:val="0"/>
          <w:numId w:val="289"/>
        </w:numPr>
        <w:rPr>
          <w:color w:val="auto"/>
        </w:rPr>
      </w:pPr>
      <w:r>
        <w:rPr>
          <w:rFonts w:hint="eastAsia"/>
          <w:color w:val="auto"/>
        </w:rPr>
        <w:t>检测内容应依据DB11/T 1164.1中BOM 远程控制功能的要求逐项检测；</w:t>
      </w:r>
    </w:p>
    <w:p>
      <w:pPr>
        <w:pStyle w:val="178"/>
        <w:rPr>
          <w:color w:val="auto"/>
        </w:rPr>
      </w:pPr>
      <w:r>
        <w:rPr>
          <w:rFonts w:hint="eastAsia"/>
          <w:color w:val="auto"/>
        </w:rPr>
        <w:t>检测方法应使用仿真中心系统向受检BOM发送控制指令。通过仿真中心系统的记录检测受检BOM应正确执行该命令，并上传执行结果。中心系统发送的控制命令</w:t>
      </w:r>
      <w:r>
        <w:rPr>
          <w:rFonts w:hint="eastAsia"/>
          <w:color w:val="auto"/>
          <w:lang w:eastAsia="zh-CN"/>
        </w:rPr>
        <w:t>应符合</w:t>
      </w:r>
      <w:r>
        <w:rPr>
          <w:rFonts w:hint="eastAsia"/>
          <w:color w:val="auto"/>
        </w:rPr>
        <w:t>表 17。</w:t>
      </w:r>
    </w:p>
    <w:p>
      <w:pPr>
        <w:pStyle w:val="116"/>
        <w:spacing w:before="156" w:after="156"/>
        <w:rPr>
          <w:color w:val="auto"/>
        </w:rPr>
      </w:pPr>
      <w:bookmarkStart w:id="434" w:name="_Toc449538976"/>
      <w:bookmarkEnd w:id="434"/>
      <w:bookmarkStart w:id="435" w:name="_Ref49766629"/>
      <w:bookmarkEnd w:id="435"/>
      <w:r>
        <w:rPr>
          <w:rFonts w:hint="eastAsia"/>
          <w:color w:val="auto"/>
        </w:rPr>
        <w:t>控制命令表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3"/>
        <w:gridCol w:w="77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7708"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7708"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运营模式控制命令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2</w:t>
            </w:r>
          </w:p>
        </w:tc>
        <w:tc>
          <w:tcPr>
            <w:tcW w:w="7708" w:type="dxa"/>
            <w:shd w:val="clear" w:color="auto" w:fill="auto"/>
            <w:vAlign w:val="center"/>
          </w:tcPr>
          <w:p>
            <w:pPr>
              <w:pStyle w:val="60"/>
              <w:ind w:firstLine="360"/>
              <w:rPr>
                <w:color w:val="auto"/>
                <w:sz w:val="18"/>
              </w:rPr>
            </w:pPr>
            <w:r>
              <w:rPr>
                <w:rFonts w:hint="eastAsia"/>
                <w:color w:val="auto"/>
                <w:sz w:val="18"/>
              </w:rPr>
              <w:t>24小时运营控制命令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3</w:t>
            </w:r>
          </w:p>
        </w:tc>
        <w:tc>
          <w:tcPr>
            <w:tcW w:w="7708" w:type="dxa"/>
            <w:shd w:val="clear" w:color="auto" w:fill="auto"/>
            <w:vAlign w:val="center"/>
          </w:tcPr>
          <w:p>
            <w:pPr>
              <w:pStyle w:val="60"/>
              <w:ind w:firstLine="360"/>
              <w:rPr>
                <w:color w:val="auto"/>
                <w:sz w:val="18"/>
              </w:rPr>
            </w:pPr>
            <w:r>
              <w:rPr>
                <w:rFonts w:hint="eastAsia"/>
                <w:color w:val="auto"/>
                <w:sz w:val="18"/>
              </w:rPr>
              <w:t>延长运营控制命令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4</w:t>
            </w:r>
          </w:p>
        </w:tc>
        <w:tc>
          <w:tcPr>
            <w:tcW w:w="7708" w:type="dxa"/>
            <w:shd w:val="clear" w:color="auto" w:fill="auto"/>
            <w:vAlign w:val="center"/>
          </w:tcPr>
          <w:p>
            <w:pPr>
              <w:pStyle w:val="60"/>
              <w:ind w:firstLine="360"/>
              <w:rPr>
                <w:color w:val="auto"/>
                <w:sz w:val="18"/>
              </w:rPr>
            </w:pPr>
            <w:r>
              <w:rPr>
                <w:rFonts w:hint="eastAsia"/>
                <w:color w:val="auto"/>
                <w:sz w:val="18"/>
              </w:rPr>
              <w:t>强制登出控制命令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5</w:t>
            </w:r>
          </w:p>
        </w:tc>
        <w:tc>
          <w:tcPr>
            <w:tcW w:w="7708" w:type="dxa"/>
            <w:shd w:val="clear" w:color="auto" w:fill="auto"/>
            <w:vAlign w:val="center"/>
          </w:tcPr>
          <w:p>
            <w:pPr>
              <w:pStyle w:val="60"/>
              <w:ind w:firstLine="360"/>
              <w:rPr>
                <w:color w:val="auto"/>
                <w:sz w:val="18"/>
              </w:rPr>
            </w:pPr>
            <w:r>
              <w:rPr>
                <w:rFonts w:hint="eastAsia"/>
                <w:color w:val="auto"/>
                <w:sz w:val="18"/>
              </w:rPr>
              <w:t>强制时钟同步控制命令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6</w:t>
            </w:r>
          </w:p>
        </w:tc>
        <w:tc>
          <w:tcPr>
            <w:tcW w:w="7708" w:type="dxa"/>
            <w:shd w:val="clear" w:color="auto" w:fill="auto"/>
            <w:vAlign w:val="center"/>
          </w:tcPr>
          <w:p>
            <w:pPr>
              <w:pStyle w:val="60"/>
              <w:ind w:firstLine="360"/>
              <w:rPr>
                <w:color w:val="auto"/>
                <w:sz w:val="18"/>
              </w:rPr>
            </w:pPr>
            <w:r>
              <w:rPr>
                <w:rFonts w:hint="eastAsia"/>
                <w:color w:val="auto"/>
                <w:sz w:val="18"/>
              </w:rPr>
              <w:t>参数更新控制命令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6" w:type="dxa"/>
            <w:shd w:val="clear" w:color="auto" w:fill="auto"/>
            <w:vAlign w:val="center"/>
          </w:tcPr>
          <w:p>
            <w:pPr>
              <w:pStyle w:val="60"/>
              <w:ind w:firstLine="360"/>
              <w:rPr>
                <w:color w:val="auto"/>
                <w:sz w:val="18"/>
              </w:rPr>
            </w:pPr>
            <w:r>
              <w:rPr>
                <w:rFonts w:hint="eastAsia"/>
                <w:color w:val="auto"/>
                <w:sz w:val="18"/>
              </w:rPr>
              <w:t>7</w:t>
            </w:r>
          </w:p>
        </w:tc>
        <w:tc>
          <w:tcPr>
            <w:tcW w:w="7708" w:type="dxa"/>
            <w:shd w:val="clear" w:color="auto" w:fill="auto"/>
            <w:vAlign w:val="center"/>
          </w:tcPr>
          <w:p>
            <w:pPr>
              <w:pStyle w:val="60"/>
              <w:ind w:firstLine="360"/>
              <w:rPr>
                <w:color w:val="auto"/>
                <w:sz w:val="18"/>
              </w:rPr>
            </w:pPr>
            <w:r>
              <w:rPr>
                <w:rFonts w:hint="eastAsia"/>
                <w:color w:val="auto"/>
                <w:sz w:val="18"/>
              </w:rPr>
              <w:t>软件更新控制命令</w:t>
            </w:r>
          </w:p>
        </w:tc>
      </w:tr>
    </w:tbl>
    <w:p>
      <w:pPr>
        <w:pStyle w:val="98"/>
        <w:spacing w:before="156" w:after="156"/>
        <w:rPr>
          <w:color w:val="auto"/>
        </w:rPr>
      </w:pPr>
      <w:r>
        <w:rPr>
          <w:rFonts w:hint="eastAsia"/>
          <w:color w:val="auto"/>
        </w:rPr>
        <w:t>互联网支付检测</w:t>
      </w:r>
    </w:p>
    <w:p>
      <w:pPr>
        <w:pStyle w:val="60"/>
        <w:ind w:firstLine="420"/>
        <w:rPr>
          <w:color w:val="auto"/>
        </w:rPr>
      </w:pPr>
      <w:r>
        <w:rPr>
          <w:rFonts w:hint="eastAsia"/>
          <w:color w:val="auto"/>
        </w:rPr>
        <w:t>互联网支付检测要求如下：</w:t>
      </w:r>
    </w:p>
    <w:p>
      <w:pPr>
        <w:pStyle w:val="178"/>
        <w:numPr>
          <w:ilvl w:val="0"/>
          <w:numId w:val="290"/>
        </w:numPr>
        <w:rPr>
          <w:color w:val="auto"/>
        </w:rPr>
      </w:pPr>
      <w:r>
        <w:rPr>
          <w:rFonts w:hint="eastAsia"/>
          <w:color w:val="auto"/>
        </w:rPr>
        <w:t>检测内容应依据DB11/T 1164.1中 中心系统非现金支付功能的要求逐项检测；</w:t>
      </w:r>
    </w:p>
    <w:p>
      <w:pPr>
        <w:pStyle w:val="178"/>
        <w:rPr>
          <w:color w:val="auto"/>
        </w:rPr>
      </w:pPr>
      <w:r>
        <w:rPr>
          <w:rFonts w:hint="eastAsia"/>
          <w:color w:val="auto"/>
        </w:rPr>
        <w:t>检测方法应使用受检终端设备进行非现金支付业务处理，所生成的交易数据上传至实验室环境测试中心系统。通过中心系统的记录检测受检终端设备交易正确。</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设备参数同步时间检测</w:t>
      </w:r>
    </w:p>
    <w:p>
      <w:pPr>
        <w:pStyle w:val="60"/>
        <w:ind w:firstLine="420"/>
        <w:rPr>
          <w:color w:val="auto"/>
        </w:rPr>
      </w:pPr>
      <w:r>
        <w:rPr>
          <w:rFonts w:hint="eastAsia"/>
          <w:color w:val="auto"/>
        </w:rPr>
        <w:t>设备参数同步时间检测要求如下：</w:t>
      </w:r>
    </w:p>
    <w:p>
      <w:pPr>
        <w:pStyle w:val="178"/>
        <w:numPr>
          <w:ilvl w:val="0"/>
          <w:numId w:val="291"/>
        </w:numPr>
        <w:rPr>
          <w:color w:val="auto"/>
        </w:rPr>
      </w:pPr>
      <w:r>
        <w:rPr>
          <w:rFonts w:hint="eastAsia"/>
          <w:color w:val="auto"/>
        </w:rPr>
        <w:t>检测内容为受检BOM成功完成参数同步的时间；</w:t>
      </w:r>
    </w:p>
    <w:p>
      <w:pPr>
        <w:pStyle w:val="178"/>
        <w:rPr>
          <w:color w:val="auto"/>
        </w:rPr>
      </w:pPr>
      <w:r>
        <w:rPr>
          <w:rFonts w:hint="eastAsia"/>
          <w:color w:val="auto"/>
        </w:rPr>
        <w:t>检测方法应使用仿真中心系统向受检BOM下发参数。通过仿真中心系统的记录检测受检BOM完成参数同步的时间。</w:t>
      </w:r>
    </w:p>
    <w:p>
      <w:pPr>
        <w:pStyle w:val="98"/>
        <w:spacing w:before="156" w:after="156"/>
        <w:rPr>
          <w:color w:val="auto"/>
        </w:rPr>
      </w:pPr>
      <w:r>
        <w:rPr>
          <w:rFonts w:hint="eastAsia"/>
          <w:color w:val="auto"/>
        </w:rPr>
        <w:t>设备执行控制指令时间检测</w:t>
      </w:r>
    </w:p>
    <w:p>
      <w:pPr>
        <w:pStyle w:val="60"/>
        <w:ind w:firstLine="420"/>
        <w:rPr>
          <w:color w:val="auto"/>
        </w:rPr>
      </w:pPr>
      <w:r>
        <w:rPr>
          <w:rFonts w:hint="eastAsia"/>
          <w:color w:val="auto"/>
        </w:rPr>
        <w:t>设备执行控制指令时间检测要求如下：</w:t>
      </w:r>
    </w:p>
    <w:p>
      <w:pPr>
        <w:pStyle w:val="178"/>
        <w:numPr>
          <w:ilvl w:val="0"/>
          <w:numId w:val="292"/>
        </w:numPr>
        <w:rPr>
          <w:color w:val="auto"/>
        </w:rPr>
      </w:pPr>
      <w:r>
        <w:rPr>
          <w:rFonts w:hint="eastAsia"/>
          <w:color w:val="auto"/>
        </w:rPr>
        <w:t>检测内容为中心系统下发控制指令开始到受检BOM成功执行控制指令的时间间隔；</w:t>
      </w:r>
    </w:p>
    <w:p>
      <w:pPr>
        <w:pStyle w:val="178"/>
        <w:rPr>
          <w:color w:val="auto"/>
        </w:rPr>
      </w:pPr>
      <w:r>
        <w:rPr>
          <w:rFonts w:hint="eastAsia"/>
          <w:color w:val="auto"/>
        </w:rPr>
        <w:t>检测方法应使用仿真中心系统向受检BOM发送控制命令。通过仿真中心系统的记录检测受检BOM接收到控制命令并将执行结果上传至仿真中心系统的时间间隔。</w:t>
      </w:r>
    </w:p>
    <w:p>
      <w:pPr>
        <w:pStyle w:val="98"/>
        <w:spacing w:before="156" w:after="156"/>
        <w:rPr>
          <w:color w:val="auto"/>
        </w:rPr>
      </w:pPr>
      <w:r>
        <w:rPr>
          <w:rFonts w:hint="eastAsia"/>
          <w:color w:val="auto"/>
        </w:rPr>
        <w:t>自动出票时间检测</w:t>
      </w:r>
    </w:p>
    <w:p>
      <w:pPr>
        <w:pStyle w:val="60"/>
        <w:ind w:firstLine="420"/>
        <w:rPr>
          <w:color w:val="auto"/>
        </w:rPr>
      </w:pPr>
      <w:r>
        <w:rPr>
          <w:rFonts w:hint="eastAsia"/>
          <w:color w:val="auto"/>
        </w:rPr>
        <w:t>自动出票时间检测要求如下：</w:t>
      </w:r>
    </w:p>
    <w:p>
      <w:pPr>
        <w:pStyle w:val="178"/>
        <w:numPr>
          <w:ilvl w:val="0"/>
          <w:numId w:val="293"/>
        </w:numPr>
        <w:rPr>
          <w:color w:val="auto"/>
        </w:rPr>
      </w:pPr>
      <w:r>
        <w:rPr>
          <w:rFonts w:hint="eastAsia"/>
          <w:color w:val="auto"/>
        </w:rPr>
        <w:t>检测内容为受检设备应符合DB11/T 1164.7半自动售票机的自动出票时间要求；</w:t>
      </w:r>
    </w:p>
    <w:p>
      <w:pPr>
        <w:pStyle w:val="178"/>
        <w:rPr>
          <w:color w:val="auto"/>
        </w:rPr>
      </w:pPr>
      <w:r>
        <w:rPr>
          <w:rFonts w:hint="eastAsia"/>
          <w:color w:val="auto"/>
        </w:rPr>
        <w:t>检测方法应在受检设备上发售车票，记录确认售票开始到车票从出票口发出为止的间隔时间。共测试5次，取平均值。</w:t>
      </w:r>
    </w:p>
    <w:p>
      <w:pPr>
        <w:pStyle w:val="109"/>
        <w:spacing w:before="156" w:after="156"/>
        <w:rPr>
          <w:color w:val="auto"/>
        </w:rPr>
      </w:pPr>
      <w:bookmarkStart w:id="436" w:name="_Toc58340980"/>
      <w:bookmarkEnd w:id="436"/>
      <w:bookmarkStart w:id="437" w:name="_Toc331436426"/>
      <w:bookmarkEnd w:id="437"/>
      <w:bookmarkStart w:id="438" w:name="_Toc330802426"/>
      <w:bookmarkEnd w:id="438"/>
      <w:bookmarkStart w:id="439" w:name="_Toc322562843"/>
      <w:bookmarkEnd w:id="439"/>
      <w:bookmarkStart w:id="440" w:name="_Toc332391536"/>
      <w:bookmarkEnd w:id="440"/>
      <w:bookmarkStart w:id="441" w:name="_Toc332829431"/>
      <w:bookmarkStart w:id="442" w:name="_Toc16332"/>
      <w:r>
        <w:rPr>
          <w:rFonts w:hint="eastAsia"/>
          <w:color w:val="auto"/>
        </w:rPr>
        <w:t>自动检票机</w:t>
      </w:r>
      <w:bookmarkEnd w:id="441"/>
      <w:r>
        <w:rPr>
          <w:rFonts w:hint="eastAsia"/>
          <w:color w:val="auto"/>
        </w:rPr>
        <w:t>检测</w:t>
      </w:r>
      <w:bookmarkEnd w:id="442"/>
    </w:p>
    <w:p>
      <w:pPr>
        <w:pStyle w:val="69"/>
        <w:spacing w:before="156" w:after="156"/>
        <w:rPr>
          <w:color w:val="auto"/>
        </w:rPr>
      </w:pPr>
      <w:bookmarkStart w:id="443" w:name="_Toc332391537"/>
      <w:bookmarkEnd w:id="443"/>
      <w:bookmarkStart w:id="444" w:name="_Toc332829432"/>
      <w:r>
        <w:rPr>
          <w:rFonts w:hint="eastAsia"/>
          <w:color w:val="auto"/>
        </w:rPr>
        <w:t>外观与结构检测</w:t>
      </w:r>
      <w:bookmarkEnd w:id="444"/>
    </w:p>
    <w:p>
      <w:pPr>
        <w:pStyle w:val="60"/>
        <w:ind w:firstLine="420"/>
        <w:rPr>
          <w:color w:val="auto"/>
        </w:rPr>
      </w:pPr>
      <w:r>
        <w:rPr>
          <w:rFonts w:hint="eastAsia"/>
          <w:color w:val="auto"/>
        </w:rPr>
        <w:t>外观与结构检测要求如下：</w:t>
      </w:r>
    </w:p>
    <w:p>
      <w:pPr>
        <w:pStyle w:val="178"/>
        <w:numPr>
          <w:ilvl w:val="0"/>
          <w:numId w:val="294"/>
        </w:numPr>
        <w:rPr>
          <w:color w:val="auto"/>
        </w:rPr>
      </w:pPr>
      <w:r>
        <w:rPr>
          <w:rFonts w:hint="eastAsia"/>
          <w:color w:val="auto"/>
        </w:rPr>
        <w:t>检测内容应依据DB11/T 1164.7自动检票机的外观与结构要求逐项检测；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bookmarkStart w:id="445" w:name="_Toc322562845"/>
      <w:bookmarkEnd w:id="445"/>
      <w:bookmarkStart w:id="446" w:name="_Toc332829433"/>
      <w:bookmarkEnd w:id="446"/>
      <w:bookmarkStart w:id="447" w:name="_Toc331436428"/>
      <w:bookmarkEnd w:id="447"/>
      <w:bookmarkStart w:id="448" w:name="_Toc330802428"/>
      <w:bookmarkEnd w:id="448"/>
      <w:bookmarkStart w:id="449" w:name="_Toc332391538"/>
      <w:r>
        <w:rPr>
          <w:rFonts w:hint="eastAsia"/>
          <w:color w:val="auto"/>
        </w:rPr>
        <w:t>装配检测</w:t>
      </w:r>
      <w:bookmarkEnd w:id="449"/>
    </w:p>
    <w:p>
      <w:pPr>
        <w:pStyle w:val="60"/>
        <w:ind w:firstLine="420"/>
        <w:rPr>
          <w:color w:val="auto"/>
        </w:rPr>
      </w:pPr>
      <w:r>
        <w:rPr>
          <w:rFonts w:hint="eastAsia"/>
          <w:color w:val="auto"/>
        </w:rPr>
        <w:t>装配检测要求如下：</w:t>
      </w:r>
    </w:p>
    <w:p>
      <w:pPr>
        <w:pStyle w:val="178"/>
        <w:numPr>
          <w:ilvl w:val="0"/>
          <w:numId w:val="295"/>
        </w:numPr>
        <w:rPr>
          <w:color w:val="auto"/>
        </w:rPr>
      </w:pPr>
      <w:r>
        <w:rPr>
          <w:rFonts w:hint="eastAsia"/>
          <w:color w:val="auto"/>
        </w:rPr>
        <w:t>检测内容应依据DB11/T 1164.7自动检票机的装配要求逐项检测；</w:t>
      </w:r>
    </w:p>
    <w:p>
      <w:pPr>
        <w:pStyle w:val="178"/>
        <w:rPr>
          <w:color w:val="auto"/>
        </w:rPr>
      </w:pPr>
      <w:r>
        <w:rPr>
          <w:rFonts w:hint="eastAsia"/>
          <w:color w:val="auto"/>
        </w:rPr>
        <w:t>检测方法应使用目测的方法进行检测。</w:t>
      </w:r>
    </w:p>
    <w:p>
      <w:pPr>
        <w:pStyle w:val="69"/>
        <w:spacing w:before="156" w:after="156"/>
        <w:rPr>
          <w:color w:val="auto"/>
        </w:rPr>
      </w:pPr>
      <w:bookmarkStart w:id="450" w:name="_Toc330802429"/>
      <w:bookmarkEnd w:id="450"/>
      <w:bookmarkStart w:id="451" w:name="_Toc322562846"/>
      <w:bookmarkEnd w:id="451"/>
      <w:bookmarkStart w:id="452" w:name="_Toc332391539"/>
      <w:bookmarkEnd w:id="452"/>
      <w:bookmarkStart w:id="453" w:name="_Toc331436429"/>
      <w:bookmarkEnd w:id="453"/>
      <w:bookmarkStart w:id="454" w:name="_Toc332829434"/>
      <w:r>
        <w:rPr>
          <w:rFonts w:hint="eastAsia"/>
          <w:color w:val="auto"/>
        </w:rPr>
        <w:t>配置检测</w:t>
      </w:r>
      <w:bookmarkEnd w:id="454"/>
    </w:p>
    <w:p>
      <w:pPr>
        <w:pStyle w:val="98"/>
        <w:spacing w:before="156" w:after="156"/>
        <w:rPr>
          <w:color w:val="auto"/>
        </w:rPr>
      </w:pPr>
      <w:bookmarkStart w:id="455" w:name="_Toc332391540"/>
      <w:bookmarkEnd w:id="455"/>
      <w:bookmarkStart w:id="456" w:name="_Toc330802430"/>
      <w:bookmarkEnd w:id="456"/>
      <w:bookmarkStart w:id="457" w:name="_Toc332829435"/>
      <w:bookmarkEnd w:id="457"/>
      <w:bookmarkStart w:id="458" w:name="_Toc331436430"/>
      <w:r>
        <w:rPr>
          <w:rFonts w:hint="eastAsia"/>
          <w:color w:val="auto"/>
        </w:rPr>
        <w:t>硬件配置检测</w:t>
      </w:r>
    </w:p>
    <w:p>
      <w:pPr>
        <w:pStyle w:val="60"/>
        <w:ind w:firstLine="420"/>
        <w:rPr>
          <w:color w:val="auto"/>
        </w:rPr>
      </w:pPr>
      <w:r>
        <w:rPr>
          <w:rFonts w:hint="eastAsia"/>
          <w:color w:val="auto"/>
        </w:rPr>
        <w:t>硬件配置检测</w:t>
      </w:r>
      <w:bookmarkEnd w:id="458"/>
      <w:r>
        <w:rPr>
          <w:rFonts w:hint="eastAsia"/>
          <w:color w:val="auto"/>
        </w:rPr>
        <w:t>要求如下：</w:t>
      </w:r>
    </w:p>
    <w:p>
      <w:pPr>
        <w:pStyle w:val="178"/>
        <w:numPr>
          <w:ilvl w:val="0"/>
          <w:numId w:val="296"/>
        </w:numPr>
        <w:rPr>
          <w:color w:val="auto"/>
        </w:rPr>
      </w:pPr>
      <w:r>
        <w:rPr>
          <w:rFonts w:hint="eastAsia"/>
          <w:color w:val="auto"/>
        </w:rPr>
        <w:t>检测内容应依据DB11/T 1164.7自动检票机的硬件配置要求逐项检测；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459" w:name="_Toc332829436"/>
      <w:bookmarkEnd w:id="459"/>
      <w:bookmarkStart w:id="460" w:name="_Toc331436431"/>
      <w:bookmarkEnd w:id="460"/>
      <w:bookmarkStart w:id="461" w:name="_Toc332391541"/>
      <w:bookmarkEnd w:id="461"/>
      <w:bookmarkStart w:id="462" w:name="_Toc330802431"/>
      <w:r>
        <w:rPr>
          <w:rFonts w:hint="eastAsia"/>
          <w:color w:val="auto"/>
        </w:rPr>
        <w:t>软件配置检测</w:t>
      </w:r>
    </w:p>
    <w:p>
      <w:pPr>
        <w:pStyle w:val="60"/>
        <w:ind w:firstLine="420"/>
        <w:rPr>
          <w:color w:val="auto"/>
        </w:rPr>
      </w:pPr>
      <w:r>
        <w:rPr>
          <w:rFonts w:hint="eastAsia"/>
          <w:color w:val="auto"/>
        </w:rPr>
        <w:t>软件配置检测</w:t>
      </w:r>
      <w:bookmarkEnd w:id="462"/>
      <w:r>
        <w:rPr>
          <w:rFonts w:hint="eastAsia"/>
          <w:color w:val="auto"/>
        </w:rPr>
        <w:t>要求如下：</w:t>
      </w:r>
    </w:p>
    <w:p>
      <w:pPr>
        <w:pStyle w:val="178"/>
        <w:numPr>
          <w:ilvl w:val="0"/>
          <w:numId w:val="297"/>
        </w:numPr>
        <w:rPr>
          <w:color w:val="auto"/>
        </w:rPr>
      </w:pPr>
      <w:r>
        <w:rPr>
          <w:rFonts w:hint="eastAsia"/>
          <w:color w:val="auto"/>
        </w:rPr>
        <w:t>检测内容应依据DB11/T 1164.7自动检票机的软件配置要求逐项检测；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bookmarkStart w:id="463" w:name="_Toc330802432"/>
      <w:bookmarkEnd w:id="463"/>
      <w:bookmarkStart w:id="464" w:name="_Toc332391542"/>
      <w:bookmarkEnd w:id="464"/>
      <w:bookmarkStart w:id="465" w:name="_Toc332829437"/>
      <w:bookmarkEnd w:id="465"/>
      <w:bookmarkStart w:id="466" w:name="_Toc331436432"/>
      <w:r>
        <w:rPr>
          <w:rFonts w:hint="eastAsia"/>
          <w:color w:val="auto"/>
        </w:rPr>
        <w:t>接口检测</w:t>
      </w:r>
    </w:p>
    <w:p>
      <w:pPr>
        <w:pStyle w:val="60"/>
        <w:ind w:firstLine="420"/>
        <w:rPr>
          <w:color w:val="auto"/>
        </w:rPr>
      </w:pPr>
      <w:r>
        <w:rPr>
          <w:rFonts w:hint="eastAsia"/>
          <w:color w:val="auto"/>
        </w:rPr>
        <w:t>接口检测</w:t>
      </w:r>
      <w:bookmarkEnd w:id="466"/>
      <w:r>
        <w:rPr>
          <w:rFonts w:hint="eastAsia"/>
          <w:color w:val="auto"/>
        </w:rPr>
        <w:t>要求如下：</w:t>
      </w:r>
    </w:p>
    <w:p>
      <w:pPr>
        <w:pStyle w:val="178"/>
        <w:numPr>
          <w:ilvl w:val="0"/>
          <w:numId w:val="298"/>
        </w:numPr>
        <w:rPr>
          <w:color w:val="auto"/>
        </w:rPr>
      </w:pPr>
      <w:r>
        <w:rPr>
          <w:rFonts w:hint="eastAsia"/>
          <w:color w:val="auto"/>
        </w:rPr>
        <w:t>检测内容应依据DB11/T 1164.7自动检票机的接口要求逐项检测；</w:t>
      </w:r>
    </w:p>
    <w:p>
      <w:pPr>
        <w:pStyle w:val="178"/>
        <w:rPr>
          <w:color w:val="auto"/>
        </w:rPr>
      </w:pPr>
      <w:r>
        <w:rPr>
          <w:rFonts w:hint="eastAsia"/>
          <w:color w:val="auto"/>
        </w:rPr>
        <w:t>检测方法应使用仿真系统/仿真工具模拟中心系统/专用模块进行检测。</w:t>
      </w:r>
    </w:p>
    <w:p>
      <w:pPr>
        <w:pStyle w:val="69"/>
        <w:spacing w:before="156" w:after="156"/>
        <w:rPr>
          <w:color w:val="auto"/>
        </w:rPr>
      </w:pPr>
      <w:bookmarkStart w:id="467" w:name="_Toc322562847"/>
      <w:bookmarkEnd w:id="467"/>
      <w:bookmarkStart w:id="468" w:name="_Toc330802433"/>
      <w:bookmarkEnd w:id="468"/>
      <w:bookmarkStart w:id="469" w:name="_Toc332829438"/>
      <w:bookmarkEnd w:id="469"/>
      <w:bookmarkStart w:id="470" w:name="_Toc332391543"/>
      <w:bookmarkEnd w:id="470"/>
      <w:bookmarkStart w:id="471" w:name="_Toc331436433"/>
      <w:r>
        <w:rPr>
          <w:rFonts w:hint="eastAsia"/>
          <w:color w:val="auto"/>
        </w:rPr>
        <w:t>功能检测</w:t>
      </w:r>
      <w:bookmarkEnd w:id="471"/>
    </w:p>
    <w:p>
      <w:pPr>
        <w:pStyle w:val="98"/>
        <w:spacing w:before="156" w:after="156"/>
        <w:rPr>
          <w:color w:val="auto"/>
        </w:rPr>
      </w:pPr>
      <w:bookmarkStart w:id="472" w:name="_Toc332391544"/>
      <w:bookmarkEnd w:id="472"/>
      <w:bookmarkStart w:id="473" w:name="_Toc332829439"/>
      <w:r>
        <w:rPr>
          <w:rFonts w:hint="eastAsia"/>
          <w:color w:val="auto"/>
        </w:rPr>
        <w:t>检票进站检测</w:t>
      </w:r>
    </w:p>
    <w:p>
      <w:pPr>
        <w:pStyle w:val="60"/>
        <w:ind w:firstLine="420"/>
        <w:rPr>
          <w:color w:val="auto"/>
        </w:rPr>
      </w:pPr>
      <w:r>
        <w:rPr>
          <w:rFonts w:hint="eastAsia"/>
          <w:color w:val="auto"/>
        </w:rPr>
        <w:t>检票进站</w:t>
      </w:r>
      <w:bookmarkEnd w:id="473"/>
      <w:r>
        <w:rPr>
          <w:rFonts w:hint="eastAsia"/>
          <w:color w:val="auto"/>
        </w:rPr>
        <w:t>检测要求如下：</w:t>
      </w:r>
    </w:p>
    <w:p>
      <w:pPr>
        <w:pStyle w:val="178"/>
        <w:numPr>
          <w:ilvl w:val="0"/>
          <w:numId w:val="299"/>
        </w:numPr>
        <w:rPr>
          <w:color w:val="auto"/>
        </w:rPr>
      </w:pPr>
      <w:r>
        <w:rPr>
          <w:rFonts w:hint="eastAsia"/>
          <w:color w:val="auto"/>
        </w:rPr>
        <w:t>检测内容应依据DB11/T 1164.1中AG业务处理中检票进站业务的要求逐项检测；</w:t>
      </w:r>
    </w:p>
    <w:p>
      <w:pPr>
        <w:pStyle w:val="178"/>
        <w:rPr>
          <w:color w:val="auto"/>
        </w:rPr>
      </w:pPr>
      <w:r>
        <w:rPr>
          <w:rFonts w:hint="eastAsia"/>
          <w:color w:val="auto"/>
        </w:rPr>
        <w:t>检测方法要求如下：</w:t>
      </w:r>
    </w:p>
    <w:p>
      <w:pPr>
        <w:pStyle w:val="113"/>
        <w:numPr>
          <w:ilvl w:val="1"/>
          <w:numId w:val="300"/>
        </w:numPr>
        <w:rPr>
          <w:color w:val="auto"/>
        </w:rPr>
      </w:pPr>
      <w:r>
        <w:rPr>
          <w:rFonts w:hint="eastAsia"/>
          <w:color w:val="auto"/>
        </w:rPr>
        <w:t>使用一票通发行的各种车票和一卡通发行的各种车票在受检进站AG上刷卡，检测受检进站AG能否正确处理且允许通行；</w:t>
      </w:r>
    </w:p>
    <w:p>
      <w:pPr>
        <w:pStyle w:val="113"/>
        <w:rPr>
          <w:color w:val="auto"/>
        </w:rPr>
      </w:pPr>
      <w:r>
        <w:rPr>
          <w:rFonts w:hint="eastAsia"/>
          <w:color w:val="auto"/>
        </w:rPr>
        <w:t>通过仿真中心系统的记录检测受检进站AG上传的交易数据应正确。</w:t>
      </w:r>
    </w:p>
    <w:p>
      <w:pPr>
        <w:pStyle w:val="98"/>
        <w:spacing w:before="156" w:after="156"/>
        <w:rPr>
          <w:color w:val="auto"/>
        </w:rPr>
      </w:pPr>
      <w:bookmarkStart w:id="474" w:name="_Toc332391545"/>
      <w:bookmarkEnd w:id="474"/>
      <w:bookmarkStart w:id="475" w:name="_Toc332829440"/>
      <w:r>
        <w:rPr>
          <w:rFonts w:hint="eastAsia"/>
          <w:color w:val="auto"/>
        </w:rPr>
        <w:t>检票出站检测</w:t>
      </w:r>
    </w:p>
    <w:p>
      <w:pPr>
        <w:pStyle w:val="60"/>
        <w:ind w:firstLine="420"/>
        <w:rPr>
          <w:color w:val="auto"/>
        </w:rPr>
      </w:pPr>
      <w:r>
        <w:rPr>
          <w:rFonts w:hint="eastAsia"/>
          <w:color w:val="auto"/>
        </w:rPr>
        <w:t>检票出站</w:t>
      </w:r>
      <w:bookmarkEnd w:id="475"/>
      <w:r>
        <w:rPr>
          <w:rFonts w:hint="eastAsia"/>
          <w:color w:val="auto"/>
        </w:rPr>
        <w:t>检测要求如下：</w:t>
      </w:r>
    </w:p>
    <w:p>
      <w:pPr>
        <w:pStyle w:val="178"/>
        <w:numPr>
          <w:ilvl w:val="0"/>
          <w:numId w:val="301"/>
        </w:numPr>
        <w:rPr>
          <w:color w:val="auto"/>
        </w:rPr>
      </w:pPr>
      <w:r>
        <w:rPr>
          <w:rFonts w:hint="eastAsia"/>
          <w:color w:val="auto"/>
        </w:rPr>
        <w:t>检测内容应依据DB11/T 1164.1中AG业务处理中检票出站业务的要求逐项检测；</w:t>
      </w:r>
    </w:p>
    <w:p>
      <w:pPr>
        <w:pStyle w:val="178"/>
        <w:rPr>
          <w:color w:val="auto"/>
        </w:rPr>
      </w:pPr>
      <w:r>
        <w:rPr>
          <w:rFonts w:hint="eastAsia"/>
          <w:color w:val="auto"/>
        </w:rPr>
        <w:t>检测方法要求如下：</w:t>
      </w:r>
    </w:p>
    <w:p>
      <w:pPr>
        <w:pStyle w:val="113"/>
        <w:numPr>
          <w:ilvl w:val="1"/>
          <w:numId w:val="302"/>
        </w:numPr>
        <w:rPr>
          <w:color w:val="auto"/>
        </w:rPr>
      </w:pPr>
      <w:r>
        <w:rPr>
          <w:rFonts w:hint="eastAsia"/>
          <w:color w:val="auto"/>
        </w:rPr>
        <w:t>使用一票通发行的各种车票和一卡通发行的各种车票在受检出站AG上刷卡，检测受检出站AG能否正确处理且允许通行；</w:t>
      </w:r>
    </w:p>
    <w:p>
      <w:pPr>
        <w:pStyle w:val="113"/>
        <w:rPr>
          <w:color w:val="auto"/>
        </w:rPr>
      </w:pPr>
      <w:r>
        <w:rPr>
          <w:rFonts w:hint="eastAsia"/>
          <w:color w:val="auto"/>
        </w:rPr>
        <w:t>通过仿真中心系统的记录检测受检出站AG上传的交易数据应正确。</w:t>
      </w:r>
    </w:p>
    <w:p>
      <w:pPr>
        <w:pStyle w:val="98"/>
        <w:spacing w:before="156" w:after="156"/>
        <w:rPr>
          <w:color w:val="auto"/>
        </w:rPr>
      </w:pPr>
      <w:bookmarkStart w:id="476" w:name="_Toc332829441"/>
      <w:bookmarkEnd w:id="476"/>
      <w:bookmarkStart w:id="477" w:name="_Toc332391546"/>
      <w:r>
        <w:rPr>
          <w:rFonts w:hint="eastAsia"/>
          <w:color w:val="auto"/>
        </w:rPr>
        <w:t>运营开始检测</w:t>
      </w:r>
    </w:p>
    <w:p>
      <w:pPr>
        <w:pStyle w:val="60"/>
        <w:ind w:firstLine="420"/>
        <w:rPr>
          <w:color w:val="auto"/>
        </w:rPr>
      </w:pPr>
      <w:r>
        <w:rPr>
          <w:rFonts w:hint="eastAsia"/>
          <w:color w:val="auto"/>
        </w:rPr>
        <w:t>运营开始</w:t>
      </w:r>
      <w:bookmarkEnd w:id="477"/>
      <w:r>
        <w:rPr>
          <w:rFonts w:hint="eastAsia"/>
          <w:color w:val="auto"/>
        </w:rPr>
        <w:t>检测要求如下：</w:t>
      </w:r>
    </w:p>
    <w:p>
      <w:pPr>
        <w:pStyle w:val="178"/>
        <w:numPr>
          <w:ilvl w:val="0"/>
          <w:numId w:val="303"/>
        </w:numPr>
        <w:rPr>
          <w:color w:val="auto"/>
        </w:rPr>
      </w:pPr>
      <w:r>
        <w:rPr>
          <w:rFonts w:hint="eastAsia"/>
          <w:color w:val="auto"/>
        </w:rPr>
        <w:t>检测内容应依据DB11/T 1164.1中AG运营开始功能的要求逐项检测；</w:t>
      </w:r>
    </w:p>
    <w:p>
      <w:pPr>
        <w:pStyle w:val="178"/>
        <w:rPr>
          <w:color w:val="auto"/>
        </w:rPr>
      </w:pPr>
      <w:r>
        <w:rPr>
          <w:rFonts w:hint="eastAsia"/>
          <w:color w:val="auto"/>
        </w:rPr>
        <w:t>检测方法要求如下：</w:t>
      </w:r>
    </w:p>
    <w:p>
      <w:pPr>
        <w:pStyle w:val="113"/>
        <w:numPr>
          <w:ilvl w:val="1"/>
          <w:numId w:val="304"/>
        </w:numPr>
        <w:rPr>
          <w:color w:val="auto"/>
        </w:rPr>
      </w:pPr>
      <w:r>
        <w:rPr>
          <w:rFonts w:hint="eastAsia"/>
          <w:color w:val="auto"/>
        </w:rPr>
        <w:t>使用仿真中心系统向受检AG发送运营开始指令，通过仿真系统的记录检测受检AG的处理应符合DB11/T 1164.1、DB11/T 1164.2和DB11/T 1164.3有关运营开始的规定；</w:t>
      </w:r>
    </w:p>
    <w:p>
      <w:pPr>
        <w:pStyle w:val="113"/>
        <w:rPr>
          <w:color w:val="auto"/>
        </w:rPr>
      </w:pPr>
      <w:r>
        <w:rPr>
          <w:rFonts w:hint="eastAsia"/>
          <w:color w:val="auto"/>
        </w:rPr>
        <w:t>在受检AG上手动设置运营开始指令，通过仿真系统的记录检测受检AG的处理应符合DB11/T 1164.1、DB11/T 1164.2和DB11/T 1164.3有关运营开始的规定。</w:t>
      </w:r>
    </w:p>
    <w:p>
      <w:pPr>
        <w:pStyle w:val="98"/>
        <w:spacing w:before="156" w:after="156"/>
        <w:rPr>
          <w:color w:val="auto"/>
        </w:rPr>
      </w:pPr>
      <w:bookmarkStart w:id="478" w:name="_Toc332829442"/>
      <w:bookmarkEnd w:id="478"/>
      <w:bookmarkStart w:id="479" w:name="_Toc332391547"/>
      <w:r>
        <w:rPr>
          <w:rFonts w:hint="eastAsia"/>
          <w:color w:val="auto"/>
        </w:rPr>
        <w:t>运营结束检测</w:t>
      </w:r>
    </w:p>
    <w:p>
      <w:pPr>
        <w:pStyle w:val="60"/>
        <w:ind w:firstLine="420"/>
        <w:rPr>
          <w:color w:val="auto"/>
        </w:rPr>
      </w:pPr>
      <w:r>
        <w:rPr>
          <w:rFonts w:hint="eastAsia"/>
          <w:color w:val="auto"/>
        </w:rPr>
        <w:t>运营结束</w:t>
      </w:r>
      <w:bookmarkEnd w:id="479"/>
      <w:r>
        <w:rPr>
          <w:rFonts w:hint="eastAsia"/>
          <w:color w:val="auto"/>
        </w:rPr>
        <w:t>检测要求如下：</w:t>
      </w:r>
    </w:p>
    <w:p>
      <w:pPr>
        <w:pStyle w:val="178"/>
        <w:numPr>
          <w:ilvl w:val="0"/>
          <w:numId w:val="305"/>
        </w:numPr>
        <w:rPr>
          <w:color w:val="auto"/>
        </w:rPr>
      </w:pPr>
      <w:r>
        <w:rPr>
          <w:rFonts w:hint="eastAsia"/>
          <w:color w:val="auto"/>
        </w:rPr>
        <w:t>检测内容应依据DB11/T 1164.1中AG运营结束功能的要求逐项检测；</w:t>
      </w:r>
    </w:p>
    <w:p>
      <w:pPr>
        <w:pStyle w:val="178"/>
        <w:rPr>
          <w:color w:val="auto"/>
        </w:rPr>
      </w:pPr>
      <w:r>
        <w:rPr>
          <w:rFonts w:hint="eastAsia"/>
          <w:color w:val="auto"/>
        </w:rPr>
        <w:t>检测方法要求如下：</w:t>
      </w:r>
    </w:p>
    <w:p>
      <w:pPr>
        <w:pStyle w:val="113"/>
        <w:numPr>
          <w:ilvl w:val="1"/>
          <w:numId w:val="306"/>
        </w:numPr>
        <w:rPr>
          <w:color w:val="auto"/>
        </w:rPr>
      </w:pPr>
      <w:r>
        <w:rPr>
          <w:rFonts w:hint="eastAsia"/>
          <w:color w:val="auto"/>
        </w:rPr>
        <w:t>使用仿真中心系统向受检AG发送运营结束指令，通过仿真系统的记录检测受检AG的处理应符合DB11/T 1164.1、DB11/T 1164.2和DB11/T 1164.3有关运营结束的规定；</w:t>
      </w:r>
    </w:p>
    <w:p>
      <w:pPr>
        <w:pStyle w:val="113"/>
        <w:rPr>
          <w:color w:val="auto"/>
        </w:rPr>
      </w:pPr>
      <w:r>
        <w:rPr>
          <w:rFonts w:hint="eastAsia"/>
          <w:color w:val="auto"/>
        </w:rPr>
        <w:t>在受检AG上手动设置运营开始指令，通过仿真系统的记录检测受检AG的处理应符合DB11/T 1164.1、DB11/T 1164.2和DB11/T 1164.3有关运营结束的规定。</w:t>
      </w:r>
    </w:p>
    <w:p>
      <w:pPr>
        <w:pStyle w:val="98"/>
        <w:spacing w:before="156" w:after="156"/>
        <w:rPr>
          <w:color w:val="auto"/>
        </w:rPr>
      </w:pPr>
      <w:bookmarkStart w:id="480" w:name="_Toc332391548"/>
      <w:bookmarkEnd w:id="480"/>
      <w:bookmarkStart w:id="481" w:name="_Toc332829443"/>
      <w:r>
        <w:rPr>
          <w:rFonts w:hint="eastAsia"/>
          <w:color w:val="auto"/>
        </w:rPr>
        <w:t>执行运行时间表检测</w:t>
      </w:r>
    </w:p>
    <w:p>
      <w:pPr>
        <w:pStyle w:val="60"/>
        <w:ind w:firstLine="420"/>
        <w:rPr>
          <w:color w:val="auto"/>
        </w:rPr>
      </w:pPr>
      <w:r>
        <w:rPr>
          <w:rFonts w:hint="eastAsia"/>
          <w:color w:val="auto"/>
        </w:rPr>
        <w:t>执行运行时间表</w:t>
      </w:r>
      <w:bookmarkEnd w:id="481"/>
      <w:r>
        <w:rPr>
          <w:rFonts w:hint="eastAsia"/>
          <w:color w:val="auto"/>
        </w:rPr>
        <w:t>检测要求如下：</w:t>
      </w:r>
    </w:p>
    <w:p>
      <w:pPr>
        <w:pStyle w:val="178"/>
        <w:numPr>
          <w:ilvl w:val="0"/>
          <w:numId w:val="307"/>
        </w:numPr>
        <w:rPr>
          <w:color w:val="auto"/>
        </w:rPr>
      </w:pPr>
      <w:r>
        <w:rPr>
          <w:rFonts w:hint="eastAsia"/>
          <w:color w:val="auto"/>
        </w:rPr>
        <w:t>检测内容应依据DB11/T 1164.1中AG执行运行时间表功能的要求逐项检测；</w:t>
      </w:r>
    </w:p>
    <w:p>
      <w:pPr>
        <w:pStyle w:val="178"/>
        <w:rPr>
          <w:color w:val="auto"/>
        </w:rPr>
      </w:pPr>
      <w:r>
        <w:rPr>
          <w:rFonts w:hint="eastAsia"/>
          <w:color w:val="auto"/>
        </w:rPr>
        <w:t>检测方法要求如下：</w:t>
      </w:r>
    </w:p>
    <w:p>
      <w:pPr>
        <w:pStyle w:val="113"/>
        <w:numPr>
          <w:ilvl w:val="1"/>
          <w:numId w:val="308"/>
        </w:numPr>
        <w:rPr>
          <w:color w:val="auto"/>
        </w:rPr>
      </w:pPr>
      <w:r>
        <w:rPr>
          <w:rFonts w:hint="eastAsia"/>
          <w:color w:val="auto"/>
        </w:rPr>
        <w:t>使用仿真中心系统向受检AG下发运行时间表参数，检测受检AG的处理应符合DB11/T 1164.1、DB11/T 1164.2和DB11/T 1164.3有关运行时间表的规定；</w:t>
      </w:r>
    </w:p>
    <w:p>
      <w:pPr>
        <w:pStyle w:val="113"/>
        <w:rPr>
          <w:color w:val="auto"/>
        </w:rPr>
      </w:pPr>
      <w:r>
        <w:rPr>
          <w:rFonts w:hint="eastAsia"/>
          <w:color w:val="auto"/>
        </w:rPr>
        <w:t>在受检AG上导入运行时间表，检测受检AG的处理应符合DB11/T 1164.1、DB11/T 1164.2和DB11/T 1164.3有关运行时间表的规定。</w:t>
      </w:r>
    </w:p>
    <w:p>
      <w:pPr>
        <w:pStyle w:val="98"/>
        <w:spacing w:before="156" w:after="156"/>
        <w:rPr>
          <w:color w:val="auto"/>
        </w:rPr>
      </w:pPr>
      <w:bookmarkStart w:id="482" w:name="_Toc332829444"/>
      <w:bookmarkEnd w:id="482"/>
      <w:bookmarkStart w:id="483" w:name="_Toc332391549"/>
      <w:r>
        <w:rPr>
          <w:rFonts w:hint="eastAsia"/>
          <w:color w:val="auto"/>
        </w:rPr>
        <w:t>时钟同步检测</w:t>
      </w:r>
    </w:p>
    <w:p>
      <w:pPr>
        <w:pStyle w:val="60"/>
        <w:ind w:firstLine="420"/>
        <w:rPr>
          <w:color w:val="auto"/>
        </w:rPr>
      </w:pPr>
      <w:r>
        <w:rPr>
          <w:rFonts w:hint="eastAsia"/>
          <w:color w:val="auto"/>
        </w:rPr>
        <w:t>时钟同步</w:t>
      </w:r>
      <w:bookmarkEnd w:id="483"/>
      <w:r>
        <w:rPr>
          <w:rFonts w:hint="eastAsia"/>
          <w:color w:val="auto"/>
        </w:rPr>
        <w:t>检测要求如下：</w:t>
      </w:r>
    </w:p>
    <w:p>
      <w:pPr>
        <w:pStyle w:val="178"/>
        <w:numPr>
          <w:ilvl w:val="0"/>
          <w:numId w:val="309"/>
        </w:numPr>
        <w:rPr>
          <w:color w:val="auto"/>
        </w:rPr>
      </w:pPr>
      <w:r>
        <w:rPr>
          <w:rFonts w:hint="eastAsia"/>
          <w:color w:val="auto"/>
        </w:rPr>
        <w:t>检测内容应依据DB11/T 1164.1中AG时钟同步功能的要求逐项检测；</w:t>
      </w:r>
    </w:p>
    <w:p>
      <w:pPr>
        <w:pStyle w:val="178"/>
        <w:rPr>
          <w:color w:val="auto"/>
        </w:rPr>
      </w:pPr>
      <w:r>
        <w:rPr>
          <w:rFonts w:hint="eastAsia"/>
          <w:color w:val="auto"/>
        </w:rPr>
        <w:t>自动时钟同步检测方法要求如下：</w:t>
      </w:r>
    </w:p>
    <w:p>
      <w:pPr>
        <w:pStyle w:val="113"/>
        <w:numPr>
          <w:ilvl w:val="1"/>
          <w:numId w:val="310"/>
        </w:numPr>
        <w:rPr>
          <w:color w:val="auto"/>
        </w:rPr>
      </w:pPr>
      <w:r>
        <w:rPr>
          <w:rFonts w:hint="eastAsia"/>
          <w:color w:val="auto"/>
        </w:rPr>
        <w:t>使用仿真中心系统下发时钟同步间隔参数至受检AG；</w:t>
      </w:r>
    </w:p>
    <w:p>
      <w:pPr>
        <w:pStyle w:val="113"/>
        <w:rPr>
          <w:color w:val="auto"/>
        </w:rPr>
      </w:pPr>
      <w:r>
        <w:rPr>
          <w:rFonts w:hint="eastAsia"/>
          <w:color w:val="auto"/>
        </w:rPr>
        <w:t>通过设置受检TVM的时钟与仿真中心系统的时钟的差异，观察受检AG的处理应符合DB11/T 1164.1、DB11/T 1164.2和DB11/T 1164.3有关时钟同步的规定。</w:t>
      </w:r>
    </w:p>
    <w:p>
      <w:pPr>
        <w:pStyle w:val="178"/>
        <w:rPr>
          <w:color w:val="auto"/>
        </w:rPr>
      </w:pPr>
      <w:r>
        <w:rPr>
          <w:rFonts w:hint="eastAsia"/>
          <w:color w:val="auto"/>
        </w:rPr>
        <w:t>强制时钟同步检测方法要求如下：</w:t>
      </w:r>
    </w:p>
    <w:p>
      <w:pPr>
        <w:pStyle w:val="113"/>
        <w:numPr>
          <w:ilvl w:val="1"/>
          <w:numId w:val="311"/>
        </w:numPr>
        <w:rPr>
          <w:color w:val="auto"/>
        </w:rPr>
      </w:pPr>
      <w:r>
        <w:rPr>
          <w:rFonts w:hint="eastAsia"/>
          <w:color w:val="auto"/>
        </w:rPr>
        <w:t>使用仿真中心系统下发强制时钟同步命令，观察受检AG的强制时钟同步处理应正确；</w:t>
      </w:r>
    </w:p>
    <w:p>
      <w:pPr>
        <w:pStyle w:val="113"/>
        <w:rPr>
          <w:color w:val="auto"/>
        </w:rPr>
      </w:pPr>
      <w:r>
        <w:rPr>
          <w:rFonts w:hint="eastAsia"/>
          <w:color w:val="auto"/>
        </w:rPr>
        <w:t>通过仿真中心系统的记录检测受检AG上传的同步结果数据应正确。</w:t>
      </w:r>
    </w:p>
    <w:p>
      <w:pPr>
        <w:pStyle w:val="98"/>
        <w:spacing w:before="156" w:after="156"/>
        <w:rPr>
          <w:color w:val="auto"/>
        </w:rPr>
      </w:pPr>
      <w:bookmarkStart w:id="484" w:name="_Toc332829445"/>
      <w:bookmarkEnd w:id="484"/>
      <w:bookmarkStart w:id="485" w:name="_Toc332391550"/>
      <w:r>
        <w:rPr>
          <w:rFonts w:hint="eastAsia"/>
          <w:color w:val="auto"/>
        </w:rPr>
        <w:t>操作员登录登出检测</w:t>
      </w:r>
    </w:p>
    <w:p>
      <w:pPr>
        <w:pStyle w:val="60"/>
        <w:ind w:firstLine="420"/>
        <w:rPr>
          <w:color w:val="auto"/>
        </w:rPr>
      </w:pPr>
      <w:r>
        <w:rPr>
          <w:rFonts w:hint="eastAsia"/>
          <w:color w:val="auto"/>
        </w:rPr>
        <w:t>操作员登录登出</w:t>
      </w:r>
      <w:bookmarkEnd w:id="485"/>
      <w:r>
        <w:rPr>
          <w:rFonts w:hint="eastAsia"/>
          <w:color w:val="auto"/>
        </w:rPr>
        <w:t>检测要求如下：</w:t>
      </w:r>
    </w:p>
    <w:p>
      <w:pPr>
        <w:pStyle w:val="178"/>
        <w:numPr>
          <w:ilvl w:val="0"/>
          <w:numId w:val="312"/>
        </w:numPr>
        <w:rPr>
          <w:color w:val="auto"/>
        </w:rPr>
      </w:pPr>
      <w:r>
        <w:rPr>
          <w:rFonts w:hint="eastAsia"/>
          <w:color w:val="auto"/>
        </w:rPr>
        <w:t>检测内容应依据DB11/T 1164.1中AG操作员登录登出功能的要求逐项检测；</w:t>
      </w:r>
    </w:p>
    <w:p>
      <w:pPr>
        <w:pStyle w:val="178"/>
        <w:rPr>
          <w:color w:val="auto"/>
        </w:rPr>
      </w:pPr>
      <w:r>
        <w:rPr>
          <w:rFonts w:hint="eastAsia"/>
          <w:color w:val="auto"/>
        </w:rPr>
        <w:t>检测方法要求如下：</w:t>
      </w:r>
    </w:p>
    <w:p>
      <w:pPr>
        <w:pStyle w:val="113"/>
        <w:numPr>
          <w:ilvl w:val="1"/>
          <w:numId w:val="313"/>
        </w:numPr>
        <w:rPr>
          <w:color w:val="auto"/>
        </w:rPr>
      </w:pPr>
      <w:r>
        <w:rPr>
          <w:rFonts w:hint="eastAsia"/>
          <w:color w:val="auto"/>
        </w:rPr>
        <w:t>使用仿真中心系统向受检AG下发操作员权限参数，在受检AG上进行登录操作，通过仿真系统的记录检测受检AG对操作员登录的处理应符合DB11/T 1164.1和DB11/T 1164.2的规定；</w:t>
      </w:r>
    </w:p>
    <w:p>
      <w:pPr>
        <w:pStyle w:val="113"/>
        <w:rPr>
          <w:color w:val="auto"/>
        </w:rPr>
      </w:pPr>
      <w:r>
        <w:rPr>
          <w:rFonts w:hint="eastAsia"/>
          <w:color w:val="auto"/>
        </w:rPr>
        <w:t>在受检AG上导入操作员权限参数，在受检AG上进行登录操作，通过仿真系统的记录检测受检AG对操作员登录登出的处理应符合DB11/T 1164.1和DB11/T 1164.2的规定；</w:t>
      </w:r>
    </w:p>
    <w:p>
      <w:pPr>
        <w:pStyle w:val="113"/>
        <w:rPr>
          <w:color w:val="auto"/>
        </w:rPr>
      </w:pPr>
      <w:r>
        <w:rPr>
          <w:rFonts w:hint="eastAsia"/>
          <w:color w:val="auto"/>
        </w:rPr>
        <w:t>在受检AG上进行登出操作，通过仿真系统的检测受检AG对操作员登出的处理应符合DB11/T 1164.1和DB11/T 1164.2的规定。</w:t>
      </w:r>
    </w:p>
    <w:p>
      <w:pPr>
        <w:pStyle w:val="98"/>
        <w:spacing w:before="156" w:after="156"/>
        <w:rPr>
          <w:color w:val="auto"/>
        </w:rPr>
      </w:pPr>
      <w:bookmarkStart w:id="486" w:name="_Toc332391551"/>
      <w:bookmarkEnd w:id="486"/>
      <w:bookmarkStart w:id="487" w:name="_Toc332829446"/>
      <w:r>
        <w:rPr>
          <w:rFonts w:hint="eastAsia"/>
          <w:color w:val="auto"/>
        </w:rPr>
        <w:t>数据查询检测</w:t>
      </w:r>
    </w:p>
    <w:p>
      <w:pPr>
        <w:pStyle w:val="60"/>
        <w:ind w:firstLine="420"/>
        <w:rPr>
          <w:color w:val="auto"/>
        </w:rPr>
      </w:pPr>
      <w:r>
        <w:rPr>
          <w:rFonts w:hint="eastAsia"/>
          <w:color w:val="auto"/>
        </w:rPr>
        <w:t>数据查询</w:t>
      </w:r>
      <w:bookmarkEnd w:id="487"/>
      <w:r>
        <w:rPr>
          <w:rFonts w:hint="eastAsia"/>
          <w:color w:val="auto"/>
        </w:rPr>
        <w:t>检测要求如下：</w:t>
      </w:r>
    </w:p>
    <w:p>
      <w:pPr>
        <w:pStyle w:val="178"/>
        <w:numPr>
          <w:ilvl w:val="0"/>
          <w:numId w:val="314"/>
        </w:numPr>
        <w:rPr>
          <w:color w:val="auto"/>
        </w:rPr>
      </w:pPr>
      <w:r>
        <w:rPr>
          <w:rFonts w:hint="eastAsia"/>
          <w:color w:val="auto"/>
        </w:rPr>
        <w:t>检测内容应依据DB11/T 1164.1中AG数据查询功能的要求逐项检测；</w:t>
      </w:r>
    </w:p>
    <w:p>
      <w:pPr>
        <w:pStyle w:val="178"/>
        <w:rPr>
          <w:color w:val="auto"/>
        </w:rPr>
      </w:pPr>
      <w:r>
        <w:rPr>
          <w:rFonts w:hint="eastAsia"/>
          <w:color w:val="auto"/>
        </w:rPr>
        <w:t>检测方法要求如下：</w:t>
      </w:r>
    </w:p>
    <w:p>
      <w:pPr>
        <w:pStyle w:val="113"/>
        <w:numPr>
          <w:ilvl w:val="1"/>
          <w:numId w:val="315"/>
        </w:numPr>
        <w:rPr>
          <w:color w:val="auto"/>
        </w:rPr>
      </w:pPr>
      <w:r>
        <w:rPr>
          <w:rFonts w:hint="eastAsia"/>
          <w:color w:val="auto"/>
        </w:rPr>
        <w:t>在受检AG进行刷卡进站、刷卡出站的操作，应能查询到相关交易数据、数据传送信息；</w:t>
      </w:r>
    </w:p>
    <w:p>
      <w:pPr>
        <w:pStyle w:val="113"/>
        <w:rPr>
          <w:color w:val="auto"/>
        </w:rPr>
      </w:pPr>
      <w:r>
        <w:rPr>
          <w:rFonts w:hint="eastAsia"/>
          <w:color w:val="auto"/>
        </w:rPr>
        <w:t>在受检AG上模拟故障，应能查询到相关故障信息；</w:t>
      </w:r>
    </w:p>
    <w:p>
      <w:pPr>
        <w:pStyle w:val="113"/>
        <w:rPr>
          <w:color w:val="auto"/>
        </w:rPr>
      </w:pPr>
      <w:r>
        <w:rPr>
          <w:rFonts w:hint="eastAsia"/>
          <w:color w:val="auto"/>
        </w:rPr>
        <w:t>在受检AG上进行部件更换操作，应能查询到部件信息、日志信息；</w:t>
      </w:r>
    </w:p>
    <w:p>
      <w:pPr>
        <w:pStyle w:val="113"/>
        <w:rPr>
          <w:color w:val="auto"/>
        </w:rPr>
      </w:pPr>
      <w:r>
        <w:rPr>
          <w:rFonts w:hint="eastAsia"/>
          <w:color w:val="auto"/>
        </w:rPr>
        <w:t>使用仿真中心系统向受检AG发送闸门常开命令，在受检设备应能查询到状态信息。AG数据查询的种类</w:t>
      </w:r>
      <w:r>
        <w:rPr>
          <w:rFonts w:hint="eastAsia"/>
          <w:color w:val="auto"/>
          <w:lang w:eastAsia="zh-CN"/>
        </w:rPr>
        <w:t>应符合</w:t>
      </w:r>
      <w:r>
        <w:rPr>
          <w:rFonts w:hint="eastAsia"/>
          <w:color w:val="auto"/>
        </w:rPr>
        <w:t xml:space="preserve">表 </w:t>
      </w:r>
      <w:r>
        <w:rPr>
          <w:color w:val="auto"/>
        </w:rPr>
        <w:t>18</w:t>
      </w:r>
      <w:r>
        <w:rPr>
          <w:rFonts w:hint="eastAsia"/>
          <w:color w:val="auto"/>
        </w:rPr>
        <w:t>。</w:t>
      </w:r>
    </w:p>
    <w:p>
      <w:pPr>
        <w:pStyle w:val="116"/>
        <w:spacing w:before="156" w:after="156"/>
        <w:rPr>
          <w:color w:val="auto"/>
        </w:rPr>
      </w:pPr>
      <w:r>
        <w:rPr>
          <w:rFonts w:hint="eastAsia"/>
          <w:color w:val="auto"/>
        </w:rPr>
        <w:t>AG数据查询种类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6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569"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569"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7</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运转数据查询</w:t>
            </w:r>
          </w:p>
        </w:tc>
      </w:tr>
    </w:tbl>
    <w:p>
      <w:pPr>
        <w:pStyle w:val="98"/>
        <w:spacing w:before="156" w:after="156"/>
        <w:rPr>
          <w:color w:val="auto"/>
        </w:rPr>
      </w:pPr>
      <w:bookmarkStart w:id="488" w:name="_Toc332391552"/>
      <w:bookmarkEnd w:id="488"/>
      <w:bookmarkStart w:id="489" w:name="_Toc332829447"/>
      <w:r>
        <w:rPr>
          <w:rFonts w:hint="eastAsia"/>
          <w:color w:val="auto"/>
        </w:rPr>
        <w:t>票箱安装卸下检测</w:t>
      </w:r>
    </w:p>
    <w:p>
      <w:pPr>
        <w:pStyle w:val="60"/>
        <w:ind w:firstLine="420"/>
        <w:rPr>
          <w:color w:val="auto"/>
        </w:rPr>
      </w:pPr>
      <w:r>
        <w:rPr>
          <w:rFonts w:hint="eastAsia"/>
          <w:color w:val="auto"/>
        </w:rPr>
        <w:t>票箱安装卸下</w:t>
      </w:r>
      <w:bookmarkEnd w:id="489"/>
      <w:r>
        <w:rPr>
          <w:rFonts w:hint="eastAsia"/>
          <w:color w:val="auto"/>
        </w:rPr>
        <w:t>检测要求如下：</w:t>
      </w:r>
    </w:p>
    <w:p>
      <w:pPr>
        <w:pStyle w:val="178"/>
        <w:numPr>
          <w:ilvl w:val="0"/>
          <w:numId w:val="316"/>
        </w:numPr>
        <w:rPr>
          <w:color w:val="auto"/>
        </w:rPr>
      </w:pPr>
      <w:r>
        <w:rPr>
          <w:rFonts w:hint="eastAsia"/>
          <w:color w:val="auto"/>
        </w:rPr>
        <w:t>检测内容应依据DB11/T 1164.1中AG票箱安装卸下功能的要求逐项检测；</w:t>
      </w:r>
    </w:p>
    <w:p>
      <w:pPr>
        <w:pStyle w:val="178"/>
        <w:rPr>
          <w:color w:val="auto"/>
        </w:rPr>
      </w:pPr>
      <w:r>
        <w:rPr>
          <w:rFonts w:hint="eastAsia"/>
          <w:color w:val="auto"/>
        </w:rPr>
        <w:t>检测方法应在受检AG上执行票箱安装、卸下操作，受检AG应自动更新票箱状态，并上传至仿真中心系统。通过仿真中心系统的记录，检测应收到受检AG发送的状态变化数据。</w:t>
      </w:r>
    </w:p>
    <w:p>
      <w:pPr>
        <w:pStyle w:val="98"/>
        <w:spacing w:before="156" w:after="156"/>
        <w:rPr>
          <w:color w:val="auto"/>
        </w:rPr>
      </w:pPr>
      <w:bookmarkStart w:id="490" w:name="_Toc332829448"/>
      <w:bookmarkEnd w:id="490"/>
      <w:bookmarkStart w:id="491" w:name="_Toc332391553"/>
      <w:r>
        <w:rPr>
          <w:rFonts w:hint="eastAsia"/>
          <w:color w:val="auto"/>
        </w:rPr>
        <w:t>票箱警报检测</w:t>
      </w:r>
    </w:p>
    <w:p>
      <w:pPr>
        <w:pStyle w:val="60"/>
        <w:ind w:firstLine="420"/>
        <w:rPr>
          <w:color w:val="auto"/>
        </w:rPr>
      </w:pPr>
      <w:r>
        <w:rPr>
          <w:rFonts w:hint="eastAsia"/>
          <w:color w:val="auto"/>
        </w:rPr>
        <w:t>票箱警报</w:t>
      </w:r>
      <w:bookmarkEnd w:id="491"/>
      <w:r>
        <w:rPr>
          <w:rFonts w:hint="eastAsia"/>
          <w:color w:val="auto"/>
        </w:rPr>
        <w:t>检测要求如下：</w:t>
      </w:r>
    </w:p>
    <w:p>
      <w:pPr>
        <w:pStyle w:val="178"/>
        <w:numPr>
          <w:ilvl w:val="0"/>
          <w:numId w:val="317"/>
        </w:numPr>
        <w:rPr>
          <w:color w:val="auto"/>
        </w:rPr>
      </w:pPr>
      <w:r>
        <w:rPr>
          <w:rFonts w:hint="eastAsia"/>
          <w:color w:val="auto"/>
        </w:rPr>
        <w:t>检测内容应依据DB11/T 1164.1中AG票箱报警功能的要求逐项检测；；</w:t>
      </w:r>
    </w:p>
    <w:p>
      <w:pPr>
        <w:pStyle w:val="178"/>
        <w:rPr>
          <w:color w:val="auto"/>
        </w:rPr>
      </w:pPr>
      <w:r>
        <w:rPr>
          <w:rFonts w:hint="eastAsia"/>
          <w:color w:val="auto"/>
        </w:rPr>
        <w:t>检测方法应对受检AG执行非法票箱安装、卸下操作，受检AG应发出报警信息至仿真中心系统。通过仿真中心系统的记录，检测应收到AG发送的报警数据。</w:t>
      </w:r>
    </w:p>
    <w:p>
      <w:pPr>
        <w:pStyle w:val="98"/>
        <w:spacing w:before="156" w:after="156"/>
        <w:rPr>
          <w:color w:val="auto"/>
        </w:rPr>
      </w:pPr>
      <w:bookmarkStart w:id="492" w:name="_Toc332391554"/>
      <w:bookmarkEnd w:id="492"/>
      <w:bookmarkStart w:id="493" w:name="_Toc332829449"/>
      <w:r>
        <w:rPr>
          <w:rFonts w:hint="eastAsia"/>
          <w:color w:val="auto"/>
        </w:rPr>
        <w:t>检查参数/软件版本检测</w:t>
      </w:r>
    </w:p>
    <w:p>
      <w:pPr>
        <w:pStyle w:val="60"/>
        <w:ind w:firstLine="420"/>
        <w:rPr>
          <w:color w:val="auto"/>
        </w:rPr>
      </w:pPr>
      <w:r>
        <w:rPr>
          <w:rFonts w:hint="eastAsia"/>
          <w:color w:val="auto"/>
        </w:rPr>
        <w:t>检查参数</w:t>
      </w:r>
      <w:bookmarkEnd w:id="493"/>
      <w:r>
        <w:rPr>
          <w:rFonts w:hint="eastAsia"/>
          <w:color w:val="auto"/>
        </w:rPr>
        <w:t>/软件版本检测要求如下：</w:t>
      </w:r>
    </w:p>
    <w:p>
      <w:pPr>
        <w:pStyle w:val="178"/>
        <w:numPr>
          <w:ilvl w:val="0"/>
          <w:numId w:val="318"/>
        </w:numPr>
        <w:rPr>
          <w:color w:val="auto"/>
        </w:rPr>
      </w:pPr>
      <w:r>
        <w:rPr>
          <w:rFonts w:hint="eastAsia"/>
          <w:color w:val="auto"/>
        </w:rPr>
        <w:t>检测内容应依据DB11/T 1164.1中AG检查参数/软件版本功能的要求逐项检测；</w:t>
      </w:r>
    </w:p>
    <w:p>
      <w:pPr>
        <w:pStyle w:val="178"/>
        <w:rPr>
          <w:color w:val="auto"/>
        </w:rPr>
      </w:pPr>
      <w:r>
        <w:rPr>
          <w:rFonts w:hint="eastAsia"/>
          <w:color w:val="auto"/>
        </w:rPr>
        <w:t>检测方法要求如下：</w:t>
      </w:r>
    </w:p>
    <w:p>
      <w:pPr>
        <w:pStyle w:val="113"/>
        <w:numPr>
          <w:ilvl w:val="1"/>
          <w:numId w:val="319"/>
        </w:numPr>
        <w:rPr>
          <w:color w:val="auto"/>
        </w:rPr>
      </w:pPr>
      <w:r>
        <w:rPr>
          <w:rFonts w:hint="eastAsia"/>
          <w:color w:val="auto"/>
        </w:rPr>
        <w:t>使用仿真中心系统向受检AG下发参数数据/软件数据。在受检AG上查询参数数据版本/软件版本信息，确认与中心系统下发的参数数据/软件数据的版本应一致；</w:t>
      </w:r>
    </w:p>
    <w:p>
      <w:pPr>
        <w:pStyle w:val="113"/>
        <w:rPr>
          <w:color w:val="auto"/>
        </w:rPr>
      </w:pPr>
      <w:r>
        <w:rPr>
          <w:rFonts w:hint="eastAsia"/>
          <w:color w:val="auto"/>
        </w:rPr>
        <w:t>在受检AG上导入参数数据/软件数据，查询参数数据/软件数据版本，确认应与导入数据版本一致。</w:t>
      </w:r>
    </w:p>
    <w:p>
      <w:pPr>
        <w:pStyle w:val="98"/>
        <w:spacing w:before="156" w:after="156"/>
        <w:rPr>
          <w:color w:val="auto"/>
        </w:rPr>
      </w:pPr>
      <w:bookmarkStart w:id="494" w:name="_Toc332829450"/>
      <w:bookmarkEnd w:id="494"/>
      <w:bookmarkStart w:id="495" w:name="_Toc332391555"/>
      <w:r>
        <w:rPr>
          <w:rFonts w:hint="eastAsia"/>
          <w:color w:val="auto"/>
        </w:rPr>
        <w:t>设备设置检测</w:t>
      </w:r>
    </w:p>
    <w:p>
      <w:pPr>
        <w:pStyle w:val="60"/>
        <w:ind w:firstLine="420"/>
        <w:rPr>
          <w:color w:val="auto"/>
        </w:rPr>
      </w:pPr>
      <w:r>
        <w:rPr>
          <w:rFonts w:hint="eastAsia"/>
          <w:color w:val="auto"/>
        </w:rPr>
        <w:t>设备设置</w:t>
      </w:r>
      <w:bookmarkEnd w:id="495"/>
      <w:r>
        <w:rPr>
          <w:rFonts w:hint="eastAsia"/>
          <w:color w:val="auto"/>
        </w:rPr>
        <w:t>检测要求如下：</w:t>
      </w:r>
    </w:p>
    <w:p>
      <w:pPr>
        <w:pStyle w:val="178"/>
        <w:numPr>
          <w:ilvl w:val="0"/>
          <w:numId w:val="320"/>
        </w:numPr>
        <w:rPr>
          <w:color w:val="auto"/>
        </w:rPr>
      </w:pPr>
      <w:r>
        <w:rPr>
          <w:rFonts w:hint="eastAsia"/>
          <w:color w:val="auto"/>
        </w:rPr>
        <w:t>检测内容应依据DB11/T 1164.1中AG设备设置功能的要求逐项检测；</w:t>
      </w:r>
    </w:p>
    <w:p>
      <w:pPr>
        <w:pStyle w:val="178"/>
        <w:rPr>
          <w:color w:val="auto"/>
        </w:rPr>
      </w:pPr>
      <w:r>
        <w:rPr>
          <w:rFonts w:hint="eastAsia"/>
          <w:color w:val="auto"/>
        </w:rPr>
        <w:t>检测方法应在受检AG上进行设备设置操作。受检AG应按照设置后的模式进行工作，通过仿真中心系统的记录检查受检AG设置后的状态。AG的设置信息种类</w:t>
      </w:r>
      <w:r>
        <w:rPr>
          <w:rFonts w:hint="eastAsia"/>
          <w:color w:val="auto"/>
          <w:lang w:eastAsia="zh-CN"/>
        </w:rPr>
        <w:t>应符合</w:t>
      </w:r>
      <w:r>
        <w:rPr>
          <w:rFonts w:hint="eastAsia"/>
          <w:color w:val="auto"/>
        </w:rPr>
        <w:t>表 19。</w:t>
      </w: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16"/>
        <w:spacing w:before="156" w:after="156"/>
        <w:rPr>
          <w:color w:val="auto"/>
        </w:rPr>
      </w:pPr>
      <w:bookmarkStart w:id="496" w:name="_Ref49766692"/>
      <w:bookmarkEnd w:id="496"/>
      <w:bookmarkStart w:id="497" w:name="_Toc332391812"/>
      <w:bookmarkEnd w:id="497"/>
      <w:r>
        <w:rPr>
          <w:rFonts w:hint="eastAsia"/>
          <w:color w:val="auto"/>
        </w:rPr>
        <w:t>AG设置信息种类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2"/>
        <w:gridCol w:w="4477"/>
        <w:gridCol w:w="31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序号</w:t>
            </w:r>
          </w:p>
        </w:tc>
        <w:tc>
          <w:tcPr>
            <w:tcW w:w="4458"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设备设置</w:t>
            </w:r>
          </w:p>
        </w:tc>
        <w:tc>
          <w:tcPr>
            <w:tcW w:w="3112"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1</w:t>
            </w:r>
          </w:p>
        </w:tc>
        <w:tc>
          <w:tcPr>
            <w:tcW w:w="4458"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基本信息设置</w:t>
            </w:r>
          </w:p>
        </w:tc>
        <w:tc>
          <w:tcPr>
            <w:tcW w:w="3112" w:type="dxa"/>
            <w:tcBorders>
              <w:top w:val="single" w:color="000000" w:sz="8" w:space="0"/>
            </w:tcBorders>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2</w:t>
            </w:r>
          </w:p>
        </w:tc>
        <w:tc>
          <w:tcPr>
            <w:tcW w:w="4458" w:type="dxa"/>
            <w:shd w:val="clear" w:color="auto" w:fill="auto"/>
            <w:vAlign w:val="center"/>
          </w:tcPr>
          <w:p>
            <w:pPr>
              <w:pStyle w:val="60"/>
              <w:ind w:firstLine="360"/>
              <w:rPr>
                <w:color w:val="auto"/>
                <w:sz w:val="18"/>
              </w:rPr>
            </w:pPr>
            <w:r>
              <w:rPr>
                <w:rFonts w:hint="eastAsia"/>
                <w:color w:val="auto"/>
                <w:sz w:val="18"/>
              </w:rPr>
              <w:t>运营模式设置</w:t>
            </w:r>
          </w:p>
        </w:tc>
        <w:tc>
          <w:tcPr>
            <w:tcW w:w="3112" w:type="dxa"/>
            <w:shd w:val="clear" w:color="auto" w:fill="auto"/>
            <w:vAlign w:val="center"/>
          </w:tcPr>
          <w:p>
            <w:pPr>
              <w:pStyle w:val="60"/>
              <w:ind w:firstLine="360"/>
              <w:rPr>
                <w:color w:val="auto"/>
                <w:sz w:val="18"/>
              </w:rPr>
            </w:pPr>
            <w:r>
              <w:rPr>
                <w:rFonts w:hint="eastAsia"/>
                <w:color w:val="auto"/>
                <w:sz w:val="18"/>
              </w:rPr>
              <w:t>仅脱机时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3</w:t>
            </w:r>
          </w:p>
        </w:tc>
        <w:tc>
          <w:tcPr>
            <w:tcW w:w="4458" w:type="dxa"/>
            <w:shd w:val="clear" w:color="auto" w:fill="auto"/>
            <w:vAlign w:val="center"/>
          </w:tcPr>
          <w:p>
            <w:pPr>
              <w:pStyle w:val="60"/>
              <w:ind w:firstLine="360"/>
              <w:rPr>
                <w:color w:val="auto"/>
                <w:sz w:val="18"/>
              </w:rPr>
            </w:pPr>
            <w:r>
              <w:rPr>
                <w:rFonts w:hint="eastAsia"/>
                <w:color w:val="auto"/>
                <w:sz w:val="18"/>
              </w:rPr>
              <w:t>服务模式设置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4</w:t>
            </w:r>
          </w:p>
        </w:tc>
        <w:tc>
          <w:tcPr>
            <w:tcW w:w="4458" w:type="dxa"/>
            <w:shd w:val="clear" w:color="auto" w:fill="auto"/>
            <w:vAlign w:val="center"/>
          </w:tcPr>
          <w:p>
            <w:pPr>
              <w:pStyle w:val="60"/>
              <w:ind w:firstLine="360"/>
              <w:rPr>
                <w:color w:val="auto"/>
                <w:sz w:val="18"/>
              </w:rPr>
            </w:pPr>
            <w:r>
              <w:rPr>
                <w:rFonts w:hint="eastAsia"/>
                <w:color w:val="auto"/>
                <w:sz w:val="18"/>
              </w:rPr>
              <w:t>24小时运营设置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5</w:t>
            </w:r>
          </w:p>
        </w:tc>
        <w:tc>
          <w:tcPr>
            <w:tcW w:w="4458" w:type="dxa"/>
            <w:shd w:val="clear" w:color="auto" w:fill="auto"/>
            <w:vAlign w:val="center"/>
          </w:tcPr>
          <w:p>
            <w:pPr>
              <w:pStyle w:val="60"/>
              <w:ind w:firstLine="360"/>
              <w:rPr>
                <w:color w:val="auto"/>
                <w:sz w:val="18"/>
              </w:rPr>
            </w:pPr>
            <w:r>
              <w:rPr>
                <w:rFonts w:hint="eastAsia"/>
                <w:color w:val="auto"/>
                <w:sz w:val="18"/>
              </w:rPr>
              <w:t>延长运营设置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6</w:t>
            </w:r>
          </w:p>
        </w:tc>
        <w:tc>
          <w:tcPr>
            <w:tcW w:w="4458" w:type="dxa"/>
            <w:shd w:val="clear" w:color="auto" w:fill="auto"/>
            <w:vAlign w:val="center"/>
          </w:tcPr>
          <w:p>
            <w:pPr>
              <w:pStyle w:val="60"/>
              <w:ind w:firstLine="360"/>
              <w:rPr>
                <w:color w:val="auto"/>
                <w:sz w:val="18"/>
              </w:rPr>
            </w:pPr>
            <w:r>
              <w:rPr>
                <w:rFonts w:hint="eastAsia"/>
                <w:color w:val="auto"/>
                <w:sz w:val="18"/>
              </w:rPr>
              <w:t>通道模式设置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7</w:t>
            </w:r>
          </w:p>
        </w:tc>
        <w:tc>
          <w:tcPr>
            <w:tcW w:w="4458" w:type="dxa"/>
            <w:shd w:val="clear" w:color="auto" w:fill="auto"/>
            <w:vAlign w:val="center"/>
          </w:tcPr>
          <w:p>
            <w:pPr>
              <w:pStyle w:val="60"/>
              <w:ind w:firstLine="360"/>
              <w:rPr>
                <w:color w:val="auto"/>
                <w:sz w:val="18"/>
              </w:rPr>
            </w:pPr>
            <w:r>
              <w:rPr>
                <w:rFonts w:hint="eastAsia"/>
                <w:color w:val="auto"/>
                <w:sz w:val="18"/>
              </w:rPr>
              <w:t>扇门工作模式设置</w:t>
            </w:r>
          </w:p>
        </w:tc>
        <w:tc>
          <w:tcPr>
            <w:tcW w:w="3112"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8</w:t>
            </w:r>
          </w:p>
        </w:tc>
        <w:tc>
          <w:tcPr>
            <w:tcW w:w="4458" w:type="dxa"/>
            <w:shd w:val="clear" w:color="auto" w:fill="auto"/>
            <w:vAlign w:val="center"/>
          </w:tcPr>
          <w:p>
            <w:pPr>
              <w:pStyle w:val="60"/>
              <w:ind w:firstLine="360"/>
              <w:rPr>
                <w:color w:val="auto"/>
                <w:sz w:val="18"/>
              </w:rPr>
            </w:pPr>
            <w:r>
              <w:rPr>
                <w:rFonts w:hint="eastAsia"/>
                <w:color w:val="auto"/>
                <w:sz w:val="18"/>
              </w:rPr>
              <w:t>时钟设置</w:t>
            </w:r>
          </w:p>
        </w:tc>
        <w:tc>
          <w:tcPr>
            <w:tcW w:w="3112" w:type="dxa"/>
            <w:shd w:val="clear" w:color="auto" w:fill="auto"/>
            <w:vAlign w:val="center"/>
          </w:tcPr>
          <w:p>
            <w:pPr>
              <w:pStyle w:val="60"/>
              <w:ind w:firstLine="360"/>
              <w:rPr>
                <w:color w:val="auto"/>
                <w:sz w:val="18"/>
              </w:rPr>
            </w:pPr>
          </w:p>
        </w:tc>
      </w:tr>
    </w:tbl>
    <w:p>
      <w:pPr>
        <w:pStyle w:val="98"/>
        <w:spacing w:before="156" w:after="156"/>
        <w:rPr>
          <w:color w:val="auto"/>
        </w:rPr>
      </w:pPr>
      <w:bookmarkStart w:id="498" w:name="_Toc332391556"/>
      <w:bookmarkEnd w:id="498"/>
      <w:bookmarkStart w:id="499" w:name="_Toc332829451"/>
      <w:r>
        <w:rPr>
          <w:rFonts w:hint="eastAsia"/>
          <w:color w:val="auto"/>
        </w:rPr>
        <w:t>设备部件检测</w:t>
      </w:r>
    </w:p>
    <w:p>
      <w:pPr>
        <w:pStyle w:val="60"/>
        <w:ind w:firstLine="420"/>
        <w:rPr>
          <w:color w:val="auto"/>
        </w:rPr>
      </w:pPr>
      <w:r>
        <w:rPr>
          <w:rFonts w:hint="eastAsia"/>
          <w:color w:val="auto"/>
        </w:rPr>
        <w:t>设备部件检测</w:t>
      </w:r>
      <w:bookmarkEnd w:id="499"/>
      <w:r>
        <w:rPr>
          <w:rFonts w:hint="eastAsia"/>
          <w:color w:val="auto"/>
        </w:rPr>
        <w:t>要求如下：</w:t>
      </w:r>
    </w:p>
    <w:p>
      <w:pPr>
        <w:pStyle w:val="178"/>
        <w:numPr>
          <w:ilvl w:val="0"/>
          <w:numId w:val="321"/>
        </w:numPr>
        <w:rPr>
          <w:color w:val="auto"/>
        </w:rPr>
      </w:pPr>
      <w:r>
        <w:rPr>
          <w:rFonts w:hint="eastAsia"/>
          <w:color w:val="auto"/>
        </w:rPr>
        <w:t>检测内容应依据DB11/T 1164.1中AG设备维修维护功能的要求逐项检测；</w:t>
      </w:r>
    </w:p>
    <w:p>
      <w:pPr>
        <w:pStyle w:val="178"/>
        <w:rPr>
          <w:color w:val="auto"/>
        </w:rPr>
      </w:pPr>
      <w:r>
        <w:rPr>
          <w:rFonts w:hint="eastAsia"/>
          <w:color w:val="auto"/>
        </w:rPr>
        <w:t>检测方法要求如下：</w:t>
      </w:r>
    </w:p>
    <w:p>
      <w:pPr>
        <w:pStyle w:val="113"/>
        <w:numPr>
          <w:ilvl w:val="1"/>
          <w:numId w:val="322"/>
        </w:numPr>
        <w:rPr>
          <w:color w:val="auto"/>
        </w:rPr>
      </w:pPr>
      <w:r>
        <w:rPr>
          <w:rFonts w:hint="eastAsia"/>
          <w:color w:val="auto"/>
        </w:rPr>
        <w:t>在受检AG上执行设备部件检测动作，受检AG根据检测结果更新部件状态，并上传至仿真中心系统。通过仿真中心系统检测受检AG上传的执行结果应正确；</w:t>
      </w:r>
    </w:p>
    <w:p>
      <w:pPr>
        <w:pStyle w:val="113"/>
        <w:rPr>
          <w:color w:val="auto"/>
        </w:rPr>
      </w:pPr>
      <w:r>
        <w:rPr>
          <w:rFonts w:hint="eastAsia"/>
          <w:color w:val="auto"/>
        </w:rPr>
        <w:t>更换受检AG部件，通过仿真中心系统检测受检AG上传的部件更换数据的正确性。AG要进行的部件检测</w:t>
      </w:r>
      <w:r>
        <w:rPr>
          <w:rFonts w:hint="eastAsia"/>
          <w:color w:val="auto"/>
          <w:lang w:eastAsia="zh-CN"/>
        </w:rPr>
        <w:t>应符合</w:t>
      </w:r>
      <w:r>
        <w:rPr>
          <w:rFonts w:hint="eastAsia"/>
          <w:color w:val="auto"/>
        </w:rPr>
        <w:t>表 20。</w:t>
      </w:r>
    </w:p>
    <w:p>
      <w:pPr>
        <w:pStyle w:val="116"/>
        <w:spacing w:before="156" w:after="156"/>
        <w:rPr>
          <w:color w:val="auto"/>
        </w:rPr>
      </w:pPr>
      <w:bookmarkStart w:id="500" w:name="_Ref49766720"/>
      <w:bookmarkEnd w:id="500"/>
      <w:bookmarkStart w:id="501" w:name="_Toc449538979"/>
      <w:bookmarkEnd w:id="501"/>
      <w:r>
        <w:rPr>
          <w:rFonts w:hint="eastAsia"/>
          <w:color w:val="auto"/>
        </w:rPr>
        <w:t>AG部件检测表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3"/>
        <w:gridCol w:w="76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tcBorders>
              <w:top w:val="single" w:color="auto" w:sz="8" w:space="0"/>
              <w:bottom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序号</w:t>
            </w:r>
          </w:p>
        </w:tc>
        <w:tc>
          <w:tcPr>
            <w:tcW w:w="7569" w:type="dxa"/>
            <w:tcBorders>
              <w:top w:val="single" w:color="auto" w:sz="8" w:space="0"/>
              <w:bottom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部件检测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tcBorders>
              <w:top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w:t>
            </w:r>
          </w:p>
        </w:tc>
        <w:tc>
          <w:tcPr>
            <w:tcW w:w="7569" w:type="dxa"/>
            <w:tcBorders>
              <w:top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网络连接状态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2</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扇门动作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3</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通行传感器检测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4</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TPU检测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5</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通行指示牌检测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6</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蜂鸣器、扬声器检测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7</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顶棚导向检测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8</w:t>
            </w:r>
          </w:p>
        </w:tc>
        <w:tc>
          <w:tcPr>
            <w:tcW w:w="7569"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车票回收单元检测</w:t>
            </w:r>
          </w:p>
        </w:tc>
      </w:tr>
    </w:tbl>
    <w:p>
      <w:pPr>
        <w:pStyle w:val="98"/>
        <w:spacing w:before="156" w:after="156"/>
        <w:rPr>
          <w:color w:val="auto"/>
        </w:rPr>
      </w:pPr>
      <w:bookmarkStart w:id="502" w:name="_Toc332829452"/>
      <w:bookmarkEnd w:id="502"/>
      <w:bookmarkStart w:id="503" w:name="_Toc332391557"/>
      <w:r>
        <w:rPr>
          <w:rFonts w:hint="eastAsia"/>
          <w:color w:val="auto"/>
        </w:rPr>
        <w:t>数据导入导出检测</w:t>
      </w:r>
    </w:p>
    <w:p>
      <w:pPr>
        <w:pStyle w:val="60"/>
        <w:ind w:firstLine="420"/>
        <w:rPr>
          <w:color w:val="auto"/>
        </w:rPr>
      </w:pPr>
      <w:r>
        <w:rPr>
          <w:rFonts w:hint="eastAsia"/>
          <w:color w:val="auto"/>
        </w:rPr>
        <w:t>数据导入导出</w:t>
      </w:r>
      <w:bookmarkEnd w:id="503"/>
      <w:r>
        <w:rPr>
          <w:rFonts w:hint="eastAsia"/>
          <w:color w:val="auto"/>
        </w:rPr>
        <w:t>检测要求如下：</w:t>
      </w:r>
    </w:p>
    <w:p>
      <w:pPr>
        <w:pStyle w:val="178"/>
        <w:numPr>
          <w:ilvl w:val="0"/>
          <w:numId w:val="323"/>
        </w:numPr>
        <w:rPr>
          <w:color w:val="auto"/>
        </w:rPr>
      </w:pPr>
      <w:r>
        <w:rPr>
          <w:rFonts w:hint="eastAsia"/>
          <w:color w:val="auto"/>
        </w:rPr>
        <w:t>检测内容应依据DB11/T 1164.1中AG数据导入导出功能的要求逐项检测；</w:t>
      </w:r>
    </w:p>
    <w:p>
      <w:pPr>
        <w:pStyle w:val="178"/>
        <w:rPr>
          <w:color w:val="auto"/>
        </w:rPr>
      </w:pPr>
      <w:r>
        <w:rPr>
          <w:rFonts w:hint="eastAsia"/>
          <w:color w:val="auto"/>
        </w:rPr>
        <w:t>检测方法要求如下：</w:t>
      </w:r>
    </w:p>
    <w:p>
      <w:pPr>
        <w:pStyle w:val="113"/>
        <w:numPr>
          <w:ilvl w:val="1"/>
          <w:numId w:val="324"/>
        </w:numPr>
        <w:rPr>
          <w:color w:val="auto"/>
        </w:rPr>
      </w:pPr>
      <w:r>
        <w:rPr>
          <w:rFonts w:hint="eastAsia"/>
          <w:color w:val="auto"/>
        </w:rPr>
        <w:t>通过外部存储设备将参数数据导入到受检AG上，进行相关的业务操作，检查受检AG参数导入的正确性；</w:t>
      </w:r>
    </w:p>
    <w:p>
      <w:pPr>
        <w:pStyle w:val="113"/>
        <w:rPr>
          <w:color w:val="auto"/>
        </w:rPr>
      </w:pPr>
      <w:r>
        <w:rPr>
          <w:rFonts w:hint="eastAsia"/>
          <w:color w:val="auto"/>
        </w:rPr>
        <w:t>将受检AG上的交易数据、业务数据、事件数据、日志数据导出到外部存储设备，再将外部存储设备上导出的数据导入到仿真中心系统上，检查导出数据的正确性。</w:t>
      </w:r>
    </w:p>
    <w:p>
      <w:pPr>
        <w:pStyle w:val="98"/>
        <w:spacing w:before="156" w:after="156"/>
        <w:rPr>
          <w:color w:val="auto"/>
        </w:rPr>
      </w:pPr>
      <w:bookmarkStart w:id="504" w:name="_Toc332829453"/>
      <w:bookmarkEnd w:id="504"/>
      <w:bookmarkStart w:id="505" w:name="_Toc332391558"/>
      <w:r>
        <w:rPr>
          <w:rFonts w:hint="eastAsia"/>
          <w:color w:val="auto"/>
        </w:rPr>
        <w:t>远程监视检测</w:t>
      </w:r>
    </w:p>
    <w:p>
      <w:pPr>
        <w:pStyle w:val="60"/>
        <w:ind w:firstLine="420"/>
        <w:rPr>
          <w:color w:val="auto"/>
        </w:rPr>
      </w:pPr>
      <w:r>
        <w:rPr>
          <w:rFonts w:hint="eastAsia"/>
          <w:color w:val="auto"/>
        </w:rPr>
        <w:t>远程监视</w:t>
      </w:r>
      <w:bookmarkEnd w:id="505"/>
      <w:r>
        <w:rPr>
          <w:rFonts w:hint="eastAsia"/>
          <w:color w:val="auto"/>
        </w:rPr>
        <w:t>检测要求如下：</w:t>
      </w:r>
    </w:p>
    <w:p>
      <w:pPr>
        <w:pStyle w:val="178"/>
        <w:numPr>
          <w:ilvl w:val="0"/>
          <w:numId w:val="325"/>
        </w:numPr>
        <w:rPr>
          <w:color w:val="auto"/>
        </w:rPr>
      </w:pPr>
      <w:r>
        <w:rPr>
          <w:rFonts w:hint="eastAsia"/>
          <w:color w:val="auto"/>
        </w:rPr>
        <w:t>检测内容应依据DB11/T 1164.1中AG远程监视功能的要求逐项检测；</w:t>
      </w:r>
    </w:p>
    <w:p>
      <w:pPr>
        <w:pStyle w:val="178"/>
        <w:rPr>
          <w:color w:val="auto"/>
        </w:rPr>
      </w:pPr>
      <w:r>
        <w:rPr>
          <w:rFonts w:hint="eastAsia"/>
          <w:color w:val="auto"/>
        </w:rPr>
        <w:t>检测方法为改变受检AG的状态，或模拟受检AG出现故障，通过仿真中心系统的记录检查受检AG的状态应即时上传。</w:t>
      </w:r>
    </w:p>
    <w:p>
      <w:pPr>
        <w:pStyle w:val="98"/>
        <w:spacing w:before="156" w:after="156"/>
        <w:rPr>
          <w:color w:val="auto"/>
        </w:rPr>
      </w:pPr>
      <w:bookmarkStart w:id="506" w:name="_Toc332829454"/>
      <w:bookmarkEnd w:id="506"/>
      <w:bookmarkStart w:id="507" w:name="_Toc332391559"/>
      <w:r>
        <w:rPr>
          <w:rFonts w:hint="eastAsia"/>
          <w:color w:val="auto"/>
        </w:rPr>
        <w:t>远程控制检测</w:t>
      </w:r>
    </w:p>
    <w:p>
      <w:pPr>
        <w:pStyle w:val="60"/>
        <w:ind w:firstLine="420"/>
        <w:rPr>
          <w:color w:val="auto"/>
        </w:rPr>
      </w:pPr>
      <w:r>
        <w:rPr>
          <w:rFonts w:hint="eastAsia"/>
          <w:color w:val="auto"/>
        </w:rPr>
        <w:t>远程控制</w:t>
      </w:r>
      <w:bookmarkEnd w:id="507"/>
      <w:r>
        <w:rPr>
          <w:rFonts w:hint="eastAsia"/>
          <w:color w:val="auto"/>
        </w:rPr>
        <w:t>检测要求如下：</w:t>
      </w:r>
    </w:p>
    <w:p>
      <w:pPr>
        <w:pStyle w:val="178"/>
        <w:numPr>
          <w:ilvl w:val="0"/>
          <w:numId w:val="326"/>
        </w:numPr>
        <w:rPr>
          <w:color w:val="auto"/>
        </w:rPr>
      </w:pPr>
      <w:r>
        <w:rPr>
          <w:rFonts w:hint="eastAsia"/>
          <w:color w:val="auto"/>
        </w:rPr>
        <w:t>检测内容应依据DB11/T 1164.1中AG远程控制功能的要求逐项检测；</w:t>
      </w:r>
    </w:p>
    <w:p>
      <w:pPr>
        <w:pStyle w:val="178"/>
        <w:rPr>
          <w:color w:val="auto"/>
        </w:rPr>
      </w:pPr>
      <w:r>
        <w:rPr>
          <w:rFonts w:hint="eastAsia"/>
          <w:color w:val="auto"/>
        </w:rPr>
        <w:t>检测方法为使用仿真中心系统向受检AG发送控制指令。通过仿真中心系统的记录检测受检AG应正确执行该命令，并上传执行结果。中心系统发送的控制命令</w:t>
      </w:r>
      <w:r>
        <w:rPr>
          <w:rFonts w:hint="eastAsia"/>
          <w:color w:val="auto"/>
          <w:lang w:eastAsia="zh-CN"/>
        </w:rPr>
        <w:t>应符合</w:t>
      </w:r>
      <w:r>
        <w:rPr>
          <w:rFonts w:hint="eastAsia"/>
          <w:color w:val="auto"/>
        </w:rPr>
        <w:t xml:space="preserve">表 21。 </w:t>
      </w:r>
    </w:p>
    <w:p>
      <w:pPr>
        <w:pStyle w:val="116"/>
        <w:spacing w:before="156" w:after="156"/>
        <w:rPr>
          <w:color w:val="auto"/>
        </w:rPr>
      </w:pPr>
      <w:bookmarkStart w:id="508" w:name="_Ref49766752"/>
      <w:bookmarkEnd w:id="508"/>
      <w:bookmarkStart w:id="509" w:name="_Toc449538980"/>
      <w:bookmarkEnd w:id="509"/>
      <w:r>
        <w:rPr>
          <w:rFonts w:hint="eastAsia"/>
          <w:color w:val="auto"/>
        </w:rPr>
        <w:t>控制命令表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6"/>
        <w:gridCol w:w="75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1768" w:type="dxa"/>
            <w:tcBorders>
              <w:top w:val="single" w:color="auto" w:sz="8" w:space="0"/>
              <w:bottom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序号</w:t>
            </w:r>
          </w:p>
        </w:tc>
        <w:tc>
          <w:tcPr>
            <w:tcW w:w="7566" w:type="dxa"/>
            <w:tcBorders>
              <w:top w:val="single" w:color="auto" w:sz="8" w:space="0"/>
              <w:bottom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tcBorders>
              <w:top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w:t>
            </w:r>
          </w:p>
        </w:tc>
        <w:tc>
          <w:tcPr>
            <w:tcW w:w="7566" w:type="dxa"/>
            <w:tcBorders>
              <w:top w:val="single" w:color="auto" w:sz="8" w:space="0"/>
            </w:tcBorders>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开机控制命令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2</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运营结束控制命令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3</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关机控制命令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4</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运营模式控制命令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5</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服务模式控制命令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6</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24小时运营控制命令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7</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延长运营控制命令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8</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通道模式控制命令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9</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扇门工作模式控制命令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10</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强制登出控制命令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11</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强制时钟同步控制命令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12</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参数更新控制命令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8"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13</w:t>
            </w:r>
          </w:p>
        </w:tc>
        <w:tc>
          <w:tcPr>
            <w:tcW w:w="7566" w:type="dxa"/>
            <w:shd w:val="clear" w:color="auto" w:fill="auto"/>
            <w:vAlign w:val="center"/>
          </w:tcPr>
          <w:p>
            <w:pPr>
              <w:spacing w:line="240" w:lineRule="auto"/>
              <w:jc w:val="center"/>
              <w:rPr>
                <w:rFonts w:hint="eastAsia" w:ascii="宋体" w:hAnsi="宋体"/>
                <w:color w:val="auto"/>
                <w:sz w:val="18"/>
                <w:szCs w:val="18"/>
              </w:rPr>
            </w:pPr>
            <w:r>
              <w:rPr>
                <w:rFonts w:hint="eastAsia" w:ascii="宋体" w:hAnsi="宋体"/>
                <w:color w:val="auto"/>
                <w:sz w:val="18"/>
                <w:szCs w:val="18"/>
              </w:rPr>
              <w:t>软件更新控制命令</w:t>
            </w:r>
          </w:p>
        </w:tc>
      </w:tr>
    </w:tbl>
    <w:p>
      <w:pPr>
        <w:pStyle w:val="98"/>
        <w:spacing w:before="156" w:after="156"/>
        <w:rPr>
          <w:color w:val="auto"/>
        </w:rPr>
      </w:pPr>
      <w:r>
        <w:rPr>
          <w:rFonts w:hint="eastAsia"/>
          <w:color w:val="auto"/>
        </w:rPr>
        <w:t>紧急按钮联动检测</w:t>
      </w:r>
    </w:p>
    <w:p>
      <w:pPr>
        <w:pStyle w:val="60"/>
        <w:ind w:firstLine="420"/>
        <w:rPr>
          <w:color w:val="auto"/>
        </w:rPr>
      </w:pPr>
      <w:r>
        <w:rPr>
          <w:rFonts w:hint="eastAsia"/>
          <w:color w:val="auto"/>
        </w:rPr>
        <w:t>紧急按钮联动检测要求如下：</w:t>
      </w:r>
    </w:p>
    <w:p>
      <w:pPr>
        <w:pStyle w:val="178"/>
        <w:numPr>
          <w:ilvl w:val="0"/>
          <w:numId w:val="327"/>
        </w:numPr>
        <w:rPr>
          <w:color w:val="auto"/>
        </w:rPr>
      </w:pPr>
      <w:r>
        <w:rPr>
          <w:rFonts w:hint="eastAsia"/>
          <w:color w:val="auto"/>
        </w:rPr>
        <w:t>检测内容应依据DB11/T 1164.1消防自动化系统/紧急按钮控制功能的要求逐项检测；</w:t>
      </w:r>
    </w:p>
    <w:p>
      <w:pPr>
        <w:pStyle w:val="178"/>
        <w:rPr>
          <w:color w:val="auto"/>
        </w:rPr>
      </w:pPr>
      <w:r>
        <w:rPr>
          <w:rFonts w:hint="eastAsia"/>
          <w:color w:val="auto"/>
        </w:rPr>
        <w:t>检测方法为使用仿真紧急按钮控制AG，查看闸机扇门是否打开，顶棚导向标识是否显示出站。当紧急按钮结束紧急模式时，查看闸机扇门是否关闭，顶棚导向标识是否与闸机方向指示器一致。</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设备参数同步时间检测</w:t>
      </w:r>
    </w:p>
    <w:p>
      <w:pPr>
        <w:pStyle w:val="60"/>
        <w:ind w:firstLine="420"/>
        <w:rPr>
          <w:color w:val="auto"/>
        </w:rPr>
      </w:pPr>
      <w:r>
        <w:rPr>
          <w:rFonts w:hint="eastAsia"/>
          <w:color w:val="auto"/>
        </w:rPr>
        <w:t>设备参数同步时间检测要求如下：</w:t>
      </w:r>
    </w:p>
    <w:p>
      <w:pPr>
        <w:pStyle w:val="178"/>
        <w:numPr>
          <w:ilvl w:val="0"/>
          <w:numId w:val="328"/>
        </w:numPr>
        <w:rPr>
          <w:color w:val="auto"/>
        </w:rPr>
      </w:pPr>
      <w:r>
        <w:rPr>
          <w:rFonts w:hint="eastAsia"/>
          <w:color w:val="auto"/>
        </w:rPr>
        <w:t>检测内容为受检AG成功完成参数同步的时间；</w:t>
      </w:r>
    </w:p>
    <w:p>
      <w:pPr>
        <w:pStyle w:val="178"/>
        <w:rPr>
          <w:color w:val="auto"/>
        </w:rPr>
      </w:pPr>
      <w:r>
        <w:rPr>
          <w:rFonts w:hint="eastAsia"/>
          <w:color w:val="auto"/>
        </w:rPr>
        <w:t>检测方法为使用仿真中心系统向受检AG下发参数。通过仿真中心系统的记录检测受检AG完成参数同步的时间。</w:t>
      </w:r>
    </w:p>
    <w:p>
      <w:pPr>
        <w:pStyle w:val="98"/>
        <w:spacing w:before="156" w:after="156"/>
        <w:rPr>
          <w:color w:val="auto"/>
        </w:rPr>
      </w:pPr>
      <w:r>
        <w:rPr>
          <w:rFonts w:hint="eastAsia"/>
          <w:color w:val="auto"/>
        </w:rPr>
        <w:t>设备执行控制指令时间检测</w:t>
      </w:r>
    </w:p>
    <w:p>
      <w:pPr>
        <w:pStyle w:val="60"/>
        <w:ind w:firstLine="420"/>
        <w:rPr>
          <w:color w:val="auto"/>
        </w:rPr>
      </w:pPr>
      <w:r>
        <w:rPr>
          <w:rFonts w:hint="eastAsia"/>
          <w:color w:val="auto"/>
        </w:rPr>
        <w:t>设备执行控制指令时间检测要求如下：</w:t>
      </w:r>
    </w:p>
    <w:p>
      <w:pPr>
        <w:pStyle w:val="178"/>
        <w:numPr>
          <w:ilvl w:val="0"/>
          <w:numId w:val="329"/>
        </w:numPr>
        <w:rPr>
          <w:color w:val="auto"/>
        </w:rPr>
      </w:pPr>
      <w:r>
        <w:rPr>
          <w:rFonts w:hint="eastAsia"/>
          <w:color w:val="auto"/>
        </w:rPr>
        <w:t>检测内容为中心系统下发控制指令开始到受检AG成功执行控制指令的时间间隔；</w:t>
      </w:r>
    </w:p>
    <w:p>
      <w:pPr>
        <w:pStyle w:val="178"/>
        <w:rPr>
          <w:color w:val="auto"/>
        </w:rPr>
      </w:pPr>
      <w:r>
        <w:rPr>
          <w:rFonts w:hint="eastAsia"/>
          <w:color w:val="auto"/>
        </w:rPr>
        <w:t>检测方法为使用仿真中心系统向受检AG发送控制命令。通过仿真中心系统的记录检测受检AG接收到控制命令并将执行结果上传至仿真中心系统的时间间隔。</w:t>
      </w:r>
    </w:p>
    <w:p>
      <w:pPr>
        <w:pStyle w:val="98"/>
        <w:spacing w:before="156" w:after="156"/>
        <w:rPr>
          <w:color w:val="auto"/>
        </w:rPr>
      </w:pPr>
      <w:r>
        <w:rPr>
          <w:rFonts w:hint="eastAsia"/>
          <w:color w:val="auto"/>
        </w:rPr>
        <w:t>通行率检测</w:t>
      </w:r>
    </w:p>
    <w:p>
      <w:pPr>
        <w:pStyle w:val="60"/>
        <w:ind w:firstLine="420"/>
        <w:rPr>
          <w:color w:val="auto"/>
        </w:rPr>
      </w:pPr>
      <w:r>
        <w:rPr>
          <w:rFonts w:hint="eastAsia"/>
          <w:color w:val="auto"/>
        </w:rPr>
        <w:t>通行率检测要求如下：</w:t>
      </w:r>
    </w:p>
    <w:p>
      <w:pPr>
        <w:pStyle w:val="178"/>
        <w:numPr>
          <w:ilvl w:val="0"/>
          <w:numId w:val="330"/>
        </w:numPr>
        <w:rPr>
          <w:color w:val="auto"/>
        </w:rPr>
      </w:pPr>
      <w:r>
        <w:rPr>
          <w:rFonts w:hint="eastAsia"/>
          <w:color w:val="auto"/>
        </w:rPr>
        <w:t>检测内容为受检设备的通行能力应符合DB11/T 1164.7自动检票机的通行率要求；</w:t>
      </w:r>
    </w:p>
    <w:p>
      <w:pPr>
        <w:pStyle w:val="178"/>
        <w:rPr>
          <w:color w:val="auto"/>
        </w:rPr>
      </w:pPr>
      <w:r>
        <w:rPr>
          <w:rFonts w:hint="eastAsia"/>
          <w:color w:val="auto"/>
        </w:rPr>
        <w:t>检测方法应使用定制闸机检测设备在受检设备上连续投入车票或刷票或刷二维码，并模拟乘客以1.5米/秒的步速通过闸机。计算正常处理车票的张数与通过时间的比值。</w:t>
      </w:r>
    </w:p>
    <w:p>
      <w:pPr>
        <w:pStyle w:val="98"/>
        <w:spacing w:before="156" w:after="156"/>
        <w:rPr>
          <w:color w:val="auto"/>
        </w:rPr>
      </w:pPr>
      <w:r>
        <w:rPr>
          <w:rFonts w:hint="eastAsia"/>
          <w:color w:val="auto"/>
        </w:rPr>
        <w:t>尾随距离检测</w:t>
      </w:r>
    </w:p>
    <w:p>
      <w:pPr>
        <w:pStyle w:val="60"/>
        <w:ind w:firstLine="420"/>
        <w:rPr>
          <w:color w:val="auto"/>
        </w:rPr>
      </w:pPr>
      <w:r>
        <w:rPr>
          <w:rFonts w:hint="eastAsia"/>
          <w:color w:val="auto"/>
        </w:rPr>
        <w:t>尾随距离检测要求如下：</w:t>
      </w:r>
    </w:p>
    <w:p>
      <w:pPr>
        <w:pStyle w:val="178"/>
        <w:numPr>
          <w:ilvl w:val="0"/>
          <w:numId w:val="331"/>
        </w:numPr>
        <w:rPr>
          <w:color w:val="auto"/>
        </w:rPr>
      </w:pPr>
      <w:r>
        <w:rPr>
          <w:rFonts w:hint="eastAsia"/>
          <w:color w:val="auto"/>
        </w:rPr>
        <w:t>检测内容为受检设备的尾随距离应符合DB11/T 1164.7自动检票机的尾随距离要求；</w:t>
      </w:r>
    </w:p>
    <w:p>
      <w:pPr>
        <w:pStyle w:val="178"/>
        <w:rPr>
          <w:color w:val="auto"/>
        </w:rPr>
      </w:pPr>
      <w:r>
        <w:rPr>
          <w:rFonts w:hint="eastAsia"/>
          <w:color w:val="auto"/>
        </w:rPr>
        <w:t>检测方法应使用定制检测工具进行检测。</w:t>
      </w:r>
    </w:p>
    <w:p>
      <w:pPr>
        <w:pStyle w:val="98"/>
        <w:spacing w:before="156" w:after="156"/>
        <w:rPr>
          <w:color w:val="auto"/>
        </w:rPr>
      </w:pPr>
      <w:r>
        <w:rPr>
          <w:rFonts w:hint="eastAsia"/>
          <w:color w:val="auto"/>
        </w:rPr>
        <w:t>票卡读写距离检测</w:t>
      </w:r>
    </w:p>
    <w:p>
      <w:pPr>
        <w:pStyle w:val="60"/>
        <w:ind w:firstLine="420"/>
        <w:rPr>
          <w:color w:val="auto"/>
        </w:rPr>
      </w:pPr>
      <w:r>
        <w:rPr>
          <w:rFonts w:hint="eastAsia"/>
          <w:color w:val="auto"/>
        </w:rPr>
        <w:t>票卡读写距离检测要求如下：</w:t>
      </w:r>
    </w:p>
    <w:p>
      <w:pPr>
        <w:pStyle w:val="178"/>
        <w:numPr>
          <w:ilvl w:val="0"/>
          <w:numId w:val="332"/>
        </w:numPr>
        <w:rPr>
          <w:color w:val="auto"/>
        </w:rPr>
      </w:pPr>
      <w:r>
        <w:rPr>
          <w:rFonts w:hint="eastAsia"/>
          <w:color w:val="auto"/>
        </w:rPr>
        <w:t>检测内容为受检设备的票卡读写距离应符合DB11/T 1164.7自动检票机的票卡读写距离要求；</w:t>
      </w:r>
    </w:p>
    <w:p>
      <w:pPr>
        <w:pStyle w:val="178"/>
        <w:rPr>
          <w:color w:val="auto"/>
        </w:rPr>
      </w:pPr>
      <w:r>
        <w:rPr>
          <w:rFonts w:hint="eastAsia"/>
          <w:color w:val="auto"/>
        </w:rPr>
        <w:t>检测方法应使用定制检测设备进行检测。</w:t>
      </w:r>
    </w:p>
    <w:p>
      <w:pPr>
        <w:pStyle w:val="98"/>
        <w:spacing w:before="156" w:after="156"/>
        <w:rPr>
          <w:color w:val="auto"/>
        </w:rPr>
      </w:pPr>
      <w:r>
        <w:rPr>
          <w:rFonts w:hint="eastAsia"/>
          <w:color w:val="auto"/>
        </w:rPr>
        <w:t>二维码扫描距离检测</w:t>
      </w:r>
    </w:p>
    <w:p>
      <w:pPr>
        <w:pStyle w:val="60"/>
        <w:ind w:firstLine="420"/>
        <w:rPr>
          <w:color w:val="auto"/>
        </w:rPr>
      </w:pPr>
      <w:r>
        <w:rPr>
          <w:rFonts w:hint="eastAsia"/>
          <w:color w:val="auto"/>
        </w:rPr>
        <w:t>二维码扫描距离检测要求如下：</w:t>
      </w:r>
    </w:p>
    <w:p>
      <w:pPr>
        <w:pStyle w:val="178"/>
        <w:numPr>
          <w:ilvl w:val="0"/>
          <w:numId w:val="333"/>
        </w:numPr>
        <w:rPr>
          <w:color w:val="auto"/>
        </w:rPr>
      </w:pPr>
      <w:r>
        <w:rPr>
          <w:rFonts w:hint="eastAsia"/>
          <w:color w:val="auto"/>
        </w:rPr>
        <w:t>检测内容为受检设备的二维码扫描距离应符合DB11/T 1164.7自动检票机的二维码扫描距离要求；</w:t>
      </w:r>
    </w:p>
    <w:p>
      <w:pPr>
        <w:pStyle w:val="178"/>
        <w:rPr>
          <w:color w:val="auto"/>
        </w:rPr>
      </w:pPr>
      <w:r>
        <w:rPr>
          <w:rFonts w:hint="eastAsia"/>
          <w:color w:val="auto"/>
        </w:rPr>
        <w:t>检测方法应使用定制检测设备进行检测。</w:t>
      </w:r>
    </w:p>
    <w:p>
      <w:pPr>
        <w:pStyle w:val="109"/>
        <w:spacing w:before="156" w:after="156"/>
        <w:rPr>
          <w:color w:val="auto"/>
        </w:rPr>
      </w:pPr>
      <w:bookmarkStart w:id="510" w:name="OLE_LINK21"/>
      <w:bookmarkEnd w:id="510"/>
      <w:bookmarkStart w:id="511" w:name="_Toc30259"/>
      <w:r>
        <w:rPr>
          <w:rFonts w:hint="eastAsia"/>
          <w:color w:val="auto"/>
        </w:rPr>
        <w:t>互联网自动售票机检测</w:t>
      </w:r>
      <w:bookmarkEnd w:id="511"/>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334"/>
        </w:numPr>
        <w:rPr>
          <w:color w:val="auto"/>
        </w:rPr>
      </w:pPr>
      <w:r>
        <w:rPr>
          <w:rFonts w:hint="eastAsia"/>
          <w:color w:val="auto"/>
        </w:rPr>
        <w:t>检测内容应依据DB11/T 1164.7互联网自动售票机的外观与结构要求逐项检测；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装配检测</w:t>
      </w:r>
    </w:p>
    <w:p>
      <w:pPr>
        <w:pStyle w:val="60"/>
        <w:ind w:firstLine="420"/>
        <w:rPr>
          <w:color w:val="auto"/>
        </w:rPr>
      </w:pPr>
      <w:r>
        <w:rPr>
          <w:rFonts w:hint="eastAsia"/>
          <w:color w:val="auto"/>
        </w:rPr>
        <w:t>装配检测要求如下：</w:t>
      </w:r>
    </w:p>
    <w:p>
      <w:pPr>
        <w:pStyle w:val="178"/>
        <w:numPr>
          <w:ilvl w:val="0"/>
          <w:numId w:val="335"/>
        </w:numPr>
        <w:rPr>
          <w:color w:val="auto"/>
        </w:rPr>
      </w:pPr>
      <w:r>
        <w:rPr>
          <w:rFonts w:hint="eastAsia"/>
          <w:color w:val="auto"/>
        </w:rPr>
        <w:t>检测内容应依据DB11/T 1164.7互联网自动售票机的装配要求逐项检测；</w:t>
      </w:r>
    </w:p>
    <w:p>
      <w:pPr>
        <w:pStyle w:val="178"/>
        <w:rPr>
          <w:color w:val="auto"/>
        </w:rPr>
      </w:pPr>
      <w:r>
        <w:rPr>
          <w:rFonts w:hint="eastAsia"/>
          <w:color w:val="auto"/>
        </w:rPr>
        <w:t>检测方法应</w:t>
      </w:r>
      <w:r>
        <w:rPr>
          <w:rFonts w:hint="eastAsia"/>
          <w:bCs/>
          <w:color w:val="auto"/>
        </w:rPr>
        <w:t>使用目测的方法进行检测。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336"/>
        </w:numPr>
        <w:rPr>
          <w:color w:val="auto"/>
        </w:rPr>
      </w:pPr>
      <w:r>
        <w:rPr>
          <w:rFonts w:hint="eastAsia"/>
          <w:color w:val="auto"/>
        </w:rPr>
        <w:t>检测内容应依据DB11/T 1164.7互联网自动售票机的硬件配置要求逐项检测；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337"/>
        </w:numPr>
        <w:rPr>
          <w:color w:val="auto"/>
        </w:rPr>
      </w:pPr>
      <w:r>
        <w:rPr>
          <w:rFonts w:hint="eastAsia"/>
          <w:color w:val="auto"/>
        </w:rPr>
        <w:t>检测内容应依据DB11/T 1164.7互联网自动售票机的软件件配置要求逐项检测；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338"/>
        </w:numPr>
        <w:rPr>
          <w:color w:val="auto"/>
        </w:rPr>
      </w:pPr>
      <w:r>
        <w:rPr>
          <w:rFonts w:hint="eastAsia"/>
          <w:color w:val="auto"/>
        </w:rPr>
        <w:t>检测内容应依据DB11/T 1164.7互联网自动售票机的接口要求逐项检测；</w:t>
      </w:r>
    </w:p>
    <w:p>
      <w:pPr>
        <w:pStyle w:val="178"/>
        <w:rPr>
          <w:color w:val="auto"/>
        </w:rPr>
      </w:pPr>
      <w:r>
        <w:rPr>
          <w:rFonts w:hint="eastAsia"/>
          <w:color w:val="auto"/>
        </w:rPr>
        <w:t>检测方法应使用仿真系统/仿真工具模拟中心系统/专用模块进行检测。</w:t>
      </w:r>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售票检测</w:t>
      </w:r>
    </w:p>
    <w:p>
      <w:pPr>
        <w:pStyle w:val="60"/>
        <w:ind w:firstLine="420"/>
        <w:rPr>
          <w:color w:val="auto"/>
        </w:rPr>
      </w:pPr>
      <w:r>
        <w:rPr>
          <w:rFonts w:hint="eastAsia"/>
          <w:color w:val="auto"/>
        </w:rPr>
        <w:t>售票检测要求如下：</w:t>
      </w:r>
    </w:p>
    <w:p>
      <w:pPr>
        <w:pStyle w:val="178"/>
        <w:numPr>
          <w:ilvl w:val="0"/>
          <w:numId w:val="339"/>
        </w:numPr>
        <w:rPr>
          <w:color w:val="auto"/>
        </w:rPr>
      </w:pPr>
      <w:r>
        <w:rPr>
          <w:rFonts w:hint="eastAsia"/>
          <w:color w:val="auto"/>
        </w:rPr>
        <w:t>检测内容应依据DB11/T 1164.1中ITVM业务处理中售票业务的要求逐项检测；</w:t>
      </w:r>
    </w:p>
    <w:p>
      <w:pPr>
        <w:pStyle w:val="178"/>
        <w:rPr>
          <w:color w:val="auto"/>
        </w:rPr>
      </w:pPr>
      <w:r>
        <w:rPr>
          <w:rFonts w:hint="eastAsia"/>
          <w:color w:val="auto"/>
        </w:rPr>
        <w:t>检测方法应在受检ITVM上发售一票通发行的单程票，通过仿真中心系统的记录检测受检ITVM产生售票数据的正确性。</w:t>
      </w:r>
    </w:p>
    <w:p>
      <w:pPr>
        <w:pStyle w:val="98"/>
        <w:spacing w:before="156" w:after="156"/>
        <w:rPr>
          <w:color w:val="auto"/>
        </w:rPr>
      </w:pPr>
      <w:r>
        <w:rPr>
          <w:rFonts w:hint="eastAsia"/>
          <w:color w:val="auto"/>
        </w:rPr>
        <w:t>充值检测</w:t>
      </w:r>
    </w:p>
    <w:p>
      <w:pPr>
        <w:pStyle w:val="60"/>
        <w:ind w:firstLine="420"/>
        <w:rPr>
          <w:color w:val="auto"/>
        </w:rPr>
      </w:pPr>
      <w:r>
        <w:rPr>
          <w:rFonts w:hint="eastAsia"/>
          <w:color w:val="auto"/>
        </w:rPr>
        <w:t>充值检测要求如下：</w:t>
      </w:r>
    </w:p>
    <w:p>
      <w:pPr>
        <w:pStyle w:val="178"/>
        <w:numPr>
          <w:ilvl w:val="0"/>
          <w:numId w:val="340"/>
        </w:numPr>
        <w:rPr>
          <w:color w:val="auto"/>
        </w:rPr>
      </w:pPr>
      <w:r>
        <w:rPr>
          <w:rFonts w:hint="eastAsia"/>
          <w:color w:val="auto"/>
        </w:rPr>
        <w:t>检测内容应依据DB11/T 1164.1中ITVM业务处理中充值业务的要求逐项检测；</w:t>
      </w:r>
    </w:p>
    <w:p>
      <w:pPr>
        <w:pStyle w:val="178"/>
        <w:rPr>
          <w:color w:val="auto"/>
        </w:rPr>
      </w:pPr>
      <w:r>
        <w:rPr>
          <w:rFonts w:hint="eastAsia"/>
          <w:color w:val="auto"/>
        </w:rPr>
        <w:t>检测方法应在受检ITVM上对一卡通发行的允许充值的一卡通卡进行充值操作，通过仿真中心系统的记录检测受检ITVM产生充值数据的正确性。</w:t>
      </w:r>
    </w:p>
    <w:p>
      <w:pPr>
        <w:pStyle w:val="98"/>
        <w:spacing w:before="156" w:after="156"/>
        <w:rPr>
          <w:color w:val="auto"/>
        </w:rPr>
      </w:pPr>
      <w:r>
        <w:rPr>
          <w:rFonts w:hint="eastAsia"/>
          <w:color w:val="auto"/>
        </w:rPr>
        <w:t>运营开始检测</w:t>
      </w:r>
    </w:p>
    <w:p>
      <w:pPr>
        <w:pStyle w:val="60"/>
        <w:ind w:firstLine="420"/>
        <w:rPr>
          <w:color w:val="auto"/>
        </w:rPr>
      </w:pPr>
      <w:r>
        <w:rPr>
          <w:rFonts w:hint="eastAsia"/>
          <w:color w:val="auto"/>
        </w:rPr>
        <w:t>运营开始检测要求如下：</w:t>
      </w:r>
    </w:p>
    <w:p>
      <w:pPr>
        <w:pStyle w:val="178"/>
        <w:numPr>
          <w:ilvl w:val="0"/>
          <w:numId w:val="341"/>
        </w:numPr>
        <w:rPr>
          <w:color w:val="auto"/>
        </w:rPr>
      </w:pPr>
      <w:r>
        <w:rPr>
          <w:rFonts w:hint="eastAsia"/>
          <w:color w:val="auto"/>
        </w:rPr>
        <w:t>检测内容应依据DB11/T 1164.1中ITVM运营开始功能的要求逐项检测；</w:t>
      </w:r>
    </w:p>
    <w:p>
      <w:pPr>
        <w:pStyle w:val="178"/>
        <w:rPr>
          <w:color w:val="auto"/>
        </w:rPr>
      </w:pPr>
      <w:r>
        <w:rPr>
          <w:rFonts w:hint="eastAsia"/>
          <w:color w:val="auto"/>
        </w:rPr>
        <w:t>检测方法要求如下：</w:t>
      </w:r>
    </w:p>
    <w:p>
      <w:pPr>
        <w:pStyle w:val="113"/>
        <w:numPr>
          <w:ilvl w:val="1"/>
          <w:numId w:val="342"/>
        </w:numPr>
        <w:rPr>
          <w:color w:val="auto"/>
        </w:rPr>
      </w:pPr>
      <w:r>
        <w:rPr>
          <w:rFonts w:hint="eastAsia"/>
          <w:color w:val="auto"/>
        </w:rPr>
        <w:t>通过手动、设置参数或由仿真中心系统下发命令的方式使受检ITVM进行运营开始操作，通过仿真系统的记录检测受检ITVM的处理应符合DB11/T 1164.1、DB11/T 1164.2和DB11/T 1164.3有关运营开始的规定；</w:t>
      </w:r>
    </w:p>
    <w:p>
      <w:pPr>
        <w:pStyle w:val="113"/>
        <w:rPr>
          <w:color w:val="auto"/>
        </w:rPr>
      </w:pPr>
      <w:r>
        <w:rPr>
          <w:rFonts w:hint="eastAsia"/>
          <w:color w:val="auto"/>
        </w:rPr>
        <w:t>在受检ITVM上手动设置运营开始指令，通过仿真系统的记录检测受检ITVM的处理应符合DB11/T 1164.1、DB11/T 1164.2和DB11/T 1164.3有关运营开始的规定。</w:t>
      </w:r>
    </w:p>
    <w:p>
      <w:pPr>
        <w:pStyle w:val="98"/>
        <w:spacing w:before="156" w:after="156"/>
        <w:rPr>
          <w:color w:val="auto"/>
        </w:rPr>
      </w:pPr>
      <w:r>
        <w:rPr>
          <w:rFonts w:hint="eastAsia"/>
          <w:color w:val="auto"/>
        </w:rPr>
        <w:t>运营结束检测</w:t>
      </w:r>
    </w:p>
    <w:p>
      <w:pPr>
        <w:pStyle w:val="60"/>
        <w:ind w:firstLine="420"/>
        <w:rPr>
          <w:color w:val="auto"/>
        </w:rPr>
      </w:pPr>
      <w:r>
        <w:rPr>
          <w:rFonts w:hint="eastAsia"/>
          <w:color w:val="auto"/>
        </w:rPr>
        <w:t>运营结束检测要求如下：</w:t>
      </w:r>
    </w:p>
    <w:p>
      <w:pPr>
        <w:pStyle w:val="178"/>
        <w:numPr>
          <w:ilvl w:val="0"/>
          <w:numId w:val="343"/>
        </w:numPr>
        <w:rPr>
          <w:color w:val="auto"/>
        </w:rPr>
      </w:pPr>
      <w:r>
        <w:rPr>
          <w:rFonts w:hint="eastAsia"/>
          <w:color w:val="auto"/>
        </w:rPr>
        <w:t>检测内容应依据DB11/T 1164.1中ITVM运营结束功能的要求逐项检测；</w:t>
      </w:r>
    </w:p>
    <w:p>
      <w:pPr>
        <w:pStyle w:val="178"/>
        <w:rPr>
          <w:color w:val="auto"/>
        </w:rPr>
      </w:pPr>
      <w:r>
        <w:rPr>
          <w:rFonts w:hint="eastAsia"/>
          <w:color w:val="auto"/>
        </w:rPr>
        <w:t>检测方法要求如下：</w:t>
      </w:r>
    </w:p>
    <w:p>
      <w:pPr>
        <w:pStyle w:val="113"/>
        <w:numPr>
          <w:ilvl w:val="1"/>
          <w:numId w:val="344"/>
        </w:numPr>
        <w:rPr>
          <w:color w:val="auto"/>
        </w:rPr>
      </w:pPr>
      <w:r>
        <w:rPr>
          <w:rFonts w:hint="eastAsia"/>
          <w:color w:val="auto"/>
        </w:rPr>
        <w:t>通过手动、设置参数或由仿真中心系统下发命令的方式使受检ITVM进行运营结束操作，通过仿真系统的记录检测受检ITVM的处理应符合DB11/T 1164.1、DB11/T 1164.2和DB11/T 1164.3有关运营结束的规定；</w:t>
      </w:r>
    </w:p>
    <w:p>
      <w:pPr>
        <w:pStyle w:val="113"/>
        <w:rPr>
          <w:color w:val="auto"/>
        </w:rPr>
      </w:pPr>
      <w:r>
        <w:rPr>
          <w:rFonts w:hint="eastAsia"/>
          <w:color w:val="auto"/>
        </w:rPr>
        <w:t>在受检ITVM上手动设置运营开始指令，通过仿真系统的记录检测受检ITVM的处理应符合DB11/T 1164.1、DB11/T 1164.2和DB11/T 1164.3有关运营结束的规定。</w:t>
      </w:r>
    </w:p>
    <w:p>
      <w:pPr>
        <w:pStyle w:val="98"/>
        <w:spacing w:before="156" w:after="156"/>
        <w:rPr>
          <w:color w:val="auto"/>
        </w:rPr>
      </w:pPr>
      <w:r>
        <w:rPr>
          <w:rFonts w:hint="eastAsia"/>
          <w:color w:val="auto"/>
        </w:rPr>
        <w:t>执行运行时间表检测</w:t>
      </w:r>
    </w:p>
    <w:p>
      <w:pPr>
        <w:pStyle w:val="60"/>
        <w:ind w:firstLine="420"/>
        <w:rPr>
          <w:color w:val="auto"/>
        </w:rPr>
      </w:pPr>
      <w:r>
        <w:rPr>
          <w:rFonts w:hint="eastAsia"/>
          <w:color w:val="auto"/>
        </w:rPr>
        <w:t>执行运行时间表检测要求如下：</w:t>
      </w:r>
    </w:p>
    <w:p>
      <w:pPr>
        <w:pStyle w:val="178"/>
        <w:numPr>
          <w:ilvl w:val="0"/>
          <w:numId w:val="345"/>
        </w:numPr>
        <w:rPr>
          <w:color w:val="auto"/>
        </w:rPr>
      </w:pPr>
      <w:r>
        <w:rPr>
          <w:rFonts w:hint="eastAsia"/>
          <w:color w:val="auto"/>
        </w:rPr>
        <w:t>检测内容应依据DB11/T 1164.1中ITVM执行运行时间表功能的要求逐项检测；</w:t>
      </w:r>
    </w:p>
    <w:p>
      <w:pPr>
        <w:pStyle w:val="178"/>
        <w:rPr>
          <w:color w:val="auto"/>
        </w:rPr>
      </w:pPr>
      <w:r>
        <w:rPr>
          <w:rFonts w:hint="eastAsia"/>
          <w:color w:val="auto"/>
        </w:rPr>
        <w:t>检测方法要求如下：</w:t>
      </w:r>
    </w:p>
    <w:p>
      <w:pPr>
        <w:pStyle w:val="113"/>
        <w:numPr>
          <w:ilvl w:val="1"/>
          <w:numId w:val="346"/>
        </w:numPr>
        <w:rPr>
          <w:color w:val="auto"/>
        </w:rPr>
      </w:pPr>
      <w:r>
        <w:rPr>
          <w:rFonts w:hint="eastAsia"/>
          <w:color w:val="auto"/>
        </w:rPr>
        <w:t>使用仿真中心系统向受检ITVM下发运行时间表参数，检测受检ITVM的处理应符合DB11/T 1164.1、DB11/T 1164.2和DB11/T 1164.3有关运行时间表的规定；</w:t>
      </w:r>
    </w:p>
    <w:p>
      <w:pPr>
        <w:pStyle w:val="113"/>
        <w:rPr>
          <w:color w:val="auto"/>
        </w:rPr>
      </w:pPr>
      <w:r>
        <w:rPr>
          <w:rFonts w:hint="eastAsia"/>
          <w:color w:val="auto"/>
        </w:rPr>
        <w:t>在受检ITVM上导入运行时间表，检测受检ITVM的处理应符合DB11/T 1164.1、DB11/T 1164.2和DB11/T 1164.3有关运行时间表的规定。</w:t>
      </w:r>
    </w:p>
    <w:p>
      <w:pPr>
        <w:pStyle w:val="98"/>
        <w:spacing w:before="156" w:after="156"/>
        <w:rPr>
          <w:color w:val="auto"/>
        </w:rPr>
      </w:pPr>
      <w:r>
        <w:rPr>
          <w:rFonts w:hint="eastAsia"/>
          <w:color w:val="auto"/>
        </w:rPr>
        <w:t>时钟同步检测</w:t>
      </w:r>
    </w:p>
    <w:p>
      <w:pPr>
        <w:pStyle w:val="60"/>
        <w:ind w:firstLine="420"/>
        <w:rPr>
          <w:color w:val="auto"/>
        </w:rPr>
      </w:pPr>
      <w:r>
        <w:rPr>
          <w:rFonts w:hint="eastAsia"/>
          <w:color w:val="auto"/>
        </w:rPr>
        <w:t>时钟同步检测要求如下：</w:t>
      </w:r>
    </w:p>
    <w:p>
      <w:pPr>
        <w:pStyle w:val="178"/>
        <w:numPr>
          <w:ilvl w:val="0"/>
          <w:numId w:val="347"/>
        </w:numPr>
        <w:rPr>
          <w:color w:val="auto"/>
        </w:rPr>
      </w:pPr>
      <w:r>
        <w:rPr>
          <w:rFonts w:hint="eastAsia"/>
          <w:color w:val="auto"/>
        </w:rPr>
        <w:t>检测内容应依据DB11/T 1164.1中ITVM时钟同步功能的要求逐项检测；</w:t>
      </w:r>
    </w:p>
    <w:p>
      <w:pPr>
        <w:pStyle w:val="178"/>
        <w:rPr>
          <w:color w:val="auto"/>
        </w:rPr>
      </w:pPr>
      <w:r>
        <w:rPr>
          <w:rFonts w:hint="eastAsia"/>
          <w:color w:val="auto"/>
        </w:rPr>
        <w:t>自动时钟同步检测方法要求如下：</w:t>
      </w:r>
    </w:p>
    <w:p>
      <w:pPr>
        <w:pStyle w:val="113"/>
        <w:numPr>
          <w:ilvl w:val="1"/>
          <w:numId w:val="348"/>
        </w:numPr>
        <w:rPr>
          <w:color w:val="auto"/>
        </w:rPr>
      </w:pPr>
      <w:r>
        <w:rPr>
          <w:rFonts w:hint="eastAsia"/>
          <w:color w:val="auto"/>
        </w:rPr>
        <w:t>使用仿真中心系统下发时钟同步间隔参数至受检ITVM；</w:t>
      </w:r>
    </w:p>
    <w:p>
      <w:pPr>
        <w:pStyle w:val="113"/>
        <w:rPr>
          <w:color w:val="auto"/>
        </w:rPr>
      </w:pPr>
      <w:r>
        <w:rPr>
          <w:rFonts w:hint="eastAsia"/>
          <w:color w:val="auto"/>
        </w:rPr>
        <w:t>通过设置受检ITVM的时钟与仿真中心系统的时钟的差异，观察受检ITVM的处理应符合DB11/T 1164.1、DB11/T 1164.2和DB11/T 1164.3有关时钟同步的规定。</w:t>
      </w:r>
    </w:p>
    <w:p>
      <w:pPr>
        <w:pStyle w:val="178"/>
        <w:rPr>
          <w:color w:val="auto"/>
        </w:rPr>
      </w:pPr>
      <w:r>
        <w:rPr>
          <w:rFonts w:hint="eastAsia"/>
          <w:color w:val="auto"/>
        </w:rPr>
        <w:t>强制时钟同步检测方法要求如下：</w:t>
      </w:r>
    </w:p>
    <w:p>
      <w:pPr>
        <w:pStyle w:val="113"/>
        <w:numPr>
          <w:ilvl w:val="1"/>
          <w:numId w:val="349"/>
        </w:numPr>
        <w:rPr>
          <w:color w:val="auto"/>
        </w:rPr>
      </w:pPr>
      <w:r>
        <w:rPr>
          <w:rFonts w:hint="eastAsia"/>
          <w:color w:val="auto"/>
        </w:rPr>
        <w:t>使用仿真中心系统下发强制时钟同步命令，观察受检ITVM的强制时钟同步处理应正确；</w:t>
      </w:r>
    </w:p>
    <w:p>
      <w:pPr>
        <w:pStyle w:val="113"/>
        <w:rPr>
          <w:color w:val="auto"/>
        </w:rPr>
      </w:pPr>
      <w:r>
        <w:rPr>
          <w:rFonts w:hint="eastAsia"/>
          <w:color w:val="auto"/>
        </w:rPr>
        <w:t>通过仿真中心系统的记录检测受检ITVM上传的同步结果数据应正确。</w:t>
      </w:r>
    </w:p>
    <w:p>
      <w:pPr>
        <w:pStyle w:val="98"/>
        <w:spacing w:before="156" w:after="156"/>
        <w:rPr>
          <w:color w:val="auto"/>
        </w:rPr>
      </w:pPr>
      <w:r>
        <w:rPr>
          <w:rFonts w:hint="eastAsia"/>
          <w:color w:val="auto"/>
        </w:rPr>
        <w:t>操作员登录登出检测</w:t>
      </w:r>
    </w:p>
    <w:p>
      <w:pPr>
        <w:pStyle w:val="60"/>
        <w:ind w:firstLine="420"/>
        <w:rPr>
          <w:color w:val="auto"/>
        </w:rPr>
      </w:pPr>
      <w:r>
        <w:rPr>
          <w:rFonts w:hint="eastAsia"/>
          <w:color w:val="auto"/>
        </w:rPr>
        <w:t>操作员登录登出检测要求如下：</w:t>
      </w:r>
    </w:p>
    <w:p>
      <w:pPr>
        <w:pStyle w:val="178"/>
        <w:numPr>
          <w:ilvl w:val="0"/>
          <w:numId w:val="350"/>
        </w:numPr>
        <w:rPr>
          <w:color w:val="auto"/>
        </w:rPr>
      </w:pPr>
      <w:r>
        <w:rPr>
          <w:rFonts w:hint="eastAsia"/>
          <w:color w:val="auto"/>
        </w:rPr>
        <w:t>检测内容应依据DB11/T 1164.1中ITVM操作员登录登出功能的要求逐项检测；</w:t>
      </w:r>
    </w:p>
    <w:p>
      <w:pPr>
        <w:pStyle w:val="178"/>
        <w:rPr>
          <w:color w:val="auto"/>
        </w:rPr>
      </w:pPr>
      <w:r>
        <w:rPr>
          <w:rFonts w:hint="eastAsia"/>
          <w:color w:val="auto"/>
        </w:rPr>
        <w:t>检测方法要求如下：</w:t>
      </w:r>
    </w:p>
    <w:p>
      <w:pPr>
        <w:pStyle w:val="113"/>
        <w:numPr>
          <w:ilvl w:val="1"/>
          <w:numId w:val="351"/>
        </w:numPr>
        <w:rPr>
          <w:color w:val="auto"/>
        </w:rPr>
      </w:pPr>
      <w:r>
        <w:rPr>
          <w:rFonts w:hint="eastAsia"/>
          <w:color w:val="auto"/>
        </w:rPr>
        <w:t>使用仿真中心系统向受检ITVM下发操作员权限参数，在受检ITVM上进行登录操作，通过仿真系统的记录检测受检ITVM对操作员登录的处理应符合DB11/T 1164.1和DB11/T 1164.2的规定；</w:t>
      </w:r>
    </w:p>
    <w:p>
      <w:pPr>
        <w:pStyle w:val="113"/>
        <w:rPr>
          <w:color w:val="auto"/>
        </w:rPr>
      </w:pPr>
      <w:r>
        <w:rPr>
          <w:rFonts w:hint="eastAsia"/>
          <w:color w:val="auto"/>
        </w:rPr>
        <w:t>在受检ITVM上导入操作员权限参数，在受检ITVM上进行登录操作，通过仿真系统的记录检测受检ITVM对操作员登录登出的处理应符合DB11/T 1164.1和DB11/T 1164.2的规定；</w:t>
      </w:r>
    </w:p>
    <w:p>
      <w:pPr>
        <w:pStyle w:val="113"/>
        <w:rPr>
          <w:color w:val="auto"/>
        </w:rPr>
      </w:pPr>
      <w:r>
        <w:rPr>
          <w:rFonts w:hint="eastAsia"/>
          <w:color w:val="auto"/>
        </w:rPr>
        <w:t>在受检ITVM上进行登出操作，通过仿真系统的检测受检ITVM对操作员登出的处理应符合DB11/T 1164.1和DB11/T 1164.2的规定。</w:t>
      </w:r>
    </w:p>
    <w:p>
      <w:pPr>
        <w:pStyle w:val="98"/>
        <w:spacing w:before="156" w:after="156"/>
        <w:rPr>
          <w:color w:val="auto"/>
        </w:rPr>
      </w:pPr>
      <w:r>
        <w:rPr>
          <w:rFonts w:hint="eastAsia"/>
          <w:color w:val="auto"/>
        </w:rPr>
        <w:t>数据查询检测</w:t>
      </w:r>
    </w:p>
    <w:p>
      <w:pPr>
        <w:pStyle w:val="60"/>
        <w:ind w:firstLine="420"/>
        <w:rPr>
          <w:color w:val="auto"/>
        </w:rPr>
      </w:pPr>
      <w:r>
        <w:rPr>
          <w:rFonts w:hint="eastAsia"/>
          <w:color w:val="auto"/>
        </w:rPr>
        <w:t>数据查询检测要求如下：</w:t>
      </w:r>
    </w:p>
    <w:p>
      <w:pPr>
        <w:pStyle w:val="178"/>
        <w:numPr>
          <w:ilvl w:val="0"/>
          <w:numId w:val="352"/>
        </w:numPr>
        <w:rPr>
          <w:color w:val="auto"/>
        </w:rPr>
      </w:pPr>
      <w:r>
        <w:rPr>
          <w:rFonts w:hint="eastAsia"/>
          <w:color w:val="auto"/>
        </w:rPr>
        <w:t>检测内容应依据DB11/T 1164.1中ITVM数据查询功能的要求逐项检测；</w:t>
      </w:r>
    </w:p>
    <w:p>
      <w:pPr>
        <w:pStyle w:val="178"/>
        <w:rPr>
          <w:color w:val="auto"/>
        </w:rPr>
      </w:pPr>
      <w:r>
        <w:rPr>
          <w:rFonts w:hint="eastAsia"/>
          <w:color w:val="auto"/>
        </w:rPr>
        <w:t>检测方法要求如下：</w:t>
      </w:r>
    </w:p>
    <w:p>
      <w:pPr>
        <w:pStyle w:val="113"/>
        <w:numPr>
          <w:ilvl w:val="1"/>
          <w:numId w:val="353"/>
        </w:numPr>
        <w:rPr>
          <w:color w:val="auto"/>
        </w:rPr>
      </w:pPr>
      <w:r>
        <w:rPr>
          <w:rFonts w:hint="eastAsia"/>
          <w:color w:val="auto"/>
        </w:rPr>
        <w:t>在受检ITVM进行售票、充值的操作，应能查询到相关交易数据、数据传送信息；</w:t>
      </w:r>
    </w:p>
    <w:p>
      <w:pPr>
        <w:pStyle w:val="113"/>
        <w:rPr>
          <w:color w:val="auto"/>
        </w:rPr>
      </w:pPr>
      <w:r>
        <w:rPr>
          <w:rFonts w:hint="eastAsia"/>
          <w:color w:val="auto"/>
        </w:rPr>
        <w:t>在受检ITVM上模拟故障，应能查询到相关故障信息；</w:t>
      </w:r>
    </w:p>
    <w:p>
      <w:pPr>
        <w:pStyle w:val="113"/>
        <w:rPr>
          <w:color w:val="auto"/>
        </w:rPr>
      </w:pPr>
      <w:r>
        <w:rPr>
          <w:rFonts w:hint="eastAsia"/>
          <w:color w:val="auto"/>
        </w:rPr>
        <w:t>在受检ITVM上进行部件更换操作，应能查询到部件信息、日志信息；</w:t>
      </w:r>
    </w:p>
    <w:p>
      <w:pPr>
        <w:pStyle w:val="113"/>
        <w:rPr>
          <w:color w:val="auto"/>
        </w:rPr>
      </w:pPr>
      <w:r>
        <w:rPr>
          <w:rFonts w:hint="eastAsia"/>
          <w:color w:val="auto"/>
        </w:rPr>
        <w:t>使用仿真中心系统向受检ITVM发送暂停服务命令，在受检设备应能查询到状态信息；</w:t>
      </w:r>
    </w:p>
    <w:p>
      <w:pPr>
        <w:pStyle w:val="113"/>
        <w:rPr>
          <w:color w:val="auto"/>
        </w:rPr>
      </w:pPr>
      <w:r>
        <w:rPr>
          <w:rFonts w:hint="eastAsia"/>
          <w:color w:val="auto"/>
        </w:rPr>
        <w:t>ITVM数据查询的种类</w:t>
      </w:r>
      <w:r>
        <w:rPr>
          <w:rFonts w:hint="eastAsia"/>
          <w:color w:val="auto"/>
          <w:lang w:eastAsia="zh-CN"/>
        </w:rPr>
        <w:t>应符合</w:t>
      </w:r>
      <w:r>
        <w:rPr>
          <w:rFonts w:hint="eastAsia"/>
          <w:color w:val="auto"/>
        </w:rPr>
        <w:t>表 22。</w:t>
      </w:r>
    </w:p>
    <w:p>
      <w:pPr>
        <w:pStyle w:val="116"/>
        <w:spacing w:before="156" w:after="156"/>
        <w:rPr>
          <w:color w:val="auto"/>
        </w:rPr>
      </w:pPr>
      <w:r>
        <w:rPr>
          <w:rFonts w:hint="eastAsia"/>
          <w:color w:val="auto"/>
        </w:rPr>
        <w:t>ITVM数据查询种类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6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7569" w:type="dxa"/>
            <w:tcBorders>
              <w:top w:val="single" w:color="000000" w:sz="8" w:space="0"/>
              <w:bottom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569" w:type="dxa"/>
            <w:tcBorders>
              <w:top w:val="single" w:color="000000"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7</w:t>
            </w:r>
          </w:p>
        </w:tc>
        <w:tc>
          <w:tcPr>
            <w:tcW w:w="7569"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运转数据查询</w:t>
            </w:r>
          </w:p>
        </w:tc>
      </w:tr>
    </w:tbl>
    <w:p>
      <w:pPr>
        <w:pStyle w:val="98"/>
        <w:spacing w:before="156" w:after="156"/>
        <w:rPr>
          <w:color w:val="auto"/>
        </w:rPr>
      </w:pPr>
      <w:r>
        <w:rPr>
          <w:rFonts w:hint="eastAsia"/>
          <w:color w:val="auto"/>
        </w:rPr>
        <w:t>票箱安装卸下检测</w:t>
      </w:r>
    </w:p>
    <w:p>
      <w:pPr>
        <w:pStyle w:val="60"/>
        <w:ind w:firstLine="420"/>
        <w:rPr>
          <w:color w:val="auto"/>
        </w:rPr>
      </w:pPr>
      <w:r>
        <w:rPr>
          <w:rFonts w:hint="eastAsia"/>
          <w:color w:val="auto"/>
        </w:rPr>
        <w:t>票箱安装卸下检测要求如下：</w:t>
      </w:r>
    </w:p>
    <w:p>
      <w:pPr>
        <w:pStyle w:val="178"/>
        <w:numPr>
          <w:ilvl w:val="0"/>
          <w:numId w:val="354"/>
        </w:numPr>
        <w:rPr>
          <w:color w:val="auto"/>
        </w:rPr>
      </w:pPr>
      <w:r>
        <w:rPr>
          <w:rFonts w:hint="eastAsia"/>
          <w:color w:val="auto"/>
        </w:rPr>
        <w:t>检测内容应依据DB11/T 1164.1中ITVM票箱安装卸下功能的要求逐项检测；</w:t>
      </w:r>
    </w:p>
    <w:p>
      <w:pPr>
        <w:pStyle w:val="178"/>
        <w:rPr>
          <w:color w:val="auto"/>
        </w:rPr>
      </w:pPr>
      <w:r>
        <w:rPr>
          <w:rFonts w:hint="eastAsia"/>
          <w:color w:val="auto"/>
        </w:rPr>
        <w:t>检测方法应在受检ITVM上执行票箱安装、卸下操作，受检ITVM应自动更新票箱状态，并上传至仿真中心系统。通过仿真中心系统的记录，检测应收到受检ITVM发送的状态变化数据。</w:t>
      </w:r>
    </w:p>
    <w:p>
      <w:pPr>
        <w:pStyle w:val="98"/>
        <w:spacing w:before="156" w:after="156"/>
        <w:rPr>
          <w:color w:val="auto"/>
        </w:rPr>
      </w:pPr>
      <w:r>
        <w:rPr>
          <w:rFonts w:hint="eastAsia"/>
          <w:color w:val="auto"/>
        </w:rPr>
        <w:t>票箱警报检测</w:t>
      </w:r>
    </w:p>
    <w:p>
      <w:pPr>
        <w:pStyle w:val="60"/>
        <w:ind w:firstLine="420"/>
        <w:rPr>
          <w:color w:val="auto"/>
        </w:rPr>
      </w:pPr>
      <w:r>
        <w:rPr>
          <w:rFonts w:hint="eastAsia"/>
          <w:color w:val="auto"/>
        </w:rPr>
        <w:t>票箱警报检测要求如下：</w:t>
      </w:r>
    </w:p>
    <w:p>
      <w:pPr>
        <w:pStyle w:val="178"/>
        <w:numPr>
          <w:ilvl w:val="0"/>
          <w:numId w:val="355"/>
        </w:numPr>
        <w:rPr>
          <w:color w:val="auto"/>
        </w:rPr>
      </w:pPr>
      <w:r>
        <w:rPr>
          <w:rFonts w:hint="eastAsia"/>
          <w:color w:val="auto"/>
        </w:rPr>
        <w:t>检测内容为受检ITVM在票箱产生异常时应发送报警数据；</w:t>
      </w:r>
    </w:p>
    <w:p>
      <w:pPr>
        <w:pStyle w:val="178"/>
        <w:rPr>
          <w:color w:val="auto"/>
        </w:rPr>
      </w:pPr>
      <w:r>
        <w:rPr>
          <w:rFonts w:hint="eastAsia"/>
          <w:color w:val="auto"/>
        </w:rPr>
        <w:t>检测方法为应对受检ITVM执行非法票箱安装、卸下操作，受检ITVM应发出报警信息至仿真中心系统。通过仿真中心系统的记录，检测应收到ITVM发送的报警数据。</w:t>
      </w:r>
    </w:p>
    <w:p>
      <w:pPr>
        <w:pStyle w:val="98"/>
        <w:spacing w:before="156" w:after="156"/>
        <w:rPr>
          <w:color w:val="auto"/>
        </w:rPr>
      </w:pPr>
      <w:r>
        <w:rPr>
          <w:rFonts w:hint="eastAsia"/>
          <w:color w:val="auto"/>
        </w:rPr>
        <w:t>检查参数/软件版本检测</w:t>
      </w:r>
    </w:p>
    <w:p>
      <w:pPr>
        <w:pStyle w:val="60"/>
        <w:ind w:firstLine="420"/>
        <w:rPr>
          <w:color w:val="auto"/>
        </w:rPr>
      </w:pPr>
      <w:r>
        <w:rPr>
          <w:rFonts w:hint="eastAsia"/>
          <w:color w:val="auto"/>
        </w:rPr>
        <w:t>检查参数/软件版本检测要求如下：</w:t>
      </w:r>
    </w:p>
    <w:p>
      <w:pPr>
        <w:pStyle w:val="178"/>
        <w:numPr>
          <w:ilvl w:val="0"/>
          <w:numId w:val="356"/>
        </w:numPr>
        <w:rPr>
          <w:color w:val="auto"/>
        </w:rPr>
      </w:pPr>
      <w:r>
        <w:rPr>
          <w:rFonts w:hint="eastAsia"/>
          <w:color w:val="auto"/>
        </w:rPr>
        <w:t>检测内容应依据DB11/T 1164.1中ITVM检查参数/软件版本功能的要求逐项检测；</w:t>
      </w:r>
    </w:p>
    <w:p>
      <w:pPr>
        <w:pStyle w:val="178"/>
        <w:rPr>
          <w:color w:val="auto"/>
        </w:rPr>
      </w:pPr>
      <w:r>
        <w:rPr>
          <w:rFonts w:hint="eastAsia"/>
          <w:color w:val="auto"/>
        </w:rPr>
        <w:t>检测方法要求如下：</w:t>
      </w:r>
    </w:p>
    <w:p>
      <w:pPr>
        <w:pStyle w:val="113"/>
        <w:numPr>
          <w:ilvl w:val="1"/>
          <w:numId w:val="357"/>
        </w:numPr>
        <w:rPr>
          <w:color w:val="auto"/>
        </w:rPr>
      </w:pPr>
      <w:r>
        <w:rPr>
          <w:rFonts w:hint="eastAsia"/>
          <w:color w:val="auto"/>
        </w:rPr>
        <w:t>使用仿真中心系统向受检ITVM下发参数数据/软件数据。在受检ITVM上查询参数数据版本/软件版本信息，确认与中心系统下发的参数数据/软件数据的版本应一致；</w:t>
      </w:r>
    </w:p>
    <w:p>
      <w:pPr>
        <w:pStyle w:val="113"/>
        <w:rPr>
          <w:color w:val="auto"/>
        </w:rPr>
      </w:pPr>
      <w:r>
        <w:rPr>
          <w:rFonts w:hint="eastAsia"/>
          <w:color w:val="auto"/>
        </w:rPr>
        <w:t>在受检ITVM上导入参数数据/软件数据，查询参数数据/软件数据版本，确认应与导入数据版本一致。</w:t>
      </w:r>
    </w:p>
    <w:p>
      <w:pPr>
        <w:pStyle w:val="98"/>
        <w:spacing w:before="156" w:after="156"/>
        <w:rPr>
          <w:color w:val="auto"/>
        </w:rPr>
      </w:pPr>
      <w:r>
        <w:rPr>
          <w:rFonts w:hint="eastAsia"/>
          <w:color w:val="auto"/>
        </w:rPr>
        <w:t>设备设置检测</w:t>
      </w:r>
    </w:p>
    <w:p>
      <w:pPr>
        <w:pStyle w:val="60"/>
        <w:ind w:firstLine="420"/>
        <w:rPr>
          <w:color w:val="auto"/>
        </w:rPr>
      </w:pPr>
      <w:r>
        <w:rPr>
          <w:rFonts w:hint="eastAsia"/>
          <w:color w:val="auto"/>
        </w:rPr>
        <w:t>设备设置检测要求如下：</w:t>
      </w:r>
    </w:p>
    <w:p>
      <w:pPr>
        <w:pStyle w:val="178"/>
        <w:numPr>
          <w:ilvl w:val="0"/>
          <w:numId w:val="358"/>
        </w:numPr>
        <w:rPr>
          <w:color w:val="auto"/>
        </w:rPr>
      </w:pPr>
      <w:r>
        <w:rPr>
          <w:rFonts w:hint="eastAsia"/>
          <w:color w:val="auto"/>
        </w:rPr>
        <w:t>检测内容应依据DB11/T 1164.1中ITVM设备设置功能的要求逐项检测；</w:t>
      </w:r>
    </w:p>
    <w:p>
      <w:pPr>
        <w:pStyle w:val="178"/>
        <w:rPr>
          <w:color w:val="auto"/>
        </w:rPr>
      </w:pPr>
      <w:r>
        <w:rPr>
          <w:rFonts w:hint="eastAsia"/>
          <w:color w:val="auto"/>
        </w:rPr>
        <w:t>检测方法应在受检ITVM上进行设备设置操作。受检ITVM应按照设置后的模式进行工作，通过仿真中心系统的记录检查受检ITVM设置后的状态。ITVM的设置信息种类</w:t>
      </w:r>
      <w:r>
        <w:rPr>
          <w:rFonts w:hint="eastAsia"/>
          <w:color w:val="auto"/>
          <w:lang w:eastAsia="zh-CN"/>
        </w:rPr>
        <w:t>应符合</w:t>
      </w:r>
      <w:r>
        <w:rPr>
          <w:rFonts w:hint="eastAsia"/>
          <w:color w:val="auto"/>
        </w:rPr>
        <w:t>表22。</w:t>
      </w:r>
    </w:p>
    <w:p>
      <w:pPr>
        <w:pStyle w:val="178"/>
        <w:numPr>
          <w:ilvl w:val="-1"/>
          <w:numId w:val="0"/>
        </w:numPr>
        <w:ind w:left="425" w:firstLine="0"/>
        <w:rPr>
          <w:color w:val="auto"/>
        </w:rPr>
      </w:pPr>
    </w:p>
    <w:p>
      <w:pPr>
        <w:pStyle w:val="178"/>
        <w:numPr>
          <w:ilvl w:val="-1"/>
          <w:numId w:val="0"/>
        </w:numPr>
        <w:ind w:left="425" w:firstLine="0"/>
        <w:rPr>
          <w:color w:val="auto"/>
        </w:rPr>
      </w:pPr>
    </w:p>
    <w:p>
      <w:pPr>
        <w:pStyle w:val="178"/>
        <w:numPr>
          <w:ilvl w:val="-1"/>
          <w:numId w:val="0"/>
        </w:numPr>
        <w:ind w:left="425" w:firstLine="0"/>
        <w:rPr>
          <w:color w:val="auto"/>
        </w:rPr>
      </w:pPr>
    </w:p>
    <w:p>
      <w:pPr>
        <w:pStyle w:val="178"/>
        <w:numPr>
          <w:ilvl w:val="-1"/>
          <w:numId w:val="0"/>
        </w:numPr>
        <w:ind w:left="425" w:firstLine="0"/>
        <w:rPr>
          <w:color w:val="auto"/>
        </w:rPr>
      </w:pPr>
    </w:p>
    <w:p>
      <w:pPr>
        <w:pStyle w:val="178"/>
        <w:numPr>
          <w:ilvl w:val="-1"/>
          <w:numId w:val="0"/>
        </w:numPr>
        <w:ind w:left="425" w:firstLine="0"/>
        <w:rPr>
          <w:color w:val="auto"/>
        </w:rPr>
      </w:pPr>
    </w:p>
    <w:p>
      <w:pPr>
        <w:pStyle w:val="178"/>
        <w:numPr>
          <w:ilvl w:val="-1"/>
          <w:numId w:val="0"/>
        </w:numPr>
        <w:ind w:left="425" w:firstLine="0"/>
        <w:rPr>
          <w:color w:val="auto"/>
        </w:rPr>
      </w:pPr>
    </w:p>
    <w:p>
      <w:pPr>
        <w:pStyle w:val="116"/>
        <w:spacing w:before="156" w:after="156"/>
        <w:rPr>
          <w:color w:val="auto"/>
        </w:rPr>
      </w:pPr>
      <w:r>
        <w:rPr>
          <w:rFonts w:hint="eastAsia"/>
          <w:color w:val="auto"/>
        </w:rPr>
        <w:t>ITVM设置信息种类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2"/>
        <w:gridCol w:w="4477"/>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序号</w:t>
            </w:r>
          </w:p>
        </w:tc>
        <w:tc>
          <w:tcPr>
            <w:tcW w:w="445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设备设置</w:t>
            </w:r>
          </w:p>
        </w:tc>
        <w:tc>
          <w:tcPr>
            <w:tcW w:w="3112"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4458"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基本信息设置</w:t>
            </w:r>
          </w:p>
        </w:tc>
        <w:tc>
          <w:tcPr>
            <w:tcW w:w="3112"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运营模式设置</w:t>
            </w:r>
          </w:p>
        </w:tc>
        <w:tc>
          <w:tcPr>
            <w:tcW w:w="3112"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仅脱机时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服务模式设置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24</w:t>
            </w:r>
            <w:r>
              <w:rPr>
                <w:rFonts w:hint="eastAsia" w:ascii="宋体" w:hAnsi="宋体"/>
                <w:color w:val="auto"/>
                <w:sz w:val="18"/>
                <w:szCs w:val="18"/>
              </w:rPr>
              <w:t>小时运营设置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延长运营设置</w:t>
            </w:r>
          </w:p>
        </w:tc>
        <w:tc>
          <w:tcPr>
            <w:tcW w:w="3112" w:type="dxa"/>
            <w:shd w:val="clear" w:color="auto" w:fill="auto"/>
            <w:vAlign w:val="center"/>
          </w:tcPr>
          <w:p>
            <w:pPr>
              <w:spacing w:line="240" w:lineRule="auto"/>
              <w:jc w:val="center"/>
              <w:rPr>
                <w:rFonts w:ascii="宋体"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445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时钟设置</w:t>
            </w:r>
          </w:p>
        </w:tc>
        <w:tc>
          <w:tcPr>
            <w:tcW w:w="3112" w:type="dxa"/>
            <w:shd w:val="clear" w:color="auto" w:fill="auto"/>
            <w:vAlign w:val="center"/>
          </w:tcPr>
          <w:p>
            <w:pPr>
              <w:spacing w:line="240" w:lineRule="auto"/>
              <w:jc w:val="center"/>
              <w:rPr>
                <w:rFonts w:ascii="宋体" w:hAnsi="Times New Roman"/>
                <w:color w:val="auto"/>
                <w:sz w:val="18"/>
                <w:szCs w:val="18"/>
              </w:rPr>
            </w:pPr>
          </w:p>
        </w:tc>
      </w:tr>
    </w:tbl>
    <w:p>
      <w:pPr>
        <w:pStyle w:val="98"/>
        <w:spacing w:before="156" w:after="156"/>
        <w:rPr>
          <w:color w:val="auto"/>
        </w:rPr>
      </w:pPr>
      <w:r>
        <w:rPr>
          <w:rFonts w:hint="eastAsia"/>
          <w:color w:val="auto"/>
        </w:rPr>
        <w:t>设备部件检测</w:t>
      </w:r>
    </w:p>
    <w:p>
      <w:pPr>
        <w:pStyle w:val="60"/>
        <w:ind w:firstLine="420"/>
        <w:rPr>
          <w:color w:val="auto"/>
        </w:rPr>
      </w:pPr>
      <w:r>
        <w:rPr>
          <w:rFonts w:hint="eastAsia"/>
          <w:color w:val="auto"/>
        </w:rPr>
        <w:t>设备部件检测要求如下：</w:t>
      </w:r>
    </w:p>
    <w:p>
      <w:pPr>
        <w:pStyle w:val="178"/>
        <w:numPr>
          <w:ilvl w:val="0"/>
          <w:numId w:val="359"/>
        </w:numPr>
        <w:rPr>
          <w:color w:val="auto"/>
        </w:rPr>
      </w:pPr>
      <w:r>
        <w:rPr>
          <w:rFonts w:hint="eastAsia"/>
          <w:color w:val="auto"/>
        </w:rPr>
        <w:t>检测内容应依据DB11/T 1164.1中ITVM设备部件检测功能的要求逐项检测；</w:t>
      </w:r>
    </w:p>
    <w:p>
      <w:pPr>
        <w:pStyle w:val="178"/>
        <w:rPr>
          <w:color w:val="auto"/>
        </w:rPr>
      </w:pPr>
      <w:r>
        <w:rPr>
          <w:rFonts w:hint="eastAsia"/>
          <w:color w:val="auto"/>
        </w:rPr>
        <w:t>检测方法应在受检ITVM上执行设备部件检测动作，受检ITVM根据检测结果更新部件状态，并上传至仿真中心系统。通过仿真中心系统检测受检ITVM上传的执行结果应正确。ITVM要进行的部件检测</w:t>
      </w:r>
      <w:r>
        <w:rPr>
          <w:rFonts w:hint="eastAsia"/>
          <w:color w:val="auto"/>
          <w:lang w:eastAsia="zh-CN"/>
        </w:rPr>
        <w:t>应符合</w:t>
      </w:r>
      <w:r>
        <w:rPr>
          <w:rFonts w:hint="eastAsia"/>
          <w:color w:val="auto"/>
        </w:rPr>
        <w:t>表24。</w:t>
      </w:r>
    </w:p>
    <w:p>
      <w:pPr>
        <w:pStyle w:val="116"/>
        <w:spacing w:before="156" w:after="156"/>
        <w:rPr>
          <w:color w:val="auto"/>
        </w:rPr>
      </w:pPr>
      <w:r>
        <w:rPr>
          <w:rFonts w:hint="eastAsia"/>
          <w:color w:val="auto"/>
        </w:rPr>
        <w:t>ITVM部件检测表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90"/>
        <w:gridCol w:w="7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7153"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部件检测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7153"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网络连接状态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2</w:t>
            </w:r>
          </w:p>
        </w:tc>
        <w:tc>
          <w:tcPr>
            <w:tcW w:w="7153" w:type="dxa"/>
            <w:shd w:val="clear" w:color="auto" w:fill="auto"/>
            <w:vAlign w:val="center"/>
          </w:tcPr>
          <w:p>
            <w:pPr>
              <w:pStyle w:val="60"/>
              <w:ind w:firstLine="360"/>
              <w:rPr>
                <w:color w:val="auto"/>
                <w:sz w:val="18"/>
              </w:rPr>
            </w:pPr>
            <w:r>
              <w:rPr>
                <w:rFonts w:hint="eastAsia"/>
                <w:color w:val="auto"/>
                <w:sz w:val="18"/>
              </w:rPr>
              <w:t>招援按钮检测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3</w:t>
            </w:r>
          </w:p>
        </w:tc>
        <w:tc>
          <w:tcPr>
            <w:tcW w:w="7153" w:type="dxa"/>
            <w:shd w:val="clear" w:color="auto" w:fill="auto"/>
            <w:vAlign w:val="center"/>
          </w:tcPr>
          <w:p>
            <w:pPr>
              <w:pStyle w:val="60"/>
              <w:ind w:firstLine="360"/>
              <w:rPr>
                <w:color w:val="auto"/>
                <w:sz w:val="18"/>
              </w:rPr>
            </w:pPr>
            <w:r>
              <w:rPr>
                <w:rFonts w:hint="eastAsia"/>
                <w:color w:val="auto"/>
                <w:sz w:val="18"/>
              </w:rPr>
              <w:t>人体传感器检测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4</w:t>
            </w:r>
          </w:p>
        </w:tc>
        <w:tc>
          <w:tcPr>
            <w:tcW w:w="7153" w:type="dxa"/>
            <w:shd w:val="clear" w:color="auto" w:fill="auto"/>
            <w:vAlign w:val="center"/>
          </w:tcPr>
          <w:p>
            <w:pPr>
              <w:pStyle w:val="60"/>
              <w:ind w:firstLine="360"/>
              <w:rPr>
                <w:color w:val="auto"/>
                <w:sz w:val="18"/>
              </w:rPr>
            </w:pPr>
            <w:r>
              <w:rPr>
                <w:rFonts w:hint="eastAsia"/>
                <w:color w:val="auto"/>
                <w:sz w:val="18"/>
              </w:rPr>
              <w:t>TPU检测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5</w:t>
            </w:r>
          </w:p>
        </w:tc>
        <w:tc>
          <w:tcPr>
            <w:tcW w:w="7153" w:type="dxa"/>
            <w:shd w:val="clear" w:color="auto" w:fill="auto"/>
            <w:vAlign w:val="center"/>
          </w:tcPr>
          <w:p>
            <w:pPr>
              <w:pStyle w:val="60"/>
              <w:ind w:firstLine="360"/>
              <w:rPr>
                <w:color w:val="auto"/>
                <w:sz w:val="18"/>
              </w:rPr>
            </w:pPr>
            <w:r>
              <w:rPr>
                <w:rFonts w:hint="eastAsia"/>
                <w:color w:val="auto"/>
                <w:sz w:val="18"/>
              </w:rPr>
              <w:t>车票发行单元检测</w:t>
            </w:r>
          </w:p>
        </w:tc>
      </w:tr>
    </w:tbl>
    <w:p>
      <w:pPr>
        <w:pStyle w:val="98"/>
        <w:spacing w:before="156" w:after="156"/>
        <w:rPr>
          <w:color w:val="auto"/>
        </w:rPr>
      </w:pPr>
      <w:r>
        <w:rPr>
          <w:rFonts w:hint="eastAsia"/>
          <w:color w:val="auto"/>
        </w:rPr>
        <w:t>数据导入导出检测</w:t>
      </w:r>
    </w:p>
    <w:p>
      <w:pPr>
        <w:pStyle w:val="60"/>
        <w:ind w:firstLine="420"/>
        <w:rPr>
          <w:color w:val="auto"/>
        </w:rPr>
      </w:pPr>
      <w:r>
        <w:rPr>
          <w:rFonts w:hint="eastAsia"/>
          <w:color w:val="auto"/>
        </w:rPr>
        <w:t>数据导入导出检测要求如下：</w:t>
      </w:r>
    </w:p>
    <w:p>
      <w:pPr>
        <w:pStyle w:val="178"/>
        <w:numPr>
          <w:ilvl w:val="0"/>
          <w:numId w:val="360"/>
        </w:numPr>
        <w:rPr>
          <w:color w:val="auto"/>
        </w:rPr>
      </w:pPr>
      <w:r>
        <w:rPr>
          <w:rFonts w:hint="eastAsia"/>
          <w:color w:val="auto"/>
        </w:rPr>
        <w:t>检测内容应依据DB11/T 1164.1中ITVM数据导入导出功能的要求逐项检测；</w:t>
      </w:r>
    </w:p>
    <w:p>
      <w:pPr>
        <w:pStyle w:val="178"/>
        <w:rPr>
          <w:color w:val="auto"/>
        </w:rPr>
      </w:pPr>
      <w:r>
        <w:rPr>
          <w:rFonts w:hint="eastAsia"/>
          <w:color w:val="auto"/>
        </w:rPr>
        <w:t>检测方法要求如下：</w:t>
      </w:r>
    </w:p>
    <w:p>
      <w:pPr>
        <w:pStyle w:val="113"/>
        <w:numPr>
          <w:ilvl w:val="1"/>
          <w:numId w:val="361"/>
        </w:numPr>
        <w:rPr>
          <w:color w:val="auto"/>
        </w:rPr>
      </w:pPr>
      <w:r>
        <w:rPr>
          <w:rFonts w:hint="eastAsia"/>
          <w:color w:val="auto"/>
        </w:rPr>
        <w:t>通过外部存储设备将参数数据导入到受检ITVM上，进行相关的业务操作，检查受检BOM参数导入的正确性；</w:t>
      </w:r>
    </w:p>
    <w:p>
      <w:pPr>
        <w:pStyle w:val="113"/>
        <w:rPr>
          <w:color w:val="auto"/>
        </w:rPr>
      </w:pPr>
      <w:r>
        <w:rPr>
          <w:rFonts w:hint="eastAsia"/>
          <w:color w:val="auto"/>
        </w:rPr>
        <w:t>将受检ITVM上的交易数据、业务数据、事件数据、日志数据导出到外部存储设备，再将外部存储设备上导出的数据导入到仿真中心系统上，检查导出数据的正确性。</w:t>
      </w:r>
    </w:p>
    <w:p>
      <w:pPr>
        <w:pStyle w:val="98"/>
        <w:spacing w:before="156" w:after="156"/>
        <w:rPr>
          <w:color w:val="auto"/>
        </w:rPr>
      </w:pPr>
      <w:r>
        <w:rPr>
          <w:rFonts w:hint="eastAsia"/>
          <w:color w:val="auto"/>
        </w:rPr>
        <w:t>管理卡认证检测</w:t>
      </w:r>
    </w:p>
    <w:p>
      <w:pPr>
        <w:pStyle w:val="60"/>
        <w:ind w:firstLine="420"/>
        <w:rPr>
          <w:color w:val="auto"/>
        </w:rPr>
      </w:pPr>
      <w:r>
        <w:rPr>
          <w:rFonts w:hint="eastAsia"/>
          <w:color w:val="auto"/>
        </w:rPr>
        <w:t>管理卡认证检测要求如下：</w:t>
      </w:r>
    </w:p>
    <w:p>
      <w:pPr>
        <w:pStyle w:val="178"/>
        <w:numPr>
          <w:ilvl w:val="0"/>
          <w:numId w:val="362"/>
        </w:numPr>
        <w:rPr>
          <w:color w:val="auto"/>
        </w:rPr>
      </w:pPr>
      <w:r>
        <w:rPr>
          <w:rFonts w:hint="eastAsia"/>
          <w:color w:val="auto"/>
        </w:rPr>
        <w:t>检测内容应依据DB11/T 1164.1中ITVM管理卡认证功能的要求逐项检测；</w:t>
      </w:r>
    </w:p>
    <w:p>
      <w:pPr>
        <w:pStyle w:val="178"/>
        <w:rPr>
          <w:color w:val="auto"/>
        </w:rPr>
      </w:pPr>
      <w:r>
        <w:rPr>
          <w:rFonts w:hint="eastAsia"/>
          <w:color w:val="auto"/>
        </w:rPr>
        <w:t>检测方法要求如下：</w:t>
      </w:r>
    </w:p>
    <w:p>
      <w:pPr>
        <w:pStyle w:val="113"/>
        <w:numPr>
          <w:ilvl w:val="1"/>
          <w:numId w:val="363"/>
        </w:numPr>
        <w:rPr>
          <w:color w:val="auto"/>
        </w:rPr>
      </w:pPr>
      <w:r>
        <w:rPr>
          <w:rFonts w:hint="eastAsia"/>
          <w:color w:val="auto"/>
        </w:rPr>
        <w:t>断开受检ITVM的网络；</w:t>
      </w:r>
    </w:p>
    <w:p>
      <w:pPr>
        <w:pStyle w:val="113"/>
        <w:rPr>
          <w:color w:val="auto"/>
        </w:rPr>
      </w:pPr>
      <w:r>
        <w:rPr>
          <w:rFonts w:hint="eastAsia"/>
          <w:color w:val="auto"/>
        </w:rPr>
        <w:t>使用一票通认证管理卡在受检ITVM上对一票通ISAM卡进行认证；</w:t>
      </w:r>
    </w:p>
    <w:p>
      <w:pPr>
        <w:pStyle w:val="113"/>
        <w:rPr>
          <w:color w:val="auto"/>
        </w:rPr>
      </w:pPr>
      <w:r>
        <w:rPr>
          <w:rFonts w:hint="eastAsia"/>
          <w:color w:val="auto"/>
        </w:rPr>
        <w:t>认证后的受检ITVM对一票通车票应进行正常的售票等相关业务。</w:t>
      </w:r>
    </w:p>
    <w:p>
      <w:pPr>
        <w:pStyle w:val="98"/>
        <w:spacing w:before="156" w:after="156"/>
        <w:rPr>
          <w:color w:val="auto"/>
        </w:rPr>
      </w:pPr>
      <w:r>
        <w:rPr>
          <w:rFonts w:hint="eastAsia"/>
          <w:color w:val="auto"/>
        </w:rPr>
        <w:t>ISAM卡签到检测</w:t>
      </w:r>
    </w:p>
    <w:p>
      <w:pPr>
        <w:pStyle w:val="60"/>
        <w:ind w:firstLine="420"/>
        <w:rPr>
          <w:color w:val="auto"/>
        </w:rPr>
      </w:pPr>
      <w:r>
        <w:rPr>
          <w:rFonts w:hint="eastAsia"/>
          <w:color w:val="auto"/>
        </w:rPr>
        <w:t>ISAM卡签到检测要求如下：</w:t>
      </w:r>
    </w:p>
    <w:p>
      <w:pPr>
        <w:pStyle w:val="178"/>
        <w:numPr>
          <w:ilvl w:val="0"/>
          <w:numId w:val="364"/>
        </w:numPr>
        <w:rPr>
          <w:color w:val="auto"/>
        </w:rPr>
      </w:pPr>
      <w:r>
        <w:rPr>
          <w:rFonts w:hint="eastAsia"/>
          <w:color w:val="auto"/>
        </w:rPr>
        <w:t>检测内容应依据DB11/T 1164.1中ITVM ISAM卡签到功能的要求逐项检测；</w:t>
      </w:r>
    </w:p>
    <w:p>
      <w:pPr>
        <w:pStyle w:val="178"/>
        <w:rPr>
          <w:color w:val="auto"/>
        </w:rPr>
      </w:pPr>
      <w:r>
        <w:rPr>
          <w:rFonts w:hint="eastAsia"/>
          <w:color w:val="auto"/>
        </w:rPr>
        <w:t>检测方法要求如下：</w:t>
      </w:r>
    </w:p>
    <w:p>
      <w:pPr>
        <w:pStyle w:val="113"/>
        <w:numPr>
          <w:ilvl w:val="1"/>
          <w:numId w:val="365"/>
        </w:numPr>
        <w:rPr>
          <w:color w:val="auto"/>
        </w:rPr>
      </w:pPr>
      <w:r>
        <w:rPr>
          <w:rFonts w:hint="eastAsia"/>
          <w:color w:val="auto"/>
        </w:rPr>
        <w:t>受检ITVM与一票通ISAM卡认证服务器网络连接正常；</w:t>
      </w:r>
    </w:p>
    <w:p>
      <w:pPr>
        <w:pStyle w:val="113"/>
        <w:rPr>
          <w:color w:val="auto"/>
        </w:rPr>
      </w:pPr>
      <w:r>
        <w:rPr>
          <w:rFonts w:hint="eastAsia"/>
          <w:color w:val="auto"/>
        </w:rPr>
        <w:t>受检ITVM与一卡通ISAM卡认证服务器网络连接正常；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在受检ITVM上进行一票通ISAM卡和一卡通ISAM卡签到操作，检测受检ITVM的执行结果；</w:t>
      </w:r>
    </w:p>
    <w:p>
      <w:pPr>
        <w:pStyle w:val="113"/>
        <w:rPr>
          <w:color w:val="auto"/>
        </w:rPr>
      </w:pPr>
      <w:r>
        <w:rPr>
          <w:rFonts w:hint="eastAsia"/>
          <w:color w:val="auto"/>
        </w:rPr>
        <w:t>在受检ITVM上执行售票、充值等业务，检测受检ITVM的ISAM卡签到应成功；</w:t>
      </w:r>
    </w:p>
    <w:p>
      <w:pPr>
        <w:pStyle w:val="113"/>
        <w:rPr>
          <w:color w:val="auto"/>
        </w:rPr>
      </w:pPr>
      <w:r>
        <w:rPr>
          <w:rFonts w:hint="eastAsia"/>
          <w:color w:val="auto"/>
        </w:rPr>
        <w:t>通过仿真一卡通ISAM卡认证系统的记录检测受检ITVM签到应正确；</w:t>
      </w:r>
    </w:p>
    <w:p>
      <w:pPr>
        <w:pStyle w:val="113"/>
        <w:rPr>
          <w:color w:val="auto"/>
        </w:rPr>
      </w:pPr>
      <w:r>
        <w:rPr>
          <w:rFonts w:hint="eastAsia"/>
          <w:color w:val="auto"/>
        </w:rPr>
        <w:t>通过仿真一票通ISAM卡认证系统的记录检测受检ITVM签到应正确。</w:t>
      </w:r>
    </w:p>
    <w:p>
      <w:pPr>
        <w:pStyle w:val="98"/>
        <w:spacing w:before="156" w:after="156"/>
        <w:rPr>
          <w:color w:val="auto"/>
        </w:rPr>
      </w:pPr>
      <w:r>
        <w:rPr>
          <w:rFonts w:hint="eastAsia"/>
          <w:color w:val="auto"/>
        </w:rPr>
        <w:t>ISAM卡签退检测</w:t>
      </w:r>
    </w:p>
    <w:p>
      <w:pPr>
        <w:pStyle w:val="60"/>
        <w:ind w:firstLine="420"/>
        <w:rPr>
          <w:color w:val="auto"/>
        </w:rPr>
      </w:pPr>
      <w:r>
        <w:rPr>
          <w:rFonts w:hint="eastAsia"/>
          <w:color w:val="auto"/>
        </w:rPr>
        <w:t>ISAM卡签退检测要求如下：</w:t>
      </w:r>
    </w:p>
    <w:p>
      <w:pPr>
        <w:pStyle w:val="178"/>
        <w:numPr>
          <w:ilvl w:val="0"/>
          <w:numId w:val="366"/>
        </w:numPr>
        <w:rPr>
          <w:color w:val="auto"/>
        </w:rPr>
      </w:pPr>
      <w:r>
        <w:rPr>
          <w:rFonts w:hint="eastAsia"/>
          <w:color w:val="auto"/>
        </w:rPr>
        <w:t>检测内容应依据DB11/T 1164.1中ITVM ISAM卡签退功能的要求逐项检测；</w:t>
      </w:r>
    </w:p>
    <w:p>
      <w:pPr>
        <w:pStyle w:val="178"/>
        <w:rPr>
          <w:color w:val="auto"/>
        </w:rPr>
      </w:pPr>
      <w:r>
        <w:rPr>
          <w:rFonts w:hint="eastAsia"/>
          <w:color w:val="auto"/>
        </w:rPr>
        <w:t>检测方法要求如下：</w:t>
      </w:r>
    </w:p>
    <w:p>
      <w:pPr>
        <w:pStyle w:val="113"/>
        <w:numPr>
          <w:ilvl w:val="1"/>
          <w:numId w:val="367"/>
        </w:numPr>
        <w:rPr>
          <w:color w:val="auto"/>
        </w:rPr>
      </w:pPr>
      <w:r>
        <w:rPr>
          <w:rFonts w:hint="eastAsia"/>
          <w:color w:val="auto"/>
        </w:rPr>
        <w:t>受检ITVM与一票通ISAM卡认证服务器网络连接正常；</w:t>
      </w:r>
    </w:p>
    <w:p>
      <w:pPr>
        <w:pStyle w:val="113"/>
        <w:rPr>
          <w:color w:val="auto"/>
        </w:rPr>
      </w:pPr>
      <w:r>
        <w:rPr>
          <w:rFonts w:hint="eastAsia"/>
          <w:color w:val="auto"/>
        </w:rPr>
        <w:t>受检ITVM与一卡通ISAM卡认证服务器网络连接正常；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在受检ITVM上进行一票通ISAM卡和一卡通ISAM卡签退操作，通过仿真一票通ISAM卡认证系统和仿真一卡通ISAM卡认证系统的记录检测受检ITVM签退应正确。</w:t>
      </w:r>
    </w:p>
    <w:p>
      <w:pPr>
        <w:pStyle w:val="98"/>
        <w:spacing w:before="156" w:after="156"/>
        <w:rPr>
          <w:color w:val="auto"/>
        </w:rPr>
      </w:pPr>
      <w:r>
        <w:rPr>
          <w:rFonts w:hint="eastAsia"/>
          <w:color w:val="auto"/>
        </w:rPr>
        <w:t>ISAM卡领用检测</w:t>
      </w:r>
    </w:p>
    <w:p>
      <w:pPr>
        <w:pStyle w:val="60"/>
        <w:ind w:firstLine="420"/>
        <w:rPr>
          <w:color w:val="auto"/>
        </w:rPr>
      </w:pPr>
      <w:r>
        <w:rPr>
          <w:rFonts w:hint="eastAsia"/>
          <w:color w:val="auto"/>
        </w:rPr>
        <w:t>ISAM卡领用检测要求如下：</w:t>
      </w:r>
    </w:p>
    <w:p>
      <w:pPr>
        <w:pStyle w:val="178"/>
        <w:numPr>
          <w:ilvl w:val="0"/>
          <w:numId w:val="368"/>
        </w:numPr>
        <w:rPr>
          <w:color w:val="auto"/>
        </w:rPr>
      </w:pPr>
      <w:r>
        <w:rPr>
          <w:rFonts w:hint="eastAsia"/>
          <w:color w:val="auto"/>
        </w:rPr>
        <w:t>检测内容应依据DB11/T 1164.1中ITVM ISAM卡领用功能的要求逐项检测；</w:t>
      </w:r>
    </w:p>
    <w:p>
      <w:pPr>
        <w:pStyle w:val="178"/>
        <w:rPr>
          <w:color w:val="auto"/>
        </w:rPr>
      </w:pPr>
      <w:r>
        <w:rPr>
          <w:rFonts w:hint="eastAsia"/>
          <w:color w:val="auto"/>
        </w:rPr>
        <w:t>检测方法要求如下：</w:t>
      </w:r>
    </w:p>
    <w:p>
      <w:pPr>
        <w:pStyle w:val="113"/>
        <w:numPr>
          <w:ilvl w:val="1"/>
          <w:numId w:val="369"/>
        </w:numPr>
        <w:rPr>
          <w:color w:val="auto"/>
        </w:rPr>
      </w:pPr>
      <w:r>
        <w:rPr>
          <w:rFonts w:hint="eastAsia"/>
          <w:color w:val="auto"/>
        </w:rPr>
        <w:t>在受检ITVM上安装未使用过的一卡通ISAM卡，执行一卡通ISAM卡领用操作；</w:t>
      </w:r>
    </w:p>
    <w:p>
      <w:pPr>
        <w:pStyle w:val="113"/>
        <w:rPr>
          <w:color w:val="auto"/>
        </w:rPr>
      </w:pPr>
      <w:r>
        <w:rPr>
          <w:rFonts w:hint="eastAsia"/>
          <w:color w:val="auto"/>
        </w:rPr>
        <w:t>通过仿真一卡通ISAM卡认证系统的记录检测受检ITVM领用应正确。</w:t>
      </w:r>
    </w:p>
    <w:p>
      <w:pPr>
        <w:pStyle w:val="98"/>
        <w:spacing w:before="156" w:after="156"/>
        <w:rPr>
          <w:color w:val="auto"/>
        </w:rPr>
      </w:pPr>
      <w:r>
        <w:rPr>
          <w:rFonts w:hint="eastAsia"/>
          <w:color w:val="auto"/>
        </w:rPr>
        <w:t>ISAM卡更换检测</w:t>
      </w:r>
    </w:p>
    <w:p>
      <w:pPr>
        <w:pStyle w:val="60"/>
        <w:ind w:firstLine="420"/>
        <w:rPr>
          <w:color w:val="auto"/>
        </w:rPr>
      </w:pPr>
      <w:r>
        <w:rPr>
          <w:rFonts w:hint="eastAsia"/>
          <w:color w:val="auto"/>
        </w:rPr>
        <w:t>ISAM卡更换检测要求如下：</w:t>
      </w:r>
    </w:p>
    <w:p>
      <w:pPr>
        <w:pStyle w:val="178"/>
        <w:numPr>
          <w:ilvl w:val="0"/>
          <w:numId w:val="370"/>
        </w:numPr>
        <w:rPr>
          <w:color w:val="auto"/>
        </w:rPr>
      </w:pPr>
      <w:r>
        <w:rPr>
          <w:rFonts w:hint="eastAsia"/>
          <w:color w:val="auto"/>
        </w:rPr>
        <w:t>检测内容应依据DB11/T 1164.1中ITVM ISAM卡更换功能的要求逐项检测；</w:t>
      </w:r>
    </w:p>
    <w:p>
      <w:pPr>
        <w:pStyle w:val="178"/>
        <w:rPr>
          <w:color w:val="auto"/>
        </w:rPr>
      </w:pPr>
      <w:r>
        <w:rPr>
          <w:rFonts w:hint="eastAsia"/>
          <w:color w:val="auto"/>
        </w:rPr>
        <w:t>检测方法要求如下：</w:t>
      </w:r>
    </w:p>
    <w:p>
      <w:pPr>
        <w:pStyle w:val="113"/>
        <w:numPr>
          <w:ilvl w:val="1"/>
          <w:numId w:val="371"/>
        </w:numPr>
        <w:rPr>
          <w:color w:val="auto"/>
        </w:rPr>
      </w:pPr>
      <w:r>
        <w:rPr>
          <w:rFonts w:hint="eastAsia"/>
          <w:color w:val="auto"/>
        </w:rPr>
        <w:t>更换受检ITVM的一卡通ISAM卡，执行一卡通ISAM卡更换操作；</w:t>
      </w:r>
    </w:p>
    <w:p>
      <w:pPr>
        <w:pStyle w:val="113"/>
        <w:rPr>
          <w:color w:val="auto"/>
        </w:rPr>
      </w:pPr>
      <w:r>
        <w:rPr>
          <w:rFonts w:hint="eastAsia"/>
          <w:color w:val="auto"/>
        </w:rPr>
        <w:t>通过仿真一卡通ISAM卡认证系统的记录检测受检ITVM更换应正确。</w:t>
      </w:r>
    </w:p>
    <w:p>
      <w:pPr>
        <w:pStyle w:val="98"/>
        <w:spacing w:before="156" w:after="156"/>
        <w:rPr>
          <w:color w:val="auto"/>
        </w:rPr>
      </w:pPr>
      <w:r>
        <w:rPr>
          <w:rFonts w:hint="eastAsia"/>
          <w:color w:val="auto"/>
        </w:rPr>
        <w:t>远程监视检测</w:t>
      </w:r>
    </w:p>
    <w:p>
      <w:pPr>
        <w:pStyle w:val="60"/>
        <w:ind w:firstLine="420"/>
        <w:rPr>
          <w:color w:val="auto"/>
        </w:rPr>
      </w:pPr>
      <w:r>
        <w:rPr>
          <w:rFonts w:hint="eastAsia"/>
          <w:color w:val="auto"/>
        </w:rPr>
        <w:t>远程监视检测要求如下：</w:t>
      </w:r>
    </w:p>
    <w:p>
      <w:pPr>
        <w:pStyle w:val="178"/>
        <w:numPr>
          <w:ilvl w:val="0"/>
          <w:numId w:val="372"/>
        </w:numPr>
        <w:rPr>
          <w:color w:val="auto"/>
        </w:rPr>
      </w:pPr>
      <w:r>
        <w:rPr>
          <w:rFonts w:hint="eastAsia"/>
          <w:color w:val="auto"/>
        </w:rPr>
        <w:t>检测内容应依据DB11/T 1164.1中ITVM远程监视功能的要求逐项检测；</w:t>
      </w:r>
    </w:p>
    <w:p>
      <w:pPr>
        <w:pStyle w:val="178"/>
        <w:rPr>
          <w:color w:val="auto"/>
        </w:rPr>
      </w:pPr>
      <w:r>
        <w:rPr>
          <w:rFonts w:hint="eastAsia"/>
          <w:color w:val="auto"/>
        </w:rPr>
        <w:t>检测方法应改变受检ITVM的状态，或使受检ITVM出现故障，通过仿真中心系统的记录检查受检ITVM的状态应即时上传。</w:t>
      </w:r>
    </w:p>
    <w:p>
      <w:pPr>
        <w:pStyle w:val="98"/>
        <w:spacing w:before="156" w:after="156"/>
        <w:rPr>
          <w:color w:val="auto"/>
        </w:rPr>
      </w:pPr>
      <w:r>
        <w:rPr>
          <w:rFonts w:hint="eastAsia"/>
          <w:color w:val="auto"/>
        </w:rPr>
        <w:t>远程控制检测</w:t>
      </w:r>
    </w:p>
    <w:p>
      <w:pPr>
        <w:pStyle w:val="60"/>
        <w:ind w:firstLine="420"/>
        <w:rPr>
          <w:color w:val="auto"/>
        </w:rPr>
      </w:pPr>
      <w:r>
        <w:rPr>
          <w:rFonts w:hint="eastAsia"/>
          <w:color w:val="auto"/>
        </w:rPr>
        <w:t>远程控制检测要求如下：</w:t>
      </w:r>
    </w:p>
    <w:p>
      <w:pPr>
        <w:pStyle w:val="178"/>
        <w:numPr>
          <w:ilvl w:val="0"/>
          <w:numId w:val="373"/>
        </w:numPr>
        <w:rPr>
          <w:color w:val="auto"/>
        </w:rPr>
      </w:pPr>
      <w:r>
        <w:rPr>
          <w:rFonts w:hint="eastAsia"/>
          <w:color w:val="auto"/>
        </w:rPr>
        <w:t>检测内容应依据DB11/T 1164.1中ITVM远程控制功能的要求逐项检测；</w:t>
      </w:r>
    </w:p>
    <w:p>
      <w:pPr>
        <w:pStyle w:val="178"/>
        <w:rPr>
          <w:color w:val="auto"/>
        </w:rPr>
      </w:pPr>
      <w:r>
        <w:rPr>
          <w:rFonts w:hint="eastAsia"/>
          <w:color w:val="auto"/>
        </w:rPr>
        <w:t>检测方法应使用仿真中心系统向受检ITVM发送控制指令。通过仿真中心系统的记录检测受检ITVM应正确执行该命令，并上传执行结果。中心系统发送的控制命令</w:t>
      </w:r>
      <w:r>
        <w:rPr>
          <w:rFonts w:hint="eastAsia"/>
          <w:color w:val="auto"/>
          <w:lang w:eastAsia="zh-CN"/>
        </w:rPr>
        <w:t>应符合</w:t>
      </w:r>
      <w:r>
        <w:rPr>
          <w:rFonts w:hint="eastAsia"/>
          <w:color w:val="auto"/>
        </w:rPr>
        <w:t>表25。</w:t>
      </w:r>
    </w:p>
    <w:p>
      <w:pPr>
        <w:pStyle w:val="116"/>
        <w:spacing w:before="156" w:after="156"/>
        <w:rPr>
          <w:color w:val="auto"/>
        </w:rPr>
      </w:pPr>
      <w:r>
        <w:rPr>
          <w:rFonts w:hint="eastAsia"/>
          <w:color w:val="auto"/>
        </w:rPr>
        <w:t>控制命令表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55"/>
        <w:gridCol w:w="7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序号</w:t>
            </w:r>
          </w:p>
        </w:tc>
        <w:tc>
          <w:tcPr>
            <w:tcW w:w="7288" w:type="dxa"/>
            <w:tcBorders>
              <w:top w:val="single" w:color="auto" w:sz="8" w:space="0"/>
              <w:bottom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w:t>
            </w:r>
          </w:p>
        </w:tc>
        <w:tc>
          <w:tcPr>
            <w:tcW w:w="7288" w:type="dxa"/>
            <w:tcBorders>
              <w:top w:val="single" w:color="auto" w:sz="8" w:space="0"/>
            </w:tcBorders>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开机控制命令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运营结束控制命令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3</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关机控制命令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4</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运营模式控制命令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5</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服务模式控制命令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6</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24</w:t>
            </w:r>
            <w:r>
              <w:rPr>
                <w:rFonts w:hint="eastAsia" w:ascii="宋体" w:hAnsi="宋体"/>
                <w:color w:val="auto"/>
                <w:sz w:val="18"/>
                <w:szCs w:val="18"/>
              </w:rPr>
              <w:t>小时运营控制命令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7</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延长运营控制命令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8</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车站停售控制命令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9</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强制登出控制命令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10</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强制时钟同步控制命令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11</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参数更新控制命令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6" w:type="dxa"/>
            <w:shd w:val="clear" w:color="auto" w:fill="auto"/>
            <w:vAlign w:val="center"/>
          </w:tcPr>
          <w:p>
            <w:pPr>
              <w:spacing w:line="240" w:lineRule="auto"/>
              <w:jc w:val="center"/>
              <w:rPr>
                <w:rFonts w:ascii="宋体" w:hAnsi="Times New Roman"/>
                <w:color w:val="auto"/>
                <w:sz w:val="18"/>
                <w:szCs w:val="18"/>
              </w:rPr>
            </w:pPr>
            <w:r>
              <w:rPr>
                <w:rFonts w:hint="eastAsia" w:ascii="宋体" w:hAnsi="Times New Roman"/>
                <w:color w:val="auto"/>
                <w:sz w:val="18"/>
                <w:szCs w:val="18"/>
              </w:rPr>
              <w:t>12</w:t>
            </w:r>
          </w:p>
        </w:tc>
        <w:tc>
          <w:tcPr>
            <w:tcW w:w="7288" w:type="dxa"/>
            <w:shd w:val="clear" w:color="auto" w:fill="auto"/>
            <w:vAlign w:val="center"/>
          </w:tcPr>
          <w:p>
            <w:pPr>
              <w:spacing w:line="240" w:lineRule="auto"/>
              <w:jc w:val="center"/>
              <w:rPr>
                <w:rFonts w:ascii="宋体" w:hAnsi="Times New Roman"/>
                <w:color w:val="auto"/>
                <w:sz w:val="18"/>
                <w:szCs w:val="18"/>
              </w:rPr>
            </w:pPr>
            <w:r>
              <w:rPr>
                <w:rFonts w:hint="eastAsia" w:ascii="宋体" w:hAnsi="宋体"/>
                <w:color w:val="auto"/>
                <w:sz w:val="18"/>
                <w:szCs w:val="18"/>
              </w:rPr>
              <w:t>软件更新控制命令</w:t>
            </w:r>
          </w:p>
        </w:tc>
      </w:tr>
    </w:tbl>
    <w:p>
      <w:pPr>
        <w:pStyle w:val="98"/>
        <w:spacing w:before="156" w:after="156"/>
        <w:rPr>
          <w:color w:val="auto"/>
        </w:rPr>
      </w:pPr>
      <w:r>
        <w:rPr>
          <w:rFonts w:hint="eastAsia"/>
          <w:color w:val="auto"/>
        </w:rPr>
        <w:t>互联网支付检测</w:t>
      </w:r>
    </w:p>
    <w:p>
      <w:pPr>
        <w:pStyle w:val="60"/>
        <w:ind w:firstLine="420"/>
        <w:rPr>
          <w:color w:val="auto"/>
        </w:rPr>
      </w:pPr>
      <w:r>
        <w:rPr>
          <w:rFonts w:hint="eastAsia"/>
          <w:color w:val="auto"/>
        </w:rPr>
        <w:t>互联网支付检测要求如下：</w:t>
      </w:r>
    </w:p>
    <w:p>
      <w:pPr>
        <w:pStyle w:val="178"/>
        <w:numPr>
          <w:ilvl w:val="0"/>
          <w:numId w:val="374"/>
        </w:numPr>
        <w:rPr>
          <w:color w:val="auto"/>
        </w:rPr>
      </w:pPr>
      <w:r>
        <w:rPr>
          <w:rFonts w:hint="eastAsia"/>
          <w:color w:val="auto"/>
        </w:rPr>
        <w:t>检测内容应依据DB11/T 1164.1中 中心系统非现金支付功能的要求逐项检测；</w:t>
      </w:r>
    </w:p>
    <w:p>
      <w:pPr>
        <w:pStyle w:val="178"/>
        <w:rPr>
          <w:color w:val="auto"/>
        </w:rPr>
      </w:pPr>
      <w:r>
        <w:rPr>
          <w:rFonts w:hint="eastAsia"/>
          <w:color w:val="auto"/>
        </w:rPr>
        <w:t>检测方法应使用受检终端设备进行非现金支付业务处理，所生成的交易数据上传至实验室环境测试中心系统。通过中心系统的记录检测受检终端设备交易正确。</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设备参数同步时间检测</w:t>
      </w:r>
    </w:p>
    <w:p>
      <w:pPr>
        <w:pStyle w:val="60"/>
        <w:ind w:firstLine="420"/>
        <w:rPr>
          <w:color w:val="auto"/>
        </w:rPr>
      </w:pPr>
      <w:r>
        <w:rPr>
          <w:rFonts w:hint="eastAsia"/>
          <w:color w:val="auto"/>
        </w:rPr>
        <w:t>设备参数同步时间检测要求如下：</w:t>
      </w:r>
    </w:p>
    <w:p>
      <w:pPr>
        <w:pStyle w:val="178"/>
        <w:numPr>
          <w:ilvl w:val="0"/>
          <w:numId w:val="375"/>
        </w:numPr>
        <w:rPr>
          <w:color w:val="auto"/>
        </w:rPr>
      </w:pPr>
      <w:r>
        <w:rPr>
          <w:rFonts w:hint="eastAsia"/>
          <w:color w:val="auto"/>
        </w:rPr>
        <w:t>检测内容为受检ITVM成功完成参数同步的时间；</w:t>
      </w:r>
    </w:p>
    <w:p>
      <w:pPr>
        <w:pStyle w:val="178"/>
        <w:rPr>
          <w:color w:val="auto"/>
        </w:rPr>
      </w:pPr>
      <w:r>
        <w:rPr>
          <w:rFonts w:hint="eastAsia"/>
          <w:color w:val="auto"/>
        </w:rPr>
        <w:t>检测方法应使用仿真中心系统向受检ITVM下发参数。通过仿真中心系统的记录检测受检ITVM完成参数同步的时间。</w:t>
      </w:r>
    </w:p>
    <w:p>
      <w:pPr>
        <w:pStyle w:val="98"/>
        <w:spacing w:before="156" w:after="156"/>
        <w:rPr>
          <w:color w:val="auto"/>
        </w:rPr>
      </w:pPr>
      <w:r>
        <w:rPr>
          <w:rFonts w:hint="eastAsia"/>
          <w:color w:val="auto"/>
        </w:rPr>
        <w:t>设备执行控制指令时间检测</w:t>
      </w:r>
    </w:p>
    <w:p>
      <w:pPr>
        <w:pStyle w:val="60"/>
        <w:ind w:firstLine="420"/>
        <w:rPr>
          <w:color w:val="auto"/>
        </w:rPr>
      </w:pPr>
      <w:r>
        <w:rPr>
          <w:rFonts w:hint="eastAsia"/>
          <w:color w:val="auto"/>
        </w:rPr>
        <w:t>设备执行控制指令时间检测要求如下：</w:t>
      </w:r>
    </w:p>
    <w:p>
      <w:pPr>
        <w:pStyle w:val="178"/>
        <w:numPr>
          <w:ilvl w:val="0"/>
          <w:numId w:val="376"/>
        </w:numPr>
        <w:rPr>
          <w:color w:val="auto"/>
        </w:rPr>
      </w:pPr>
      <w:r>
        <w:rPr>
          <w:rFonts w:hint="eastAsia"/>
          <w:color w:val="auto"/>
        </w:rPr>
        <w:t>检测内容为中心系统下发控制指令开始到受检ITVM成功执行控制指令的时间间隔；</w:t>
      </w:r>
    </w:p>
    <w:p>
      <w:pPr>
        <w:pStyle w:val="178"/>
        <w:rPr>
          <w:color w:val="auto"/>
        </w:rPr>
      </w:pPr>
      <w:r>
        <w:rPr>
          <w:rFonts w:hint="eastAsia"/>
          <w:color w:val="auto"/>
        </w:rPr>
        <w:t>检测方法应使用仿真中心系统向受检ITVM发送控制命令。通过仿真中心系统的记录检测受检ITVM接收到控制命令并将执行结果上传至仿真中心系统的时间间隔。</w:t>
      </w:r>
    </w:p>
    <w:p>
      <w:pPr>
        <w:pStyle w:val="98"/>
        <w:spacing w:before="156" w:after="156"/>
        <w:rPr>
          <w:color w:val="auto"/>
        </w:rPr>
      </w:pPr>
      <w:r>
        <w:rPr>
          <w:rFonts w:hint="eastAsia"/>
          <w:color w:val="auto"/>
        </w:rPr>
        <w:t>单张车票发售时间检测</w:t>
      </w:r>
    </w:p>
    <w:p>
      <w:pPr>
        <w:pStyle w:val="60"/>
        <w:ind w:firstLine="420"/>
        <w:rPr>
          <w:color w:val="auto"/>
        </w:rPr>
      </w:pPr>
      <w:r>
        <w:rPr>
          <w:rFonts w:hint="eastAsia"/>
          <w:color w:val="auto"/>
        </w:rPr>
        <w:t>单张车票发售时间检测要求如下：</w:t>
      </w:r>
    </w:p>
    <w:p>
      <w:pPr>
        <w:pStyle w:val="178"/>
        <w:numPr>
          <w:ilvl w:val="0"/>
          <w:numId w:val="377"/>
        </w:numPr>
        <w:rPr>
          <w:color w:val="auto"/>
        </w:rPr>
      </w:pPr>
      <w:r>
        <w:rPr>
          <w:rFonts w:hint="eastAsia"/>
          <w:color w:val="auto"/>
        </w:rPr>
        <w:t>检测内容为受检设备应符合DB11/T 1164.7自动售票机的单张车票发售时间要求；</w:t>
      </w:r>
    </w:p>
    <w:p>
      <w:pPr>
        <w:pStyle w:val="178"/>
        <w:rPr>
          <w:color w:val="auto"/>
        </w:rPr>
      </w:pPr>
      <w:r>
        <w:rPr>
          <w:rFonts w:hint="eastAsia"/>
          <w:color w:val="auto"/>
        </w:rPr>
        <w:t>检测方法应在受检设备上按下表推荐用例购买单张车票，使用非现金支付，记录完成非现金支付后开始购票，到车票完全送出的间隔时间。每个项目类别各测量5次，取平均值。各类车票发售项目的推荐测试用例</w:t>
      </w:r>
      <w:r>
        <w:rPr>
          <w:rFonts w:hint="eastAsia"/>
          <w:color w:val="auto"/>
          <w:lang w:eastAsia="zh-CN"/>
        </w:rPr>
        <w:t>应符合</w:t>
      </w:r>
      <w:r>
        <w:rPr>
          <w:rFonts w:hint="eastAsia"/>
          <w:color w:val="auto"/>
        </w:rPr>
        <w:t>表26。</w:t>
      </w:r>
    </w:p>
    <w:p>
      <w:pPr>
        <w:pStyle w:val="116"/>
        <w:spacing w:before="156" w:after="156"/>
        <w:rPr>
          <w:color w:val="auto"/>
        </w:rPr>
      </w:pPr>
      <w:r>
        <w:rPr>
          <w:rFonts w:hint="eastAsia"/>
          <w:color w:val="auto"/>
        </w:rPr>
        <w:t>各车票发售项目推荐测试用例</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2"/>
        <w:gridCol w:w="3474"/>
        <w:gridCol w:w="4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5"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3459"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项目类别</w:t>
            </w:r>
          </w:p>
        </w:tc>
        <w:tc>
          <w:tcPr>
            <w:tcW w:w="4250"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推荐用例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5"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3459"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非现金支付</w:t>
            </w:r>
          </w:p>
        </w:tc>
        <w:tc>
          <w:tcPr>
            <w:tcW w:w="4250"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非现金支付购1张3元车票</w:t>
            </w:r>
          </w:p>
        </w:tc>
      </w:tr>
    </w:tbl>
    <w:p>
      <w:pPr>
        <w:pStyle w:val="109"/>
        <w:spacing w:before="156" w:after="156"/>
        <w:rPr>
          <w:color w:val="auto"/>
        </w:rPr>
      </w:pPr>
      <w:bookmarkStart w:id="512" w:name="OLE_LINK23"/>
      <w:bookmarkEnd w:id="512"/>
      <w:bookmarkStart w:id="513" w:name="_Toc27514"/>
      <w:r>
        <w:rPr>
          <w:rFonts w:hint="eastAsia"/>
          <w:color w:val="auto"/>
        </w:rPr>
        <w:t>自助补票机检测</w:t>
      </w:r>
      <w:bookmarkEnd w:id="513"/>
    </w:p>
    <w:p>
      <w:pPr>
        <w:pStyle w:val="69"/>
        <w:spacing w:before="156" w:after="156"/>
        <w:rPr>
          <w:color w:val="auto"/>
        </w:rPr>
      </w:pPr>
      <w:r>
        <w:rPr>
          <w:rFonts w:hint="eastAsia"/>
          <w:color w:val="auto"/>
        </w:rPr>
        <w:t>外观与结构检测</w:t>
      </w:r>
    </w:p>
    <w:p>
      <w:pPr>
        <w:pStyle w:val="60"/>
        <w:ind w:firstLine="420"/>
        <w:rPr>
          <w:color w:val="auto"/>
        </w:rPr>
      </w:pPr>
      <w:r>
        <w:rPr>
          <w:rFonts w:hint="eastAsia"/>
          <w:color w:val="auto"/>
        </w:rPr>
        <w:t>外观与结构检测要求如下：</w:t>
      </w:r>
    </w:p>
    <w:p>
      <w:pPr>
        <w:pStyle w:val="178"/>
        <w:numPr>
          <w:ilvl w:val="0"/>
          <w:numId w:val="378"/>
        </w:numPr>
        <w:rPr>
          <w:color w:val="auto"/>
        </w:rPr>
      </w:pPr>
      <w:r>
        <w:rPr>
          <w:rFonts w:hint="eastAsia"/>
          <w:color w:val="auto"/>
        </w:rPr>
        <w:t>检测内容应依据DB11/T 1164.7自动补票机的外观与结构要求逐项检测；</w:t>
      </w:r>
    </w:p>
    <w:p>
      <w:pPr>
        <w:pStyle w:val="178"/>
        <w:rPr>
          <w:color w:val="auto"/>
        </w:rPr>
      </w:pPr>
      <w:r>
        <w:rPr>
          <w:rFonts w:hint="eastAsia"/>
          <w:color w:val="auto"/>
        </w:rPr>
        <w:t>检测方法应使用测量、目测及触摸法进行检测。</w:t>
      </w:r>
    </w:p>
    <w:p>
      <w:pPr>
        <w:pStyle w:val="69"/>
        <w:spacing w:before="156" w:after="156"/>
        <w:rPr>
          <w:color w:val="auto"/>
        </w:rPr>
      </w:pPr>
      <w:r>
        <w:rPr>
          <w:rFonts w:hint="eastAsia"/>
          <w:color w:val="auto"/>
        </w:rPr>
        <w:t>装配检测</w:t>
      </w:r>
    </w:p>
    <w:p>
      <w:pPr>
        <w:pStyle w:val="60"/>
        <w:ind w:firstLine="420"/>
        <w:rPr>
          <w:color w:val="auto"/>
        </w:rPr>
      </w:pPr>
      <w:r>
        <w:rPr>
          <w:rFonts w:hint="eastAsia"/>
          <w:color w:val="auto"/>
        </w:rPr>
        <w:t>装配检测要求如下：</w:t>
      </w:r>
    </w:p>
    <w:p>
      <w:pPr>
        <w:pStyle w:val="178"/>
        <w:numPr>
          <w:ilvl w:val="0"/>
          <w:numId w:val="379"/>
        </w:numPr>
        <w:rPr>
          <w:color w:val="auto"/>
        </w:rPr>
      </w:pPr>
      <w:r>
        <w:rPr>
          <w:rFonts w:hint="eastAsia"/>
          <w:color w:val="auto"/>
        </w:rPr>
        <w:t>检测内容应依据DB11/T 1164.7自动补票机的装配要求逐项检测；</w:t>
      </w:r>
    </w:p>
    <w:p>
      <w:pPr>
        <w:pStyle w:val="178"/>
        <w:rPr>
          <w:color w:val="auto"/>
        </w:rPr>
      </w:pPr>
      <w:r>
        <w:rPr>
          <w:rFonts w:hint="eastAsia"/>
          <w:color w:val="auto"/>
        </w:rPr>
        <w:t>检测方法应</w:t>
      </w:r>
      <w:r>
        <w:rPr>
          <w:rFonts w:hint="eastAsia"/>
          <w:bCs/>
          <w:color w:val="auto"/>
        </w:rPr>
        <w:t>使用目测的方法进行检测。</w:t>
      </w:r>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硬件配置检测</w:t>
      </w:r>
    </w:p>
    <w:p>
      <w:pPr>
        <w:pStyle w:val="60"/>
        <w:ind w:firstLine="420"/>
        <w:rPr>
          <w:color w:val="auto"/>
        </w:rPr>
      </w:pPr>
      <w:r>
        <w:rPr>
          <w:rFonts w:hint="eastAsia"/>
          <w:color w:val="auto"/>
        </w:rPr>
        <w:t>硬件配置检测要求如下：</w:t>
      </w:r>
    </w:p>
    <w:p>
      <w:pPr>
        <w:pStyle w:val="178"/>
        <w:numPr>
          <w:ilvl w:val="0"/>
          <w:numId w:val="380"/>
        </w:numPr>
        <w:rPr>
          <w:color w:val="auto"/>
        </w:rPr>
      </w:pPr>
      <w:r>
        <w:rPr>
          <w:rFonts w:hint="eastAsia"/>
          <w:color w:val="auto"/>
        </w:rPr>
        <w:t>检测内容应依据DB11/T 1164.7自动补票机的硬件配置要求逐项检测；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381"/>
        </w:numPr>
        <w:rPr>
          <w:color w:val="auto"/>
        </w:rPr>
      </w:pPr>
      <w:r>
        <w:rPr>
          <w:rFonts w:hint="eastAsia"/>
          <w:color w:val="auto"/>
        </w:rPr>
        <w:t>检测内容应依据DB11/T 1164.7自动补票机的软件件配置要求逐项检测；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382"/>
        </w:numPr>
        <w:rPr>
          <w:color w:val="auto"/>
        </w:rPr>
      </w:pPr>
      <w:r>
        <w:rPr>
          <w:rFonts w:hint="eastAsia"/>
          <w:color w:val="auto"/>
        </w:rPr>
        <w:t>检测内容应依据DB11/T 1164.7自动补票机的接口要求逐项检测；</w:t>
      </w:r>
    </w:p>
    <w:p>
      <w:pPr>
        <w:pStyle w:val="178"/>
        <w:rPr>
          <w:color w:val="auto"/>
        </w:rPr>
      </w:pPr>
      <w:r>
        <w:rPr>
          <w:rFonts w:hint="eastAsia"/>
          <w:color w:val="auto"/>
        </w:rPr>
        <w:t>检测方法应使用仿真系统/仿真工具模拟中心系统/专用模块进行检测。</w:t>
      </w:r>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售票检测</w:t>
      </w:r>
    </w:p>
    <w:p>
      <w:pPr>
        <w:pStyle w:val="60"/>
        <w:ind w:firstLine="420"/>
        <w:rPr>
          <w:color w:val="auto"/>
        </w:rPr>
      </w:pPr>
      <w:r>
        <w:rPr>
          <w:rFonts w:hint="eastAsia"/>
          <w:color w:val="auto"/>
        </w:rPr>
        <w:t>售票检测要求如下：</w:t>
      </w:r>
    </w:p>
    <w:p>
      <w:pPr>
        <w:pStyle w:val="178"/>
        <w:numPr>
          <w:ilvl w:val="0"/>
          <w:numId w:val="383"/>
        </w:numPr>
        <w:rPr>
          <w:color w:val="auto"/>
        </w:rPr>
      </w:pPr>
      <w:r>
        <w:rPr>
          <w:rFonts w:hint="eastAsia"/>
          <w:color w:val="auto"/>
        </w:rPr>
        <w:t>检测内容应依据DB11/T 1164.1中TSM业务处理中售票业务的要求逐项检测；</w:t>
      </w:r>
    </w:p>
    <w:p>
      <w:pPr>
        <w:pStyle w:val="178"/>
        <w:rPr>
          <w:color w:val="auto"/>
        </w:rPr>
      </w:pPr>
      <w:r>
        <w:rPr>
          <w:rFonts w:hint="eastAsia"/>
          <w:color w:val="auto"/>
        </w:rPr>
        <w:t>检测方法应在受检TSM上发售出站票，通过仿真中心系统的记录检测受检TSM产生售票数据的正确性。</w:t>
      </w:r>
    </w:p>
    <w:p>
      <w:pPr>
        <w:pStyle w:val="98"/>
        <w:spacing w:before="156" w:after="156"/>
        <w:rPr>
          <w:color w:val="auto"/>
        </w:rPr>
      </w:pPr>
      <w:r>
        <w:rPr>
          <w:rFonts w:hint="eastAsia"/>
          <w:color w:val="auto"/>
        </w:rPr>
        <w:t>充值检测</w:t>
      </w:r>
    </w:p>
    <w:p>
      <w:pPr>
        <w:pStyle w:val="60"/>
        <w:ind w:firstLine="420"/>
        <w:rPr>
          <w:color w:val="auto"/>
        </w:rPr>
      </w:pPr>
      <w:r>
        <w:rPr>
          <w:rFonts w:hint="eastAsia"/>
          <w:color w:val="auto"/>
        </w:rPr>
        <w:t>充值检测要求如下：</w:t>
      </w:r>
    </w:p>
    <w:p>
      <w:pPr>
        <w:pStyle w:val="178"/>
        <w:numPr>
          <w:ilvl w:val="0"/>
          <w:numId w:val="384"/>
        </w:numPr>
        <w:rPr>
          <w:color w:val="auto"/>
        </w:rPr>
      </w:pPr>
      <w:r>
        <w:rPr>
          <w:rFonts w:hint="eastAsia"/>
          <w:color w:val="auto"/>
        </w:rPr>
        <w:t>检测内容应依据DB11/T 1164.1中TSM业务处理中充值业务的要求逐项检测；</w:t>
      </w:r>
    </w:p>
    <w:p>
      <w:pPr>
        <w:pStyle w:val="178"/>
        <w:rPr>
          <w:color w:val="auto"/>
        </w:rPr>
      </w:pPr>
      <w:r>
        <w:rPr>
          <w:rFonts w:hint="eastAsia"/>
          <w:color w:val="auto"/>
        </w:rPr>
        <w:t>检测方法应在受检TSM上对一卡通发行的允许充值的一卡通卡进行充值操作，通过仿真中心系统的记录检测受检TSM产生充值数据的正确性。</w:t>
      </w:r>
    </w:p>
    <w:p>
      <w:pPr>
        <w:pStyle w:val="98"/>
        <w:spacing w:before="156" w:after="156"/>
        <w:rPr>
          <w:color w:val="auto"/>
        </w:rPr>
      </w:pPr>
      <w:r>
        <w:rPr>
          <w:rFonts w:hint="eastAsia"/>
          <w:color w:val="auto"/>
        </w:rPr>
        <w:t>运营开始检测</w:t>
      </w:r>
    </w:p>
    <w:p>
      <w:pPr>
        <w:pStyle w:val="60"/>
        <w:ind w:firstLine="420"/>
        <w:rPr>
          <w:color w:val="auto"/>
        </w:rPr>
      </w:pPr>
      <w:r>
        <w:rPr>
          <w:rFonts w:hint="eastAsia"/>
          <w:color w:val="auto"/>
        </w:rPr>
        <w:t>运营开始检测要求如下：</w:t>
      </w:r>
    </w:p>
    <w:p>
      <w:pPr>
        <w:pStyle w:val="178"/>
        <w:numPr>
          <w:ilvl w:val="0"/>
          <w:numId w:val="385"/>
        </w:numPr>
        <w:rPr>
          <w:color w:val="auto"/>
        </w:rPr>
      </w:pPr>
      <w:r>
        <w:rPr>
          <w:rFonts w:hint="eastAsia"/>
          <w:color w:val="auto"/>
        </w:rPr>
        <w:t>检测内容应依据DB11/T 1164.1中TSM运营开始功能的要求逐项检测；</w:t>
      </w:r>
    </w:p>
    <w:p>
      <w:pPr>
        <w:pStyle w:val="178"/>
        <w:rPr>
          <w:color w:val="auto"/>
        </w:rPr>
      </w:pPr>
      <w:r>
        <w:rPr>
          <w:rFonts w:hint="eastAsia"/>
          <w:color w:val="auto"/>
        </w:rPr>
        <w:t>检测方法要求如下：</w:t>
      </w:r>
    </w:p>
    <w:p>
      <w:pPr>
        <w:pStyle w:val="113"/>
        <w:numPr>
          <w:ilvl w:val="1"/>
          <w:numId w:val="386"/>
        </w:numPr>
        <w:rPr>
          <w:color w:val="auto"/>
        </w:rPr>
      </w:pPr>
      <w:r>
        <w:rPr>
          <w:rFonts w:hint="eastAsia"/>
          <w:color w:val="auto"/>
        </w:rPr>
        <w:t>通过手动、设置参数或由仿真中心系统下发命令的方式使受检TSM进行运营开始操作，通过仿真系统的记录检测受检TSM的处理应符合DB11/T 1164.1、DB11/T 1164.2和DB11/T 1164.3有关运营开始的规定；</w:t>
      </w:r>
    </w:p>
    <w:p>
      <w:pPr>
        <w:pStyle w:val="113"/>
        <w:rPr>
          <w:color w:val="auto"/>
        </w:rPr>
      </w:pPr>
      <w:r>
        <w:rPr>
          <w:rFonts w:hint="eastAsia"/>
          <w:color w:val="auto"/>
        </w:rPr>
        <w:t>在受检TSM上手动设置运营开始指令，通过仿真系统的记录检测受检TSM的处理应符合DB11/T 1164.1、DB11/T 1164.2和DB11/T 1164.3有关运营开始的规定。</w:t>
      </w:r>
    </w:p>
    <w:p>
      <w:pPr>
        <w:pStyle w:val="98"/>
        <w:spacing w:before="156" w:after="156"/>
        <w:rPr>
          <w:color w:val="auto"/>
        </w:rPr>
      </w:pPr>
      <w:r>
        <w:rPr>
          <w:rFonts w:hint="eastAsia"/>
          <w:color w:val="auto"/>
        </w:rPr>
        <w:t>运营结束检测</w:t>
      </w:r>
    </w:p>
    <w:p>
      <w:pPr>
        <w:pStyle w:val="60"/>
        <w:ind w:firstLine="420"/>
        <w:rPr>
          <w:color w:val="auto"/>
        </w:rPr>
      </w:pPr>
      <w:r>
        <w:rPr>
          <w:rFonts w:hint="eastAsia"/>
          <w:color w:val="auto"/>
        </w:rPr>
        <w:t>运营结束检测要求如下：</w:t>
      </w:r>
    </w:p>
    <w:p>
      <w:pPr>
        <w:pStyle w:val="178"/>
        <w:numPr>
          <w:ilvl w:val="0"/>
          <w:numId w:val="387"/>
        </w:numPr>
        <w:rPr>
          <w:color w:val="auto"/>
        </w:rPr>
      </w:pPr>
      <w:r>
        <w:rPr>
          <w:rFonts w:hint="eastAsia"/>
          <w:color w:val="auto"/>
        </w:rPr>
        <w:t>检测内容应依据DB11/T 1164.1中TSM运营结束功能的要求逐项检测；</w:t>
      </w:r>
    </w:p>
    <w:p>
      <w:pPr>
        <w:pStyle w:val="178"/>
        <w:rPr>
          <w:color w:val="auto"/>
        </w:rPr>
      </w:pPr>
      <w:r>
        <w:rPr>
          <w:rFonts w:hint="eastAsia"/>
          <w:color w:val="auto"/>
        </w:rPr>
        <w:t>检测方法要求如下：</w:t>
      </w:r>
    </w:p>
    <w:p>
      <w:pPr>
        <w:pStyle w:val="113"/>
        <w:numPr>
          <w:ilvl w:val="1"/>
          <w:numId w:val="388"/>
        </w:numPr>
        <w:rPr>
          <w:color w:val="auto"/>
        </w:rPr>
      </w:pPr>
      <w:r>
        <w:rPr>
          <w:rFonts w:hint="eastAsia"/>
          <w:color w:val="auto"/>
        </w:rPr>
        <w:t>通过手动、设置参数或由仿真中心系统下发命令的方式使受检TSM进行运营结束操作，通过仿真系统的记录检测受检TSM的处理应符合DB11/T 1164.1、DB11/T 1164.2和DB11/T 1164.3有关运营结束的规定；</w:t>
      </w:r>
    </w:p>
    <w:p>
      <w:pPr>
        <w:pStyle w:val="113"/>
        <w:rPr>
          <w:color w:val="auto"/>
        </w:rPr>
      </w:pPr>
      <w:r>
        <w:rPr>
          <w:rFonts w:hint="eastAsia"/>
          <w:color w:val="auto"/>
        </w:rPr>
        <w:t>在受检TSM上手动设置运营开始指令，通过仿真系统的记录检测受检TSM的处理应符合DB11/T 1164.1、DB11/T 1164.2和DB11/T 1164.3有关运营结束的规定。</w:t>
      </w:r>
    </w:p>
    <w:p>
      <w:pPr>
        <w:pStyle w:val="98"/>
        <w:spacing w:before="156" w:after="156"/>
        <w:rPr>
          <w:color w:val="auto"/>
        </w:rPr>
      </w:pPr>
      <w:r>
        <w:rPr>
          <w:rFonts w:hint="eastAsia"/>
          <w:color w:val="auto"/>
        </w:rPr>
        <w:t>执行运行时间表检测</w:t>
      </w:r>
    </w:p>
    <w:p>
      <w:pPr>
        <w:pStyle w:val="60"/>
        <w:ind w:firstLine="420"/>
        <w:rPr>
          <w:color w:val="auto"/>
        </w:rPr>
      </w:pPr>
      <w:r>
        <w:rPr>
          <w:rFonts w:hint="eastAsia"/>
          <w:color w:val="auto"/>
        </w:rPr>
        <w:t>执行运行时间表检测要求如下：</w:t>
      </w:r>
    </w:p>
    <w:p>
      <w:pPr>
        <w:pStyle w:val="178"/>
        <w:numPr>
          <w:ilvl w:val="0"/>
          <w:numId w:val="389"/>
        </w:numPr>
        <w:rPr>
          <w:color w:val="auto"/>
        </w:rPr>
      </w:pPr>
      <w:r>
        <w:rPr>
          <w:rFonts w:hint="eastAsia"/>
          <w:color w:val="auto"/>
        </w:rPr>
        <w:t>检测内容应依据DB11/T 1164.1中TSM执行运行时间表功能的要求逐项检测；</w:t>
      </w:r>
    </w:p>
    <w:p>
      <w:pPr>
        <w:pStyle w:val="178"/>
        <w:rPr>
          <w:color w:val="auto"/>
        </w:rPr>
      </w:pPr>
      <w:r>
        <w:rPr>
          <w:rFonts w:hint="eastAsia"/>
          <w:color w:val="auto"/>
        </w:rPr>
        <w:t>检测方法要求如下：</w:t>
      </w:r>
    </w:p>
    <w:p>
      <w:pPr>
        <w:pStyle w:val="113"/>
        <w:numPr>
          <w:ilvl w:val="1"/>
          <w:numId w:val="390"/>
        </w:numPr>
        <w:rPr>
          <w:color w:val="auto"/>
        </w:rPr>
      </w:pPr>
      <w:r>
        <w:rPr>
          <w:rFonts w:hint="eastAsia"/>
          <w:color w:val="auto"/>
        </w:rPr>
        <w:t>使用仿真中心系统向受检TSM下发运行时间表参数，检测受检TSM的处理应符合DB11/T 1164.1、DB11/T 1164.2和DB11/T 1164.3有关运行时间表的规定；</w:t>
      </w:r>
    </w:p>
    <w:p>
      <w:pPr>
        <w:pStyle w:val="113"/>
        <w:rPr>
          <w:color w:val="auto"/>
        </w:rPr>
      </w:pPr>
      <w:r>
        <w:rPr>
          <w:rFonts w:hint="eastAsia"/>
          <w:color w:val="auto"/>
        </w:rPr>
        <w:t>在受检TSM上导入运行时间表，检测受检TSM的处理应符合DB11/T 1164.1、DB11/T 1164.2和DB11/T 1164.3有关运行时间表的规定。</w:t>
      </w:r>
    </w:p>
    <w:p>
      <w:pPr>
        <w:pStyle w:val="98"/>
        <w:spacing w:before="156" w:after="156"/>
        <w:rPr>
          <w:color w:val="auto"/>
        </w:rPr>
      </w:pPr>
      <w:r>
        <w:rPr>
          <w:rFonts w:hint="eastAsia"/>
          <w:color w:val="auto"/>
        </w:rPr>
        <w:t>时钟同步检测</w:t>
      </w:r>
    </w:p>
    <w:p>
      <w:pPr>
        <w:pStyle w:val="60"/>
        <w:ind w:firstLine="420"/>
        <w:rPr>
          <w:color w:val="auto"/>
        </w:rPr>
      </w:pPr>
      <w:r>
        <w:rPr>
          <w:rFonts w:hint="eastAsia"/>
          <w:color w:val="auto"/>
        </w:rPr>
        <w:t>时钟同步检测要求如下：</w:t>
      </w:r>
    </w:p>
    <w:p>
      <w:pPr>
        <w:pStyle w:val="178"/>
        <w:numPr>
          <w:ilvl w:val="0"/>
          <w:numId w:val="391"/>
        </w:numPr>
        <w:rPr>
          <w:color w:val="auto"/>
        </w:rPr>
      </w:pPr>
      <w:r>
        <w:rPr>
          <w:rFonts w:hint="eastAsia"/>
          <w:color w:val="auto"/>
        </w:rPr>
        <w:t>检测内容应依据DB11/T 1164.1中TSM时钟同步功能的要求逐项检测；</w:t>
      </w:r>
    </w:p>
    <w:p>
      <w:pPr>
        <w:pStyle w:val="178"/>
        <w:rPr>
          <w:color w:val="auto"/>
        </w:rPr>
      </w:pPr>
      <w:r>
        <w:rPr>
          <w:rFonts w:hint="eastAsia"/>
          <w:color w:val="auto"/>
        </w:rPr>
        <w:t>自动时钟同步检测方法要求如下：</w:t>
      </w:r>
    </w:p>
    <w:p>
      <w:pPr>
        <w:pStyle w:val="113"/>
        <w:numPr>
          <w:ilvl w:val="1"/>
          <w:numId w:val="392"/>
        </w:numPr>
        <w:rPr>
          <w:color w:val="auto"/>
        </w:rPr>
      </w:pPr>
      <w:r>
        <w:rPr>
          <w:rFonts w:hint="eastAsia"/>
          <w:color w:val="auto"/>
        </w:rPr>
        <w:t>使用仿真中心系统下发时钟同步间隔参数至受检TSM；</w:t>
      </w:r>
    </w:p>
    <w:p>
      <w:pPr>
        <w:pStyle w:val="113"/>
        <w:rPr>
          <w:color w:val="auto"/>
        </w:rPr>
      </w:pPr>
      <w:r>
        <w:rPr>
          <w:rFonts w:hint="eastAsia"/>
          <w:color w:val="auto"/>
        </w:rPr>
        <w:t>通过设置受检TSM的时钟与仿真中心系统的时钟的差异，观察受检TSM的处理应符合DB11/T 1164.1、DB11/T 1164.2和DB11/T 1164.3有关时钟同步的规定。</w:t>
      </w:r>
    </w:p>
    <w:p>
      <w:pPr>
        <w:pStyle w:val="113"/>
        <w:rPr>
          <w:color w:val="auto"/>
        </w:rPr>
      </w:pPr>
      <w:r>
        <w:rPr>
          <w:rFonts w:hint="eastAsia"/>
          <w:color w:val="auto"/>
        </w:rPr>
        <w:t>强制时钟同步检测方法要求如下：</w:t>
      </w:r>
    </w:p>
    <w:p>
      <w:pPr>
        <w:pStyle w:val="113"/>
        <w:rPr>
          <w:color w:val="auto"/>
        </w:rPr>
      </w:pPr>
      <w:r>
        <w:rPr>
          <w:rFonts w:hint="eastAsia"/>
          <w:color w:val="auto"/>
        </w:rPr>
        <w:t>使用仿真中心系统下发强制时钟同步命令，观察受检TSM的强制时钟同步处理应正确；</w:t>
      </w:r>
    </w:p>
    <w:p>
      <w:pPr>
        <w:pStyle w:val="113"/>
        <w:rPr>
          <w:color w:val="auto"/>
        </w:rPr>
      </w:pPr>
      <w:r>
        <w:rPr>
          <w:rFonts w:hint="eastAsia"/>
          <w:color w:val="auto"/>
        </w:rPr>
        <w:t>通过仿真中心系统的记录检测受检TSM上传的同步结果数据应正确。</w:t>
      </w:r>
    </w:p>
    <w:p>
      <w:pPr>
        <w:pStyle w:val="98"/>
        <w:spacing w:before="156" w:after="156"/>
        <w:rPr>
          <w:color w:val="auto"/>
        </w:rPr>
      </w:pPr>
      <w:r>
        <w:rPr>
          <w:rFonts w:hint="eastAsia"/>
          <w:color w:val="auto"/>
        </w:rPr>
        <w:t>操作员登录登出检测</w:t>
      </w:r>
    </w:p>
    <w:p>
      <w:pPr>
        <w:pStyle w:val="60"/>
        <w:ind w:firstLine="420"/>
        <w:rPr>
          <w:color w:val="auto"/>
        </w:rPr>
      </w:pPr>
      <w:r>
        <w:rPr>
          <w:rFonts w:hint="eastAsia"/>
          <w:color w:val="auto"/>
        </w:rPr>
        <w:t>操作员登录登出检测要求如下：</w:t>
      </w:r>
    </w:p>
    <w:p>
      <w:pPr>
        <w:pStyle w:val="178"/>
        <w:numPr>
          <w:ilvl w:val="0"/>
          <w:numId w:val="393"/>
        </w:numPr>
        <w:rPr>
          <w:color w:val="auto"/>
        </w:rPr>
      </w:pPr>
      <w:r>
        <w:rPr>
          <w:rFonts w:hint="eastAsia"/>
          <w:color w:val="auto"/>
        </w:rPr>
        <w:t>检测内容应依据DB11/T 1164.1中TSM操作员登录登出功能的要求逐项检测；</w:t>
      </w:r>
    </w:p>
    <w:p>
      <w:pPr>
        <w:pStyle w:val="178"/>
        <w:rPr>
          <w:color w:val="auto"/>
        </w:rPr>
      </w:pPr>
      <w:r>
        <w:rPr>
          <w:rFonts w:hint="eastAsia"/>
          <w:color w:val="auto"/>
        </w:rPr>
        <w:t>检测方法要求如下：</w:t>
      </w:r>
    </w:p>
    <w:p>
      <w:pPr>
        <w:pStyle w:val="113"/>
        <w:numPr>
          <w:ilvl w:val="1"/>
          <w:numId w:val="394"/>
        </w:numPr>
        <w:rPr>
          <w:color w:val="auto"/>
        </w:rPr>
      </w:pPr>
      <w:r>
        <w:rPr>
          <w:rFonts w:hint="eastAsia"/>
          <w:color w:val="auto"/>
        </w:rPr>
        <w:t>使用仿真中心系统向受检TSM下发操作员权限参数，在受检TSM上进行登录操作，通过仿真系统的记录检测受检TSM对操作员登录的处理应符合DB11/T 1164.1和DB11/T 1164.2的规定；</w:t>
      </w:r>
    </w:p>
    <w:p>
      <w:pPr>
        <w:pStyle w:val="113"/>
        <w:rPr>
          <w:color w:val="auto"/>
        </w:rPr>
      </w:pPr>
      <w:r>
        <w:rPr>
          <w:rFonts w:hint="eastAsia"/>
          <w:color w:val="auto"/>
        </w:rPr>
        <w:t>在受检TSM上导入操作员权限参数，在受检TSM上进行登录操作，通过仿真系统的记录检测受检TSM对操作员登录登出的处理应符合DB11/T 1164.1和DB11/T 1164.2的规定；</w:t>
      </w:r>
    </w:p>
    <w:p>
      <w:pPr>
        <w:pStyle w:val="113"/>
        <w:rPr>
          <w:color w:val="auto"/>
        </w:rPr>
      </w:pPr>
      <w:r>
        <w:rPr>
          <w:rFonts w:hint="eastAsia"/>
          <w:color w:val="auto"/>
        </w:rPr>
        <w:t>在受检TSM上进行登出操作，通过仿真系统的检测受检TSM对操作员登出的处理应符合DB11/T 1164.1和DB11/T 1164.2的规定。</w:t>
      </w:r>
    </w:p>
    <w:p>
      <w:pPr>
        <w:pStyle w:val="98"/>
        <w:spacing w:before="156" w:after="156"/>
        <w:rPr>
          <w:color w:val="auto"/>
        </w:rPr>
      </w:pPr>
      <w:r>
        <w:rPr>
          <w:rFonts w:hint="eastAsia"/>
          <w:color w:val="auto"/>
        </w:rPr>
        <w:t>数据查询检测</w:t>
      </w:r>
    </w:p>
    <w:p>
      <w:pPr>
        <w:pStyle w:val="60"/>
        <w:ind w:firstLine="420"/>
        <w:rPr>
          <w:color w:val="auto"/>
        </w:rPr>
      </w:pPr>
      <w:r>
        <w:rPr>
          <w:rFonts w:hint="eastAsia"/>
          <w:color w:val="auto"/>
        </w:rPr>
        <w:t>数据查询检测要求如下：</w:t>
      </w:r>
    </w:p>
    <w:p>
      <w:pPr>
        <w:pStyle w:val="178"/>
        <w:numPr>
          <w:ilvl w:val="0"/>
          <w:numId w:val="395"/>
        </w:numPr>
        <w:rPr>
          <w:color w:val="auto"/>
        </w:rPr>
      </w:pPr>
      <w:r>
        <w:rPr>
          <w:rFonts w:hint="eastAsia"/>
          <w:color w:val="auto"/>
        </w:rPr>
        <w:t>检测内容应依据DB11/T 1164.1中TSM数据查询功能的要求逐项检测；</w:t>
      </w:r>
    </w:p>
    <w:p>
      <w:pPr>
        <w:pStyle w:val="178"/>
        <w:rPr>
          <w:color w:val="auto"/>
        </w:rPr>
      </w:pPr>
      <w:r>
        <w:rPr>
          <w:rFonts w:hint="eastAsia"/>
          <w:color w:val="auto"/>
        </w:rPr>
        <w:t>检测方法要求如下：</w:t>
      </w:r>
    </w:p>
    <w:p>
      <w:pPr>
        <w:pStyle w:val="113"/>
        <w:numPr>
          <w:ilvl w:val="1"/>
          <w:numId w:val="396"/>
        </w:numPr>
        <w:rPr>
          <w:color w:val="auto"/>
        </w:rPr>
      </w:pPr>
      <w:r>
        <w:rPr>
          <w:rFonts w:hint="eastAsia"/>
          <w:color w:val="auto"/>
        </w:rPr>
        <w:t>在受检TSM进行售票、充值的操作，应能查询到相关交易数据、数据传送信息；</w:t>
      </w:r>
    </w:p>
    <w:p>
      <w:pPr>
        <w:pStyle w:val="113"/>
        <w:rPr>
          <w:color w:val="auto"/>
        </w:rPr>
      </w:pPr>
      <w:r>
        <w:rPr>
          <w:rFonts w:hint="eastAsia"/>
          <w:color w:val="auto"/>
        </w:rPr>
        <w:t>在受检TSM上模拟故障，应能查询到相关故障信息；</w:t>
      </w:r>
    </w:p>
    <w:p>
      <w:pPr>
        <w:pStyle w:val="113"/>
        <w:rPr>
          <w:color w:val="auto"/>
        </w:rPr>
      </w:pPr>
      <w:r>
        <w:rPr>
          <w:rFonts w:hint="eastAsia"/>
          <w:color w:val="auto"/>
        </w:rPr>
        <w:t>在受检TSM上进行部件更换操作，应能查询到部件信息、日志信息；</w:t>
      </w:r>
    </w:p>
    <w:p>
      <w:pPr>
        <w:pStyle w:val="113"/>
        <w:rPr>
          <w:color w:val="auto"/>
        </w:rPr>
      </w:pPr>
      <w:r>
        <w:rPr>
          <w:rFonts w:hint="eastAsia"/>
          <w:color w:val="auto"/>
        </w:rPr>
        <w:t>使用仿真中心系统向受检TSM发送暂停服务命令，在受检设备应能查询到状态信息；</w:t>
      </w:r>
    </w:p>
    <w:p>
      <w:pPr>
        <w:pStyle w:val="113"/>
        <w:rPr>
          <w:color w:val="auto"/>
        </w:rPr>
      </w:pPr>
      <w:r>
        <w:rPr>
          <w:rFonts w:hint="eastAsia"/>
          <w:color w:val="auto"/>
        </w:rPr>
        <w:t>TSM数据查询的种类</w:t>
      </w:r>
      <w:r>
        <w:rPr>
          <w:rFonts w:hint="eastAsia"/>
          <w:color w:val="auto"/>
          <w:lang w:eastAsia="zh-CN"/>
        </w:rPr>
        <w:t>应符合</w:t>
      </w:r>
      <w:r>
        <w:rPr>
          <w:rFonts w:hint="eastAsia"/>
          <w:color w:val="auto"/>
        </w:rPr>
        <w:t>表27。</w:t>
      </w:r>
    </w:p>
    <w:p>
      <w:pPr>
        <w:pStyle w:val="116"/>
        <w:spacing w:before="156" w:after="156"/>
        <w:rPr>
          <w:color w:val="auto"/>
        </w:rPr>
      </w:pPr>
      <w:r>
        <w:rPr>
          <w:rFonts w:hint="eastAsia"/>
          <w:color w:val="auto"/>
        </w:rPr>
        <w:t>TSM数据查询种类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6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序号</w:t>
            </w:r>
          </w:p>
        </w:tc>
        <w:tc>
          <w:tcPr>
            <w:tcW w:w="7569"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1</w:t>
            </w:r>
          </w:p>
        </w:tc>
        <w:tc>
          <w:tcPr>
            <w:tcW w:w="7569"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2</w:t>
            </w:r>
          </w:p>
        </w:tc>
        <w:tc>
          <w:tcPr>
            <w:tcW w:w="7569" w:type="dxa"/>
            <w:shd w:val="clear" w:color="auto" w:fill="auto"/>
            <w:vAlign w:val="center"/>
          </w:tcPr>
          <w:p>
            <w:pPr>
              <w:pStyle w:val="60"/>
              <w:ind w:firstLine="360"/>
              <w:rPr>
                <w:color w:val="auto"/>
                <w:sz w:val="18"/>
              </w:rPr>
            </w:pPr>
            <w:r>
              <w:rPr>
                <w:rFonts w:hint="eastAsia"/>
                <w:color w:val="auto"/>
                <w:sz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3</w:t>
            </w:r>
          </w:p>
        </w:tc>
        <w:tc>
          <w:tcPr>
            <w:tcW w:w="7569" w:type="dxa"/>
            <w:shd w:val="clear" w:color="auto" w:fill="auto"/>
            <w:vAlign w:val="center"/>
          </w:tcPr>
          <w:p>
            <w:pPr>
              <w:pStyle w:val="60"/>
              <w:ind w:firstLine="360"/>
              <w:rPr>
                <w:color w:val="auto"/>
                <w:sz w:val="18"/>
              </w:rPr>
            </w:pPr>
            <w:r>
              <w:rPr>
                <w:rFonts w:hint="eastAsia"/>
                <w:color w:val="auto"/>
                <w:sz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4</w:t>
            </w:r>
          </w:p>
        </w:tc>
        <w:tc>
          <w:tcPr>
            <w:tcW w:w="7569" w:type="dxa"/>
            <w:shd w:val="clear" w:color="auto" w:fill="auto"/>
            <w:vAlign w:val="center"/>
          </w:tcPr>
          <w:p>
            <w:pPr>
              <w:pStyle w:val="60"/>
              <w:ind w:firstLine="360"/>
              <w:rPr>
                <w:color w:val="auto"/>
                <w:sz w:val="18"/>
              </w:rPr>
            </w:pPr>
            <w:r>
              <w:rPr>
                <w:rFonts w:hint="eastAsia"/>
                <w:color w:val="auto"/>
                <w:sz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5</w:t>
            </w:r>
          </w:p>
        </w:tc>
        <w:tc>
          <w:tcPr>
            <w:tcW w:w="7569" w:type="dxa"/>
            <w:shd w:val="clear" w:color="auto" w:fill="auto"/>
            <w:vAlign w:val="center"/>
          </w:tcPr>
          <w:p>
            <w:pPr>
              <w:pStyle w:val="60"/>
              <w:ind w:firstLine="360"/>
              <w:rPr>
                <w:color w:val="auto"/>
                <w:sz w:val="18"/>
              </w:rPr>
            </w:pPr>
            <w:r>
              <w:rPr>
                <w:rFonts w:hint="eastAsia"/>
                <w:color w:val="auto"/>
                <w:sz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6</w:t>
            </w:r>
          </w:p>
        </w:tc>
        <w:tc>
          <w:tcPr>
            <w:tcW w:w="7569" w:type="dxa"/>
            <w:shd w:val="clear" w:color="auto" w:fill="auto"/>
            <w:vAlign w:val="center"/>
          </w:tcPr>
          <w:p>
            <w:pPr>
              <w:pStyle w:val="60"/>
              <w:ind w:firstLine="360"/>
              <w:rPr>
                <w:color w:val="auto"/>
                <w:sz w:val="18"/>
              </w:rPr>
            </w:pPr>
            <w:r>
              <w:rPr>
                <w:rFonts w:hint="eastAsia"/>
                <w:color w:val="auto"/>
                <w:sz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7</w:t>
            </w:r>
          </w:p>
        </w:tc>
        <w:tc>
          <w:tcPr>
            <w:tcW w:w="7569" w:type="dxa"/>
            <w:shd w:val="clear" w:color="auto" w:fill="auto"/>
            <w:vAlign w:val="center"/>
          </w:tcPr>
          <w:p>
            <w:pPr>
              <w:pStyle w:val="60"/>
              <w:ind w:firstLine="360"/>
              <w:rPr>
                <w:color w:val="auto"/>
                <w:sz w:val="18"/>
              </w:rPr>
            </w:pPr>
            <w:r>
              <w:rPr>
                <w:rFonts w:hint="eastAsia"/>
                <w:color w:val="auto"/>
                <w:sz w:val="18"/>
              </w:rPr>
              <w:t>运转数据查询</w:t>
            </w:r>
          </w:p>
        </w:tc>
      </w:tr>
    </w:tbl>
    <w:p>
      <w:pPr>
        <w:pStyle w:val="98"/>
        <w:spacing w:before="156" w:after="156"/>
        <w:rPr>
          <w:color w:val="auto"/>
        </w:rPr>
      </w:pPr>
      <w:r>
        <w:rPr>
          <w:rFonts w:hint="eastAsia"/>
          <w:color w:val="auto"/>
        </w:rPr>
        <w:t>票箱安装卸下检测</w:t>
      </w:r>
    </w:p>
    <w:p>
      <w:pPr>
        <w:pStyle w:val="60"/>
        <w:ind w:firstLine="420"/>
        <w:rPr>
          <w:color w:val="auto"/>
        </w:rPr>
      </w:pPr>
      <w:r>
        <w:rPr>
          <w:rFonts w:hint="eastAsia"/>
          <w:color w:val="auto"/>
        </w:rPr>
        <w:t>票箱安装卸下检测要求如下：</w:t>
      </w:r>
    </w:p>
    <w:p>
      <w:pPr>
        <w:pStyle w:val="178"/>
        <w:numPr>
          <w:ilvl w:val="0"/>
          <w:numId w:val="397"/>
        </w:numPr>
        <w:rPr>
          <w:color w:val="auto"/>
        </w:rPr>
      </w:pPr>
      <w:r>
        <w:rPr>
          <w:rFonts w:hint="eastAsia"/>
          <w:color w:val="auto"/>
        </w:rPr>
        <w:t>检测内容应依据DB11/T 1164.1中TSM票箱安装卸下功能的要求逐项检测；</w:t>
      </w:r>
    </w:p>
    <w:p>
      <w:pPr>
        <w:pStyle w:val="178"/>
        <w:rPr>
          <w:color w:val="auto"/>
        </w:rPr>
      </w:pPr>
      <w:r>
        <w:rPr>
          <w:rFonts w:hint="eastAsia"/>
          <w:color w:val="auto"/>
        </w:rPr>
        <w:t>检测方法应在受检TSM上执行票箱安装、卸下操作，受检TSM应自动更新票箱状态，并上传至仿真中心系统。通过仿真中心系统的记录，检测应收到受检TSM发送的状态变化数据。</w:t>
      </w:r>
    </w:p>
    <w:p>
      <w:pPr>
        <w:pStyle w:val="98"/>
        <w:spacing w:before="156" w:after="156"/>
        <w:rPr>
          <w:color w:val="auto"/>
        </w:rPr>
      </w:pPr>
      <w:r>
        <w:rPr>
          <w:rFonts w:hint="eastAsia"/>
          <w:color w:val="auto"/>
        </w:rPr>
        <w:t>票箱警报检测</w:t>
      </w:r>
    </w:p>
    <w:p>
      <w:pPr>
        <w:pStyle w:val="60"/>
        <w:ind w:firstLine="420"/>
        <w:rPr>
          <w:color w:val="auto"/>
        </w:rPr>
      </w:pPr>
      <w:r>
        <w:rPr>
          <w:rFonts w:hint="eastAsia"/>
          <w:color w:val="auto"/>
        </w:rPr>
        <w:t>票箱警报检测要求如下：</w:t>
      </w:r>
    </w:p>
    <w:p>
      <w:pPr>
        <w:pStyle w:val="178"/>
        <w:numPr>
          <w:ilvl w:val="0"/>
          <w:numId w:val="398"/>
        </w:numPr>
        <w:rPr>
          <w:color w:val="auto"/>
        </w:rPr>
      </w:pPr>
      <w:r>
        <w:rPr>
          <w:rFonts w:hint="eastAsia"/>
          <w:color w:val="auto"/>
        </w:rPr>
        <w:t>检测内容为受检TSM在票箱产生异常时应发送报警数据；</w:t>
      </w:r>
    </w:p>
    <w:p>
      <w:pPr>
        <w:pStyle w:val="178"/>
        <w:rPr>
          <w:color w:val="auto"/>
        </w:rPr>
      </w:pPr>
      <w:r>
        <w:rPr>
          <w:rFonts w:hint="eastAsia"/>
          <w:color w:val="auto"/>
        </w:rPr>
        <w:t>检测方法为应对受检TSM执行非法票箱安装、卸下操作，受检TSM应发出报警信息至仿真中心系统。通过仿真中心系统的记录，检测应收到TSM发送的报警数据。</w:t>
      </w:r>
    </w:p>
    <w:p>
      <w:pPr>
        <w:pStyle w:val="98"/>
        <w:spacing w:before="156" w:after="156"/>
        <w:rPr>
          <w:color w:val="auto"/>
        </w:rPr>
      </w:pPr>
      <w:r>
        <w:rPr>
          <w:rFonts w:hint="eastAsia"/>
          <w:color w:val="auto"/>
        </w:rPr>
        <w:t>检查参数/软件版本检测</w:t>
      </w:r>
    </w:p>
    <w:p>
      <w:pPr>
        <w:pStyle w:val="60"/>
        <w:ind w:firstLine="420"/>
        <w:rPr>
          <w:color w:val="auto"/>
        </w:rPr>
      </w:pPr>
      <w:r>
        <w:rPr>
          <w:rFonts w:hint="eastAsia"/>
          <w:color w:val="auto"/>
        </w:rPr>
        <w:t>检查参数/软件版本检测要求如下：</w:t>
      </w:r>
    </w:p>
    <w:p>
      <w:pPr>
        <w:pStyle w:val="178"/>
        <w:numPr>
          <w:ilvl w:val="0"/>
          <w:numId w:val="399"/>
        </w:numPr>
        <w:rPr>
          <w:color w:val="auto"/>
        </w:rPr>
      </w:pPr>
      <w:r>
        <w:rPr>
          <w:rFonts w:hint="eastAsia"/>
          <w:color w:val="auto"/>
        </w:rPr>
        <w:t>检测内容应依据DB11/T 1164.1中TSM检查参数/软件版本功能的要求逐项检测；</w:t>
      </w:r>
    </w:p>
    <w:p>
      <w:pPr>
        <w:pStyle w:val="178"/>
        <w:rPr>
          <w:color w:val="auto"/>
        </w:rPr>
      </w:pPr>
      <w:r>
        <w:rPr>
          <w:rFonts w:hint="eastAsia"/>
          <w:color w:val="auto"/>
        </w:rPr>
        <w:t>检测方法要求如下：</w:t>
      </w:r>
    </w:p>
    <w:p>
      <w:pPr>
        <w:pStyle w:val="113"/>
        <w:numPr>
          <w:ilvl w:val="1"/>
          <w:numId w:val="400"/>
        </w:numPr>
        <w:rPr>
          <w:color w:val="auto"/>
        </w:rPr>
      </w:pPr>
      <w:r>
        <w:rPr>
          <w:rFonts w:hint="eastAsia"/>
          <w:color w:val="auto"/>
        </w:rPr>
        <w:t>使用仿真中心系统向受检TSM下发参数数据/软件数据。在受检TSM上查询参数数据版本/软件版本信息，确认与中心系统下发的参数数据/软件数据的版本应一致；</w:t>
      </w:r>
    </w:p>
    <w:p>
      <w:pPr>
        <w:pStyle w:val="113"/>
        <w:rPr>
          <w:color w:val="auto"/>
        </w:rPr>
      </w:pPr>
      <w:r>
        <w:rPr>
          <w:rFonts w:hint="eastAsia"/>
          <w:color w:val="auto"/>
        </w:rPr>
        <w:t>在受检TSM上导入参数数据/软件数据，查询参数数据/软件数据版本，确认应与导入数据版本一致。</w:t>
      </w:r>
    </w:p>
    <w:p>
      <w:pPr>
        <w:pStyle w:val="98"/>
        <w:spacing w:before="156" w:after="156"/>
        <w:rPr>
          <w:color w:val="auto"/>
        </w:rPr>
      </w:pPr>
      <w:r>
        <w:rPr>
          <w:rFonts w:hint="eastAsia"/>
          <w:color w:val="auto"/>
        </w:rPr>
        <w:t>设备设置检测</w:t>
      </w:r>
    </w:p>
    <w:p>
      <w:pPr>
        <w:pStyle w:val="60"/>
        <w:ind w:firstLine="420"/>
        <w:rPr>
          <w:color w:val="auto"/>
        </w:rPr>
      </w:pPr>
      <w:r>
        <w:rPr>
          <w:rFonts w:hint="eastAsia"/>
          <w:color w:val="auto"/>
        </w:rPr>
        <w:t>设备设置检测要求如下：</w:t>
      </w:r>
    </w:p>
    <w:p>
      <w:pPr>
        <w:pStyle w:val="178"/>
        <w:numPr>
          <w:ilvl w:val="0"/>
          <w:numId w:val="401"/>
        </w:numPr>
        <w:rPr>
          <w:color w:val="auto"/>
        </w:rPr>
      </w:pPr>
      <w:r>
        <w:rPr>
          <w:rFonts w:hint="eastAsia"/>
          <w:color w:val="auto"/>
        </w:rPr>
        <w:t>检测内容应依据DB11/T 1164.1中TSM设备设置功能的要求逐项检测；</w:t>
      </w:r>
    </w:p>
    <w:p>
      <w:pPr>
        <w:pStyle w:val="178"/>
        <w:rPr>
          <w:color w:val="auto"/>
        </w:rPr>
      </w:pPr>
      <w:r>
        <w:rPr>
          <w:rFonts w:hint="eastAsia"/>
          <w:color w:val="auto"/>
        </w:rPr>
        <w:t>检测方法应在受检TSM上进行设备设置操作。受检TSM应按照设置后的模式进行工作，通过仿真中心系统的记录检查受检TSM设置后的状态。TSM的设置信息种类</w:t>
      </w:r>
      <w:r>
        <w:rPr>
          <w:rFonts w:hint="eastAsia"/>
          <w:color w:val="auto"/>
          <w:lang w:eastAsia="zh-CN"/>
        </w:rPr>
        <w:t>应符合</w:t>
      </w:r>
      <w:r>
        <w:rPr>
          <w:rFonts w:hint="eastAsia"/>
          <w:color w:val="auto"/>
        </w:rPr>
        <w:t>表28。</w:t>
      </w:r>
    </w:p>
    <w:p>
      <w:pPr>
        <w:pStyle w:val="116"/>
        <w:spacing w:before="156" w:after="156"/>
        <w:rPr>
          <w:color w:val="auto"/>
        </w:rPr>
      </w:pPr>
      <w:r>
        <w:rPr>
          <w:rFonts w:hint="eastAsia"/>
          <w:color w:val="auto"/>
        </w:rPr>
        <w:t>TSM设置信息种类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72"/>
        <w:gridCol w:w="4477"/>
        <w:gridCol w:w="3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4458"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设备设置</w:t>
            </w:r>
          </w:p>
        </w:tc>
        <w:tc>
          <w:tcPr>
            <w:tcW w:w="3112"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4458"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基本信息设置</w:t>
            </w:r>
          </w:p>
        </w:tc>
        <w:tc>
          <w:tcPr>
            <w:tcW w:w="3112" w:type="dxa"/>
            <w:tcBorders>
              <w:top w:val="single" w:color="auto" w:sz="8" w:space="0"/>
            </w:tcBorders>
            <w:shd w:val="clear" w:color="auto" w:fill="auto"/>
            <w:vAlign w:val="center"/>
          </w:tcPr>
          <w:p>
            <w:pPr>
              <w:pStyle w:val="60"/>
              <w:ind w:firstLine="360"/>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2</w:t>
            </w:r>
          </w:p>
        </w:tc>
        <w:tc>
          <w:tcPr>
            <w:tcW w:w="4458" w:type="dxa"/>
            <w:shd w:val="clear" w:color="auto" w:fill="auto"/>
            <w:vAlign w:val="center"/>
          </w:tcPr>
          <w:p>
            <w:pPr>
              <w:pStyle w:val="60"/>
              <w:ind w:firstLine="360"/>
              <w:rPr>
                <w:color w:val="auto"/>
                <w:sz w:val="18"/>
              </w:rPr>
            </w:pPr>
            <w:r>
              <w:rPr>
                <w:rFonts w:hint="eastAsia"/>
                <w:color w:val="auto"/>
                <w:sz w:val="18"/>
              </w:rPr>
              <w:t>运营模式设置</w:t>
            </w:r>
          </w:p>
        </w:tc>
        <w:tc>
          <w:tcPr>
            <w:tcW w:w="3112" w:type="dxa"/>
            <w:shd w:val="clear" w:color="auto" w:fill="auto"/>
            <w:vAlign w:val="center"/>
          </w:tcPr>
          <w:p>
            <w:pPr>
              <w:pStyle w:val="60"/>
              <w:ind w:firstLine="360"/>
              <w:rPr>
                <w:color w:val="auto"/>
                <w:sz w:val="18"/>
              </w:rPr>
            </w:pPr>
            <w:r>
              <w:rPr>
                <w:rFonts w:hint="eastAsia"/>
                <w:color w:val="auto"/>
                <w:sz w:val="18"/>
              </w:rPr>
              <w:t>仅脱机时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3</w:t>
            </w:r>
          </w:p>
        </w:tc>
        <w:tc>
          <w:tcPr>
            <w:tcW w:w="4458" w:type="dxa"/>
            <w:shd w:val="clear" w:color="auto" w:fill="auto"/>
            <w:vAlign w:val="center"/>
          </w:tcPr>
          <w:p>
            <w:pPr>
              <w:pStyle w:val="60"/>
              <w:ind w:firstLine="360"/>
              <w:rPr>
                <w:color w:val="auto"/>
                <w:sz w:val="18"/>
              </w:rPr>
            </w:pPr>
            <w:r>
              <w:rPr>
                <w:rFonts w:hint="eastAsia"/>
                <w:color w:val="auto"/>
                <w:sz w:val="18"/>
              </w:rPr>
              <w:t>服务模式设置</w:t>
            </w:r>
          </w:p>
        </w:tc>
        <w:tc>
          <w:tcPr>
            <w:tcW w:w="3112" w:type="dxa"/>
            <w:shd w:val="clear" w:color="auto" w:fill="auto"/>
            <w:vAlign w:val="center"/>
          </w:tcPr>
          <w:p>
            <w:pPr>
              <w:pStyle w:val="60"/>
              <w:ind w:firstLine="360"/>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4</w:t>
            </w:r>
          </w:p>
        </w:tc>
        <w:tc>
          <w:tcPr>
            <w:tcW w:w="4458" w:type="dxa"/>
            <w:shd w:val="clear" w:color="auto" w:fill="auto"/>
            <w:vAlign w:val="center"/>
          </w:tcPr>
          <w:p>
            <w:pPr>
              <w:pStyle w:val="60"/>
              <w:ind w:firstLine="360"/>
              <w:rPr>
                <w:color w:val="auto"/>
                <w:sz w:val="18"/>
              </w:rPr>
            </w:pPr>
            <w:r>
              <w:rPr>
                <w:rFonts w:hint="eastAsia"/>
                <w:color w:val="auto"/>
                <w:sz w:val="18"/>
              </w:rPr>
              <w:t>24小时运营设置</w:t>
            </w:r>
          </w:p>
        </w:tc>
        <w:tc>
          <w:tcPr>
            <w:tcW w:w="3112" w:type="dxa"/>
            <w:shd w:val="clear" w:color="auto" w:fill="auto"/>
            <w:vAlign w:val="center"/>
          </w:tcPr>
          <w:p>
            <w:pPr>
              <w:pStyle w:val="60"/>
              <w:ind w:firstLine="360"/>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5</w:t>
            </w:r>
          </w:p>
        </w:tc>
        <w:tc>
          <w:tcPr>
            <w:tcW w:w="4458" w:type="dxa"/>
            <w:shd w:val="clear" w:color="auto" w:fill="auto"/>
            <w:vAlign w:val="center"/>
          </w:tcPr>
          <w:p>
            <w:pPr>
              <w:pStyle w:val="60"/>
              <w:ind w:firstLine="360"/>
              <w:rPr>
                <w:color w:val="auto"/>
                <w:sz w:val="18"/>
              </w:rPr>
            </w:pPr>
            <w:r>
              <w:rPr>
                <w:rFonts w:hint="eastAsia"/>
                <w:color w:val="auto"/>
                <w:sz w:val="18"/>
              </w:rPr>
              <w:t>延长运营设置</w:t>
            </w:r>
          </w:p>
        </w:tc>
        <w:tc>
          <w:tcPr>
            <w:tcW w:w="3112" w:type="dxa"/>
            <w:shd w:val="clear" w:color="auto" w:fill="auto"/>
            <w:vAlign w:val="center"/>
          </w:tcPr>
          <w:p>
            <w:pPr>
              <w:pStyle w:val="60"/>
              <w:ind w:firstLine="360"/>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764" w:type="dxa"/>
            <w:shd w:val="clear" w:color="auto" w:fill="auto"/>
            <w:vAlign w:val="center"/>
          </w:tcPr>
          <w:p>
            <w:pPr>
              <w:pStyle w:val="60"/>
              <w:ind w:firstLine="360"/>
              <w:rPr>
                <w:color w:val="auto"/>
                <w:sz w:val="18"/>
              </w:rPr>
            </w:pPr>
            <w:r>
              <w:rPr>
                <w:rFonts w:hint="eastAsia"/>
                <w:color w:val="auto"/>
                <w:sz w:val="18"/>
              </w:rPr>
              <w:t>6</w:t>
            </w:r>
          </w:p>
        </w:tc>
        <w:tc>
          <w:tcPr>
            <w:tcW w:w="4458" w:type="dxa"/>
            <w:shd w:val="clear" w:color="auto" w:fill="auto"/>
            <w:vAlign w:val="center"/>
          </w:tcPr>
          <w:p>
            <w:pPr>
              <w:pStyle w:val="60"/>
              <w:ind w:firstLine="360"/>
              <w:rPr>
                <w:color w:val="auto"/>
                <w:sz w:val="18"/>
              </w:rPr>
            </w:pPr>
            <w:r>
              <w:rPr>
                <w:rFonts w:hint="eastAsia"/>
                <w:color w:val="auto"/>
                <w:sz w:val="18"/>
              </w:rPr>
              <w:t>时钟设置</w:t>
            </w:r>
          </w:p>
        </w:tc>
        <w:tc>
          <w:tcPr>
            <w:tcW w:w="3112" w:type="dxa"/>
            <w:shd w:val="clear" w:color="auto" w:fill="auto"/>
            <w:vAlign w:val="center"/>
          </w:tcPr>
          <w:p>
            <w:pPr>
              <w:pStyle w:val="60"/>
              <w:ind w:firstLine="360"/>
              <w:rPr>
                <w:color w:val="auto"/>
                <w:sz w:val="18"/>
              </w:rPr>
            </w:pPr>
          </w:p>
        </w:tc>
      </w:tr>
    </w:tbl>
    <w:p>
      <w:pPr>
        <w:pStyle w:val="98"/>
        <w:spacing w:before="156" w:after="156"/>
        <w:rPr>
          <w:color w:val="auto"/>
        </w:rPr>
      </w:pPr>
      <w:r>
        <w:rPr>
          <w:rFonts w:hint="eastAsia"/>
          <w:color w:val="auto"/>
        </w:rPr>
        <w:t>设备部件检测</w:t>
      </w:r>
    </w:p>
    <w:p>
      <w:pPr>
        <w:pStyle w:val="60"/>
        <w:ind w:firstLine="420"/>
        <w:rPr>
          <w:color w:val="auto"/>
        </w:rPr>
      </w:pPr>
      <w:r>
        <w:rPr>
          <w:rFonts w:hint="eastAsia"/>
          <w:color w:val="auto"/>
        </w:rPr>
        <w:t>设备部件检测要求如下：</w:t>
      </w:r>
    </w:p>
    <w:p>
      <w:pPr>
        <w:pStyle w:val="178"/>
        <w:numPr>
          <w:ilvl w:val="0"/>
          <w:numId w:val="402"/>
        </w:numPr>
        <w:rPr>
          <w:color w:val="auto"/>
        </w:rPr>
      </w:pPr>
      <w:r>
        <w:rPr>
          <w:rFonts w:hint="eastAsia"/>
          <w:color w:val="auto"/>
        </w:rPr>
        <w:t>检测内容应依据DB11/T 1164.1中TSM设备部件检测功能的要求逐项检测；</w:t>
      </w:r>
    </w:p>
    <w:p>
      <w:pPr>
        <w:pStyle w:val="178"/>
        <w:rPr>
          <w:color w:val="auto"/>
        </w:rPr>
      </w:pPr>
      <w:r>
        <w:rPr>
          <w:rFonts w:hint="eastAsia"/>
          <w:color w:val="auto"/>
        </w:rPr>
        <w:t>检测方法应在受检TSM上执行设备部件检测动作，受检TSM根据检测结果更新部件状态，并上传至仿真中心系统。通过仿真中心系统检测受检TSM上传的执行结果应正确。TSM要进行的部件检测</w:t>
      </w:r>
      <w:r>
        <w:rPr>
          <w:rFonts w:hint="eastAsia"/>
          <w:color w:val="auto"/>
          <w:lang w:eastAsia="zh-CN"/>
        </w:rPr>
        <w:t>应符合</w:t>
      </w:r>
      <w:r>
        <w:rPr>
          <w:rFonts w:hint="eastAsia"/>
          <w:color w:val="auto"/>
        </w:rPr>
        <w:t>表29。</w:t>
      </w: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16"/>
        <w:spacing w:before="156" w:after="156"/>
        <w:rPr>
          <w:color w:val="auto"/>
        </w:rPr>
      </w:pPr>
      <w:r>
        <w:rPr>
          <w:rFonts w:hint="eastAsia"/>
          <w:color w:val="auto"/>
        </w:rPr>
        <w:t>TSM部件检测表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90"/>
        <w:gridCol w:w="7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7153"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部件检测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7153"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网络连接状态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2</w:t>
            </w:r>
          </w:p>
        </w:tc>
        <w:tc>
          <w:tcPr>
            <w:tcW w:w="7153" w:type="dxa"/>
            <w:shd w:val="clear" w:color="auto" w:fill="auto"/>
            <w:vAlign w:val="center"/>
          </w:tcPr>
          <w:p>
            <w:pPr>
              <w:pStyle w:val="60"/>
              <w:ind w:firstLine="360"/>
              <w:rPr>
                <w:color w:val="auto"/>
                <w:sz w:val="18"/>
              </w:rPr>
            </w:pPr>
            <w:r>
              <w:rPr>
                <w:rFonts w:hint="eastAsia"/>
                <w:color w:val="auto"/>
                <w:sz w:val="18"/>
              </w:rPr>
              <w:t>招援按钮检测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3</w:t>
            </w:r>
          </w:p>
        </w:tc>
        <w:tc>
          <w:tcPr>
            <w:tcW w:w="7153" w:type="dxa"/>
            <w:shd w:val="clear" w:color="auto" w:fill="auto"/>
            <w:vAlign w:val="center"/>
          </w:tcPr>
          <w:p>
            <w:pPr>
              <w:pStyle w:val="60"/>
              <w:ind w:firstLine="360"/>
              <w:rPr>
                <w:color w:val="auto"/>
                <w:sz w:val="18"/>
              </w:rPr>
            </w:pPr>
            <w:r>
              <w:rPr>
                <w:rFonts w:hint="eastAsia"/>
                <w:color w:val="auto"/>
                <w:sz w:val="18"/>
              </w:rPr>
              <w:t>人体传感器检测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4</w:t>
            </w:r>
          </w:p>
        </w:tc>
        <w:tc>
          <w:tcPr>
            <w:tcW w:w="7153" w:type="dxa"/>
            <w:shd w:val="clear" w:color="auto" w:fill="auto"/>
            <w:vAlign w:val="center"/>
          </w:tcPr>
          <w:p>
            <w:pPr>
              <w:pStyle w:val="60"/>
              <w:ind w:firstLine="360"/>
              <w:rPr>
                <w:color w:val="auto"/>
                <w:sz w:val="18"/>
              </w:rPr>
            </w:pPr>
            <w:r>
              <w:rPr>
                <w:rFonts w:hint="eastAsia"/>
                <w:color w:val="auto"/>
                <w:sz w:val="18"/>
              </w:rPr>
              <w:t>TPU检测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181" w:type="dxa"/>
            <w:shd w:val="clear" w:color="auto" w:fill="auto"/>
            <w:vAlign w:val="center"/>
          </w:tcPr>
          <w:p>
            <w:pPr>
              <w:pStyle w:val="60"/>
              <w:ind w:firstLine="360"/>
              <w:rPr>
                <w:color w:val="auto"/>
                <w:sz w:val="18"/>
              </w:rPr>
            </w:pPr>
            <w:r>
              <w:rPr>
                <w:rFonts w:hint="eastAsia"/>
                <w:color w:val="auto"/>
                <w:sz w:val="18"/>
              </w:rPr>
              <w:t>5</w:t>
            </w:r>
          </w:p>
        </w:tc>
        <w:tc>
          <w:tcPr>
            <w:tcW w:w="7153" w:type="dxa"/>
            <w:shd w:val="clear" w:color="auto" w:fill="auto"/>
            <w:vAlign w:val="center"/>
          </w:tcPr>
          <w:p>
            <w:pPr>
              <w:pStyle w:val="60"/>
              <w:ind w:firstLine="360"/>
              <w:rPr>
                <w:color w:val="auto"/>
                <w:sz w:val="18"/>
              </w:rPr>
            </w:pPr>
            <w:r>
              <w:rPr>
                <w:rFonts w:hint="eastAsia"/>
                <w:color w:val="auto"/>
                <w:sz w:val="18"/>
              </w:rPr>
              <w:t>车票发行单元检测</w:t>
            </w:r>
          </w:p>
        </w:tc>
      </w:tr>
    </w:tbl>
    <w:p>
      <w:pPr>
        <w:pStyle w:val="98"/>
        <w:spacing w:before="156" w:after="156"/>
        <w:rPr>
          <w:color w:val="auto"/>
        </w:rPr>
      </w:pPr>
      <w:r>
        <w:rPr>
          <w:rFonts w:hint="eastAsia"/>
          <w:color w:val="auto"/>
        </w:rPr>
        <w:t>数据导入导出检测</w:t>
      </w:r>
    </w:p>
    <w:p>
      <w:pPr>
        <w:pStyle w:val="60"/>
        <w:ind w:firstLine="420"/>
        <w:rPr>
          <w:color w:val="auto"/>
        </w:rPr>
      </w:pPr>
      <w:r>
        <w:rPr>
          <w:rFonts w:hint="eastAsia"/>
          <w:color w:val="auto"/>
        </w:rPr>
        <w:t>数据导入导出检测要求如下：</w:t>
      </w:r>
    </w:p>
    <w:p>
      <w:pPr>
        <w:pStyle w:val="178"/>
        <w:numPr>
          <w:ilvl w:val="0"/>
          <w:numId w:val="403"/>
        </w:numPr>
        <w:rPr>
          <w:color w:val="auto"/>
        </w:rPr>
      </w:pPr>
      <w:r>
        <w:rPr>
          <w:rFonts w:hint="eastAsia"/>
          <w:color w:val="auto"/>
        </w:rPr>
        <w:t>检测内容应依据DB11/T 1164.1中TSM数据导入导出功能的要求逐项检测；</w:t>
      </w:r>
    </w:p>
    <w:p>
      <w:pPr>
        <w:pStyle w:val="178"/>
        <w:rPr>
          <w:color w:val="auto"/>
        </w:rPr>
      </w:pPr>
      <w:r>
        <w:rPr>
          <w:rFonts w:hint="eastAsia"/>
          <w:color w:val="auto"/>
        </w:rPr>
        <w:t>检测方法要求如下：</w:t>
      </w:r>
    </w:p>
    <w:p>
      <w:pPr>
        <w:pStyle w:val="113"/>
        <w:numPr>
          <w:ilvl w:val="1"/>
          <w:numId w:val="404"/>
        </w:numPr>
        <w:rPr>
          <w:color w:val="auto"/>
        </w:rPr>
      </w:pPr>
      <w:r>
        <w:rPr>
          <w:rFonts w:hint="eastAsia"/>
          <w:color w:val="auto"/>
        </w:rPr>
        <w:t>通过外部存储设备将参数数据导入到受检TSM上，进行相关的业务操作，检查受检TSM参数导入的正确性；</w:t>
      </w:r>
    </w:p>
    <w:p>
      <w:pPr>
        <w:pStyle w:val="113"/>
        <w:rPr>
          <w:color w:val="auto"/>
        </w:rPr>
      </w:pPr>
      <w:r>
        <w:rPr>
          <w:rFonts w:hint="eastAsia"/>
          <w:color w:val="auto"/>
        </w:rPr>
        <w:t>将受检TSM上的交易数据、业务数据、事件数据、日志数据导出到外部存储设备，再将外部存储设备上导出的数据导入到仿真中心系统上，检查导出数据的正确性。</w:t>
      </w:r>
    </w:p>
    <w:p>
      <w:pPr>
        <w:pStyle w:val="98"/>
        <w:spacing w:before="156" w:after="156"/>
        <w:rPr>
          <w:color w:val="auto"/>
        </w:rPr>
      </w:pPr>
      <w:r>
        <w:rPr>
          <w:rFonts w:hint="eastAsia"/>
          <w:color w:val="auto"/>
        </w:rPr>
        <w:t>管理卡认证检测</w:t>
      </w:r>
    </w:p>
    <w:p>
      <w:pPr>
        <w:pStyle w:val="60"/>
        <w:ind w:firstLine="420"/>
        <w:rPr>
          <w:color w:val="auto"/>
        </w:rPr>
      </w:pPr>
      <w:r>
        <w:rPr>
          <w:rFonts w:hint="eastAsia"/>
          <w:color w:val="auto"/>
        </w:rPr>
        <w:t>管理卡认证检测要求如下：</w:t>
      </w:r>
    </w:p>
    <w:p>
      <w:pPr>
        <w:pStyle w:val="178"/>
        <w:numPr>
          <w:ilvl w:val="0"/>
          <w:numId w:val="405"/>
        </w:numPr>
        <w:rPr>
          <w:color w:val="auto"/>
        </w:rPr>
      </w:pPr>
      <w:r>
        <w:rPr>
          <w:rFonts w:hint="eastAsia"/>
          <w:color w:val="auto"/>
        </w:rPr>
        <w:t>检测内容应依据DB11/T 1164.1中TSM管理卡认证功能的要求逐项检测；</w:t>
      </w:r>
    </w:p>
    <w:p>
      <w:pPr>
        <w:pStyle w:val="178"/>
        <w:rPr>
          <w:color w:val="auto"/>
        </w:rPr>
      </w:pPr>
      <w:r>
        <w:rPr>
          <w:rFonts w:hint="eastAsia"/>
          <w:color w:val="auto"/>
        </w:rPr>
        <w:t>检测方法要求如下：</w:t>
      </w:r>
    </w:p>
    <w:p>
      <w:pPr>
        <w:pStyle w:val="113"/>
        <w:numPr>
          <w:ilvl w:val="1"/>
          <w:numId w:val="406"/>
        </w:numPr>
        <w:rPr>
          <w:color w:val="auto"/>
        </w:rPr>
      </w:pPr>
      <w:r>
        <w:rPr>
          <w:rFonts w:hint="eastAsia"/>
          <w:color w:val="auto"/>
        </w:rPr>
        <w:t>断开受检TSM的网络；</w:t>
      </w:r>
    </w:p>
    <w:p>
      <w:pPr>
        <w:pStyle w:val="113"/>
        <w:rPr>
          <w:color w:val="auto"/>
        </w:rPr>
      </w:pPr>
      <w:r>
        <w:rPr>
          <w:rFonts w:hint="eastAsia"/>
          <w:color w:val="auto"/>
        </w:rPr>
        <w:t>使用一票通认证管理卡在受检TSM上对一票通ISAM卡进行认证；</w:t>
      </w:r>
    </w:p>
    <w:p>
      <w:pPr>
        <w:pStyle w:val="113"/>
        <w:rPr>
          <w:color w:val="auto"/>
        </w:rPr>
      </w:pPr>
      <w:r>
        <w:rPr>
          <w:rFonts w:hint="eastAsia"/>
          <w:color w:val="auto"/>
        </w:rPr>
        <w:t>认证后的受检TSM对一票通车票应进行正常的售票等相关业务。</w:t>
      </w:r>
    </w:p>
    <w:p>
      <w:pPr>
        <w:pStyle w:val="98"/>
        <w:spacing w:before="156" w:after="156"/>
        <w:rPr>
          <w:color w:val="auto"/>
        </w:rPr>
      </w:pPr>
      <w:r>
        <w:rPr>
          <w:rFonts w:hint="eastAsia"/>
          <w:color w:val="auto"/>
        </w:rPr>
        <w:t>ISAM卡签到检测</w:t>
      </w:r>
    </w:p>
    <w:p>
      <w:pPr>
        <w:pStyle w:val="60"/>
        <w:ind w:firstLine="420"/>
        <w:rPr>
          <w:color w:val="auto"/>
        </w:rPr>
      </w:pPr>
      <w:r>
        <w:rPr>
          <w:rFonts w:hint="eastAsia"/>
          <w:color w:val="auto"/>
        </w:rPr>
        <w:t>ISAM卡签到检测要求如下：</w:t>
      </w:r>
    </w:p>
    <w:p>
      <w:pPr>
        <w:pStyle w:val="178"/>
        <w:numPr>
          <w:ilvl w:val="0"/>
          <w:numId w:val="407"/>
        </w:numPr>
        <w:rPr>
          <w:color w:val="auto"/>
        </w:rPr>
      </w:pPr>
      <w:r>
        <w:rPr>
          <w:rFonts w:hint="eastAsia"/>
          <w:color w:val="auto"/>
        </w:rPr>
        <w:t>检测内容应依据DB11/T 1164.1中TSM ISAM卡签到功能的要求逐项检测；</w:t>
      </w:r>
    </w:p>
    <w:p>
      <w:pPr>
        <w:pStyle w:val="178"/>
        <w:rPr>
          <w:color w:val="auto"/>
        </w:rPr>
      </w:pPr>
      <w:r>
        <w:rPr>
          <w:rFonts w:hint="eastAsia"/>
          <w:color w:val="auto"/>
        </w:rPr>
        <w:t>检测方法要求如下：</w:t>
      </w:r>
    </w:p>
    <w:p>
      <w:pPr>
        <w:pStyle w:val="113"/>
        <w:numPr>
          <w:ilvl w:val="1"/>
          <w:numId w:val="408"/>
        </w:numPr>
        <w:rPr>
          <w:color w:val="auto"/>
        </w:rPr>
      </w:pPr>
      <w:r>
        <w:rPr>
          <w:rFonts w:hint="eastAsia"/>
          <w:color w:val="auto"/>
        </w:rPr>
        <w:t>受检TSM与一票通ISAM卡认证服务器网络连接正常；</w:t>
      </w:r>
    </w:p>
    <w:p>
      <w:pPr>
        <w:pStyle w:val="113"/>
        <w:rPr>
          <w:color w:val="auto"/>
        </w:rPr>
      </w:pPr>
      <w:r>
        <w:rPr>
          <w:rFonts w:hint="eastAsia"/>
          <w:color w:val="auto"/>
        </w:rPr>
        <w:t>受检TSM与一卡通ISAM卡认证服务器网络连接正常；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在受检TSM上进行一票通ISAM卡和一卡通ISAM卡签到操作，检测受检TSM的执行结果；</w:t>
      </w:r>
    </w:p>
    <w:p>
      <w:pPr>
        <w:pStyle w:val="113"/>
        <w:rPr>
          <w:color w:val="auto"/>
        </w:rPr>
      </w:pPr>
      <w:r>
        <w:rPr>
          <w:rFonts w:hint="eastAsia"/>
          <w:color w:val="auto"/>
        </w:rPr>
        <w:t>在受检TSM上执行售票、充值等业务，检测受检TSM的ISAM卡签到应成功；</w:t>
      </w:r>
    </w:p>
    <w:p>
      <w:pPr>
        <w:pStyle w:val="113"/>
        <w:rPr>
          <w:color w:val="auto"/>
        </w:rPr>
      </w:pPr>
      <w:r>
        <w:rPr>
          <w:rFonts w:hint="eastAsia"/>
          <w:color w:val="auto"/>
        </w:rPr>
        <w:t>通过仿真一卡通ISAM卡认证系统的记录检测受检TSM签到应正确；</w:t>
      </w:r>
    </w:p>
    <w:p>
      <w:pPr>
        <w:pStyle w:val="113"/>
        <w:rPr>
          <w:color w:val="auto"/>
        </w:rPr>
      </w:pPr>
      <w:r>
        <w:rPr>
          <w:rFonts w:hint="eastAsia"/>
          <w:color w:val="auto"/>
        </w:rPr>
        <w:t>通过仿真一票通ISAM卡认证系统的记录检测受检TSM签到应正确。</w:t>
      </w:r>
    </w:p>
    <w:p>
      <w:pPr>
        <w:pStyle w:val="98"/>
        <w:spacing w:before="156" w:after="156"/>
        <w:rPr>
          <w:color w:val="auto"/>
        </w:rPr>
      </w:pPr>
      <w:r>
        <w:rPr>
          <w:rFonts w:hint="eastAsia"/>
          <w:color w:val="auto"/>
        </w:rPr>
        <w:t>ISAM卡签退检测</w:t>
      </w:r>
    </w:p>
    <w:p>
      <w:pPr>
        <w:pStyle w:val="60"/>
        <w:ind w:firstLine="420"/>
        <w:rPr>
          <w:color w:val="auto"/>
        </w:rPr>
      </w:pPr>
      <w:r>
        <w:rPr>
          <w:rFonts w:hint="eastAsia"/>
          <w:color w:val="auto"/>
        </w:rPr>
        <w:t>ISAM卡签退检测要求如下：</w:t>
      </w:r>
    </w:p>
    <w:p>
      <w:pPr>
        <w:pStyle w:val="178"/>
        <w:numPr>
          <w:ilvl w:val="0"/>
          <w:numId w:val="409"/>
        </w:numPr>
        <w:rPr>
          <w:color w:val="auto"/>
        </w:rPr>
      </w:pPr>
      <w:r>
        <w:rPr>
          <w:rFonts w:hint="eastAsia"/>
          <w:color w:val="auto"/>
        </w:rPr>
        <w:t>检测内容应依据DB11/T 1164.1中TSM ISAM卡签退功能的要求逐项检测；</w:t>
      </w:r>
    </w:p>
    <w:p>
      <w:pPr>
        <w:pStyle w:val="178"/>
        <w:rPr>
          <w:color w:val="auto"/>
        </w:rPr>
      </w:pPr>
      <w:r>
        <w:rPr>
          <w:rFonts w:hint="eastAsia"/>
          <w:color w:val="auto"/>
        </w:rPr>
        <w:t>检测方法要求如下：</w:t>
      </w:r>
    </w:p>
    <w:p>
      <w:pPr>
        <w:pStyle w:val="113"/>
        <w:numPr>
          <w:ilvl w:val="1"/>
          <w:numId w:val="410"/>
        </w:numPr>
        <w:rPr>
          <w:color w:val="auto"/>
        </w:rPr>
      </w:pPr>
      <w:r>
        <w:rPr>
          <w:rFonts w:hint="eastAsia"/>
          <w:color w:val="auto"/>
        </w:rPr>
        <w:t>受检TSM与一票通ISAM卡认证服务器网络连接正常；</w:t>
      </w:r>
    </w:p>
    <w:p>
      <w:pPr>
        <w:pStyle w:val="113"/>
        <w:rPr>
          <w:color w:val="auto"/>
        </w:rPr>
      </w:pPr>
      <w:r>
        <w:rPr>
          <w:rFonts w:hint="eastAsia"/>
          <w:color w:val="auto"/>
        </w:rPr>
        <w:t>受检TSM与一卡通ISAM卡认证服务器网络连接正常；</w:t>
      </w:r>
    </w:p>
    <w:p>
      <w:pPr>
        <w:pStyle w:val="113"/>
        <w:rPr>
          <w:color w:val="auto"/>
        </w:rPr>
      </w:pPr>
      <w:r>
        <w:rPr>
          <w:rFonts w:hint="eastAsia"/>
          <w:color w:val="auto"/>
        </w:rPr>
        <w:t>一票通ISAM卡认证服务器和一卡通ISAM卡认证服务器正常运行；</w:t>
      </w:r>
    </w:p>
    <w:p>
      <w:pPr>
        <w:pStyle w:val="113"/>
        <w:rPr>
          <w:color w:val="auto"/>
        </w:rPr>
      </w:pPr>
      <w:r>
        <w:rPr>
          <w:rFonts w:hint="eastAsia"/>
          <w:color w:val="auto"/>
        </w:rPr>
        <w:t>在受检TSM上进行一票通ISAM卡和一卡通ISAM卡签退操作，通过仿真一票通ISAM卡认证系统和仿真一卡通ISAM卡认证系统的记录检测受检TSM签退应正确。</w:t>
      </w:r>
    </w:p>
    <w:p>
      <w:pPr>
        <w:pStyle w:val="98"/>
        <w:spacing w:before="156" w:after="156"/>
        <w:rPr>
          <w:color w:val="auto"/>
        </w:rPr>
      </w:pPr>
      <w:r>
        <w:rPr>
          <w:rFonts w:hint="eastAsia"/>
          <w:color w:val="auto"/>
        </w:rPr>
        <w:t>ISAM卡领用检测</w:t>
      </w:r>
    </w:p>
    <w:p>
      <w:pPr>
        <w:pStyle w:val="60"/>
        <w:ind w:firstLine="420"/>
        <w:rPr>
          <w:color w:val="auto"/>
        </w:rPr>
      </w:pPr>
      <w:r>
        <w:rPr>
          <w:rFonts w:hint="eastAsia"/>
          <w:color w:val="auto"/>
        </w:rPr>
        <w:t>ISAM卡领用检测要求如下：</w:t>
      </w:r>
    </w:p>
    <w:p>
      <w:pPr>
        <w:pStyle w:val="178"/>
        <w:numPr>
          <w:ilvl w:val="0"/>
          <w:numId w:val="411"/>
        </w:numPr>
        <w:rPr>
          <w:color w:val="auto"/>
        </w:rPr>
      </w:pPr>
      <w:r>
        <w:rPr>
          <w:rFonts w:hint="eastAsia"/>
          <w:color w:val="auto"/>
        </w:rPr>
        <w:t>检测内容应依据DB11/T 1164.1中TSM ISAM卡领用功能的要求逐项检测；</w:t>
      </w:r>
    </w:p>
    <w:p>
      <w:pPr>
        <w:pStyle w:val="178"/>
        <w:rPr>
          <w:color w:val="auto"/>
        </w:rPr>
      </w:pPr>
      <w:r>
        <w:rPr>
          <w:rFonts w:hint="eastAsia"/>
          <w:color w:val="auto"/>
        </w:rPr>
        <w:t>检测方法要求如下：</w:t>
      </w:r>
    </w:p>
    <w:p>
      <w:pPr>
        <w:pStyle w:val="113"/>
        <w:numPr>
          <w:ilvl w:val="1"/>
          <w:numId w:val="412"/>
        </w:numPr>
        <w:rPr>
          <w:color w:val="auto"/>
        </w:rPr>
      </w:pPr>
      <w:r>
        <w:rPr>
          <w:rFonts w:hint="eastAsia"/>
          <w:color w:val="auto"/>
        </w:rPr>
        <w:t>在受检TSM上安装未使用过的一卡通ISAM卡，执行一卡通ISAM卡领用操作；</w:t>
      </w:r>
    </w:p>
    <w:p>
      <w:pPr>
        <w:pStyle w:val="113"/>
        <w:rPr>
          <w:color w:val="auto"/>
        </w:rPr>
      </w:pPr>
      <w:r>
        <w:rPr>
          <w:rFonts w:hint="eastAsia"/>
          <w:color w:val="auto"/>
        </w:rPr>
        <w:t>通过仿真一卡通ISAM卡认证系统的记录检测受检TSM领用应正确。</w:t>
      </w:r>
    </w:p>
    <w:p>
      <w:pPr>
        <w:pStyle w:val="98"/>
        <w:spacing w:before="156" w:after="156"/>
        <w:rPr>
          <w:color w:val="auto"/>
        </w:rPr>
      </w:pPr>
      <w:r>
        <w:rPr>
          <w:rFonts w:hint="eastAsia"/>
          <w:color w:val="auto"/>
        </w:rPr>
        <w:t>ISAM卡更换检测</w:t>
      </w:r>
    </w:p>
    <w:p>
      <w:pPr>
        <w:pStyle w:val="60"/>
        <w:ind w:firstLine="420"/>
        <w:rPr>
          <w:color w:val="auto"/>
        </w:rPr>
      </w:pPr>
      <w:r>
        <w:rPr>
          <w:rFonts w:hint="eastAsia"/>
          <w:color w:val="auto"/>
        </w:rPr>
        <w:t>ISAM卡更换检测要求如下：</w:t>
      </w:r>
    </w:p>
    <w:p>
      <w:pPr>
        <w:pStyle w:val="178"/>
        <w:numPr>
          <w:ilvl w:val="0"/>
          <w:numId w:val="413"/>
        </w:numPr>
        <w:rPr>
          <w:color w:val="auto"/>
        </w:rPr>
      </w:pPr>
      <w:r>
        <w:rPr>
          <w:rFonts w:hint="eastAsia"/>
          <w:color w:val="auto"/>
        </w:rPr>
        <w:t>检测内容应依据DB11/T 1164.1中TSM ISAM卡更换功能的要求逐项检测；</w:t>
      </w:r>
    </w:p>
    <w:p>
      <w:pPr>
        <w:pStyle w:val="178"/>
        <w:rPr>
          <w:color w:val="auto"/>
        </w:rPr>
      </w:pPr>
      <w:r>
        <w:rPr>
          <w:rFonts w:hint="eastAsia"/>
          <w:color w:val="auto"/>
        </w:rPr>
        <w:t>检测方法要求如下：</w:t>
      </w:r>
    </w:p>
    <w:p>
      <w:pPr>
        <w:pStyle w:val="113"/>
        <w:numPr>
          <w:ilvl w:val="1"/>
          <w:numId w:val="414"/>
        </w:numPr>
        <w:rPr>
          <w:color w:val="auto"/>
        </w:rPr>
      </w:pPr>
      <w:r>
        <w:rPr>
          <w:rFonts w:hint="eastAsia"/>
          <w:color w:val="auto"/>
        </w:rPr>
        <w:t>更换受检TSM的一卡通ISAM卡，执行一卡通ISAM卡更换操作；</w:t>
      </w:r>
    </w:p>
    <w:p>
      <w:pPr>
        <w:pStyle w:val="113"/>
        <w:rPr>
          <w:color w:val="auto"/>
        </w:rPr>
      </w:pPr>
      <w:r>
        <w:rPr>
          <w:rFonts w:hint="eastAsia"/>
          <w:color w:val="auto"/>
        </w:rPr>
        <w:t>通过仿真一卡通ISAM卡认证系统的记录检测受检TSM更换应正确。</w:t>
      </w:r>
    </w:p>
    <w:p>
      <w:pPr>
        <w:pStyle w:val="98"/>
        <w:spacing w:before="156" w:after="156"/>
        <w:rPr>
          <w:color w:val="auto"/>
        </w:rPr>
      </w:pPr>
      <w:r>
        <w:rPr>
          <w:rFonts w:hint="eastAsia"/>
          <w:color w:val="auto"/>
        </w:rPr>
        <w:t>远程监视检测</w:t>
      </w:r>
    </w:p>
    <w:p>
      <w:pPr>
        <w:pStyle w:val="60"/>
        <w:ind w:firstLine="420"/>
        <w:rPr>
          <w:color w:val="auto"/>
        </w:rPr>
      </w:pPr>
      <w:r>
        <w:rPr>
          <w:rFonts w:hint="eastAsia"/>
          <w:color w:val="auto"/>
        </w:rPr>
        <w:t>远程监视检测要求如下：</w:t>
      </w:r>
    </w:p>
    <w:p>
      <w:pPr>
        <w:pStyle w:val="178"/>
        <w:numPr>
          <w:ilvl w:val="0"/>
          <w:numId w:val="415"/>
        </w:numPr>
        <w:rPr>
          <w:color w:val="auto"/>
        </w:rPr>
      </w:pPr>
      <w:r>
        <w:rPr>
          <w:rFonts w:hint="eastAsia"/>
          <w:color w:val="auto"/>
        </w:rPr>
        <w:t>检测内容应依据DB11/T 1164.1中TSM远程监视功能的要求逐项检测；</w:t>
      </w:r>
    </w:p>
    <w:p>
      <w:pPr>
        <w:pStyle w:val="178"/>
        <w:rPr>
          <w:color w:val="auto"/>
        </w:rPr>
      </w:pPr>
      <w:r>
        <w:rPr>
          <w:rFonts w:hint="eastAsia"/>
          <w:color w:val="auto"/>
        </w:rPr>
        <w:t>检测方法应改变受检TSM的状态，或使受检TSM出现故障，通过仿真中心系统的记录检查受检TSM的状态应即时上传。</w:t>
      </w:r>
    </w:p>
    <w:p>
      <w:pPr>
        <w:pStyle w:val="98"/>
        <w:spacing w:before="156" w:after="156"/>
        <w:rPr>
          <w:color w:val="auto"/>
        </w:rPr>
      </w:pPr>
      <w:r>
        <w:rPr>
          <w:rFonts w:hint="eastAsia"/>
          <w:color w:val="auto"/>
        </w:rPr>
        <w:t>远程控制检测</w:t>
      </w:r>
    </w:p>
    <w:p>
      <w:pPr>
        <w:pStyle w:val="60"/>
        <w:ind w:firstLine="420"/>
        <w:rPr>
          <w:color w:val="auto"/>
        </w:rPr>
      </w:pPr>
      <w:r>
        <w:rPr>
          <w:rFonts w:hint="eastAsia"/>
          <w:color w:val="auto"/>
        </w:rPr>
        <w:t>远程控制检测要求如下：</w:t>
      </w:r>
    </w:p>
    <w:p>
      <w:pPr>
        <w:pStyle w:val="178"/>
        <w:numPr>
          <w:ilvl w:val="0"/>
          <w:numId w:val="416"/>
        </w:numPr>
        <w:rPr>
          <w:color w:val="auto"/>
        </w:rPr>
      </w:pPr>
      <w:r>
        <w:rPr>
          <w:rFonts w:hint="eastAsia"/>
          <w:color w:val="auto"/>
        </w:rPr>
        <w:t>检测内容应依据DB11/T 1164.1中TSM远程控制功能的要求逐项检测；</w:t>
      </w:r>
    </w:p>
    <w:p>
      <w:pPr>
        <w:pStyle w:val="178"/>
        <w:rPr>
          <w:color w:val="auto"/>
        </w:rPr>
      </w:pPr>
      <w:r>
        <w:rPr>
          <w:rFonts w:hint="eastAsia"/>
          <w:color w:val="auto"/>
        </w:rPr>
        <w:t>检测方法应使用仿真中心系统向受检TSM发送控制指令。通过仿真中心系统的记录检测受检TSM应正确执行该命令，并上传执行结果。中心系统发送的控制命令</w:t>
      </w:r>
      <w:r>
        <w:rPr>
          <w:rFonts w:hint="eastAsia"/>
          <w:color w:val="auto"/>
          <w:lang w:eastAsia="zh-CN"/>
        </w:rPr>
        <w:t>应符合</w:t>
      </w:r>
      <w:r>
        <w:rPr>
          <w:rFonts w:hint="eastAsia"/>
          <w:color w:val="auto"/>
        </w:rPr>
        <w:t>表30。</w:t>
      </w: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78"/>
        <w:numPr>
          <w:ilvl w:val="0"/>
          <w:numId w:val="0"/>
        </w:numPr>
        <w:jc w:val="both"/>
        <w:rPr>
          <w:rFonts w:hint="eastAsia"/>
          <w:color w:val="auto"/>
        </w:rPr>
      </w:pPr>
    </w:p>
    <w:p>
      <w:pPr>
        <w:pStyle w:val="116"/>
        <w:spacing w:before="156" w:after="156"/>
        <w:rPr>
          <w:color w:val="auto"/>
        </w:rPr>
      </w:pPr>
      <w:r>
        <w:rPr>
          <w:rFonts w:hint="eastAsia"/>
          <w:color w:val="auto"/>
        </w:rPr>
        <w:t>控制命令表</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55"/>
        <w:gridCol w:w="7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7296"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7296"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开机控制命令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2</w:t>
            </w:r>
          </w:p>
        </w:tc>
        <w:tc>
          <w:tcPr>
            <w:tcW w:w="7296" w:type="dxa"/>
            <w:shd w:val="clear" w:color="auto" w:fill="auto"/>
            <w:vAlign w:val="center"/>
          </w:tcPr>
          <w:p>
            <w:pPr>
              <w:pStyle w:val="60"/>
              <w:ind w:firstLine="360"/>
              <w:rPr>
                <w:color w:val="auto"/>
                <w:sz w:val="18"/>
              </w:rPr>
            </w:pPr>
            <w:r>
              <w:rPr>
                <w:rFonts w:hint="eastAsia"/>
                <w:color w:val="auto"/>
                <w:sz w:val="18"/>
              </w:rPr>
              <w:t>运营结束控制命令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3</w:t>
            </w:r>
          </w:p>
        </w:tc>
        <w:tc>
          <w:tcPr>
            <w:tcW w:w="7296" w:type="dxa"/>
            <w:shd w:val="clear" w:color="auto" w:fill="auto"/>
            <w:vAlign w:val="center"/>
          </w:tcPr>
          <w:p>
            <w:pPr>
              <w:pStyle w:val="60"/>
              <w:ind w:firstLine="360"/>
              <w:rPr>
                <w:color w:val="auto"/>
                <w:sz w:val="18"/>
              </w:rPr>
            </w:pPr>
            <w:r>
              <w:rPr>
                <w:rFonts w:hint="eastAsia"/>
                <w:color w:val="auto"/>
                <w:sz w:val="18"/>
              </w:rPr>
              <w:t>关机控制命令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4</w:t>
            </w:r>
          </w:p>
        </w:tc>
        <w:tc>
          <w:tcPr>
            <w:tcW w:w="7296" w:type="dxa"/>
            <w:shd w:val="clear" w:color="auto" w:fill="auto"/>
            <w:vAlign w:val="center"/>
          </w:tcPr>
          <w:p>
            <w:pPr>
              <w:pStyle w:val="60"/>
              <w:ind w:firstLine="360"/>
              <w:rPr>
                <w:color w:val="auto"/>
                <w:sz w:val="18"/>
              </w:rPr>
            </w:pPr>
            <w:r>
              <w:rPr>
                <w:rFonts w:hint="eastAsia"/>
                <w:color w:val="auto"/>
                <w:sz w:val="18"/>
              </w:rPr>
              <w:t>运营模式控制命令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5</w:t>
            </w:r>
          </w:p>
        </w:tc>
        <w:tc>
          <w:tcPr>
            <w:tcW w:w="7296" w:type="dxa"/>
            <w:shd w:val="clear" w:color="auto" w:fill="auto"/>
            <w:vAlign w:val="center"/>
          </w:tcPr>
          <w:p>
            <w:pPr>
              <w:pStyle w:val="60"/>
              <w:ind w:firstLine="360"/>
              <w:rPr>
                <w:color w:val="auto"/>
                <w:sz w:val="18"/>
              </w:rPr>
            </w:pPr>
            <w:r>
              <w:rPr>
                <w:rFonts w:hint="eastAsia"/>
                <w:color w:val="auto"/>
                <w:sz w:val="18"/>
              </w:rPr>
              <w:t>服务模式控制命令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6</w:t>
            </w:r>
          </w:p>
        </w:tc>
        <w:tc>
          <w:tcPr>
            <w:tcW w:w="7296" w:type="dxa"/>
            <w:shd w:val="clear" w:color="auto" w:fill="auto"/>
            <w:vAlign w:val="center"/>
          </w:tcPr>
          <w:p>
            <w:pPr>
              <w:pStyle w:val="60"/>
              <w:ind w:firstLine="360"/>
              <w:rPr>
                <w:color w:val="auto"/>
                <w:sz w:val="18"/>
              </w:rPr>
            </w:pPr>
            <w:r>
              <w:rPr>
                <w:rFonts w:hint="eastAsia"/>
                <w:color w:val="auto"/>
                <w:sz w:val="18"/>
              </w:rPr>
              <w:t>24小时运营控制命令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7</w:t>
            </w:r>
          </w:p>
        </w:tc>
        <w:tc>
          <w:tcPr>
            <w:tcW w:w="7296" w:type="dxa"/>
            <w:shd w:val="clear" w:color="auto" w:fill="auto"/>
            <w:vAlign w:val="center"/>
          </w:tcPr>
          <w:p>
            <w:pPr>
              <w:pStyle w:val="60"/>
              <w:ind w:firstLine="360"/>
              <w:rPr>
                <w:color w:val="auto"/>
                <w:sz w:val="18"/>
              </w:rPr>
            </w:pPr>
            <w:r>
              <w:rPr>
                <w:rFonts w:hint="eastAsia"/>
                <w:color w:val="auto"/>
                <w:sz w:val="18"/>
              </w:rPr>
              <w:t>延长运营控制命令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8</w:t>
            </w:r>
          </w:p>
        </w:tc>
        <w:tc>
          <w:tcPr>
            <w:tcW w:w="7296" w:type="dxa"/>
            <w:shd w:val="clear" w:color="auto" w:fill="auto"/>
            <w:vAlign w:val="center"/>
          </w:tcPr>
          <w:p>
            <w:pPr>
              <w:pStyle w:val="60"/>
              <w:ind w:firstLine="360"/>
              <w:rPr>
                <w:color w:val="auto"/>
                <w:sz w:val="18"/>
              </w:rPr>
            </w:pPr>
            <w:r>
              <w:rPr>
                <w:rFonts w:hint="eastAsia"/>
                <w:color w:val="auto"/>
                <w:sz w:val="18"/>
              </w:rPr>
              <w:t>车站停售控制命令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9</w:t>
            </w:r>
          </w:p>
        </w:tc>
        <w:tc>
          <w:tcPr>
            <w:tcW w:w="7296" w:type="dxa"/>
            <w:shd w:val="clear" w:color="auto" w:fill="auto"/>
            <w:vAlign w:val="center"/>
          </w:tcPr>
          <w:p>
            <w:pPr>
              <w:pStyle w:val="60"/>
              <w:ind w:firstLine="360"/>
              <w:rPr>
                <w:color w:val="auto"/>
                <w:sz w:val="18"/>
              </w:rPr>
            </w:pPr>
            <w:r>
              <w:rPr>
                <w:rFonts w:hint="eastAsia"/>
                <w:color w:val="auto"/>
                <w:sz w:val="18"/>
              </w:rPr>
              <w:t>强制登出控制命令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10</w:t>
            </w:r>
          </w:p>
        </w:tc>
        <w:tc>
          <w:tcPr>
            <w:tcW w:w="7296" w:type="dxa"/>
            <w:shd w:val="clear" w:color="auto" w:fill="auto"/>
            <w:vAlign w:val="center"/>
          </w:tcPr>
          <w:p>
            <w:pPr>
              <w:pStyle w:val="60"/>
              <w:ind w:firstLine="360"/>
              <w:rPr>
                <w:color w:val="auto"/>
                <w:sz w:val="18"/>
              </w:rPr>
            </w:pPr>
            <w:r>
              <w:rPr>
                <w:rFonts w:hint="eastAsia"/>
                <w:color w:val="auto"/>
                <w:sz w:val="18"/>
              </w:rPr>
              <w:t>强制时钟同步控制命令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11</w:t>
            </w:r>
          </w:p>
        </w:tc>
        <w:tc>
          <w:tcPr>
            <w:tcW w:w="7296" w:type="dxa"/>
            <w:shd w:val="clear" w:color="auto" w:fill="auto"/>
            <w:vAlign w:val="center"/>
          </w:tcPr>
          <w:p>
            <w:pPr>
              <w:pStyle w:val="60"/>
              <w:ind w:firstLine="360"/>
              <w:rPr>
                <w:color w:val="auto"/>
                <w:sz w:val="18"/>
              </w:rPr>
            </w:pPr>
            <w:r>
              <w:rPr>
                <w:rFonts w:hint="eastAsia"/>
                <w:color w:val="auto"/>
                <w:sz w:val="18"/>
              </w:rPr>
              <w:t>参数更新控制命令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2048" w:type="dxa"/>
            <w:shd w:val="clear" w:color="auto" w:fill="auto"/>
            <w:vAlign w:val="center"/>
          </w:tcPr>
          <w:p>
            <w:pPr>
              <w:pStyle w:val="60"/>
              <w:ind w:firstLine="360"/>
              <w:rPr>
                <w:color w:val="auto"/>
                <w:sz w:val="18"/>
              </w:rPr>
            </w:pPr>
            <w:r>
              <w:rPr>
                <w:rFonts w:hint="eastAsia"/>
                <w:color w:val="auto"/>
                <w:sz w:val="18"/>
              </w:rPr>
              <w:t>12</w:t>
            </w:r>
          </w:p>
        </w:tc>
        <w:tc>
          <w:tcPr>
            <w:tcW w:w="7296" w:type="dxa"/>
            <w:shd w:val="clear" w:color="auto" w:fill="auto"/>
            <w:vAlign w:val="center"/>
          </w:tcPr>
          <w:p>
            <w:pPr>
              <w:pStyle w:val="60"/>
              <w:ind w:firstLine="360"/>
              <w:rPr>
                <w:color w:val="auto"/>
                <w:sz w:val="18"/>
              </w:rPr>
            </w:pPr>
            <w:r>
              <w:rPr>
                <w:rFonts w:hint="eastAsia"/>
                <w:color w:val="auto"/>
                <w:sz w:val="18"/>
              </w:rPr>
              <w:t>软件更新控制命令</w:t>
            </w:r>
          </w:p>
        </w:tc>
      </w:tr>
    </w:tbl>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设备参数同步时间检测</w:t>
      </w:r>
    </w:p>
    <w:p>
      <w:pPr>
        <w:pStyle w:val="60"/>
        <w:ind w:firstLine="420"/>
        <w:rPr>
          <w:color w:val="auto"/>
        </w:rPr>
      </w:pPr>
      <w:r>
        <w:rPr>
          <w:rFonts w:hint="eastAsia"/>
          <w:color w:val="auto"/>
        </w:rPr>
        <w:t>设备参数同步时间检测要求如下：</w:t>
      </w:r>
    </w:p>
    <w:p>
      <w:pPr>
        <w:pStyle w:val="178"/>
        <w:numPr>
          <w:ilvl w:val="0"/>
          <w:numId w:val="417"/>
        </w:numPr>
        <w:rPr>
          <w:color w:val="auto"/>
        </w:rPr>
      </w:pPr>
      <w:r>
        <w:rPr>
          <w:rFonts w:hint="eastAsia"/>
          <w:color w:val="auto"/>
        </w:rPr>
        <w:t>检测内容为受检TSM成功完成参数同步的时间；</w:t>
      </w:r>
    </w:p>
    <w:p>
      <w:pPr>
        <w:pStyle w:val="178"/>
        <w:rPr>
          <w:color w:val="auto"/>
        </w:rPr>
      </w:pPr>
      <w:r>
        <w:rPr>
          <w:rFonts w:hint="eastAsia"/>
          <w:color w:val="auto"/>
        </w:rPr>
        <w:t>检测方法应使用仿真中心系统向受检TSM下发参数。通过仿真中心系统的记录检测受检TSM完成参数同步的时间。</w:t>
      </w:r>
    </w:p>
    <w:p>
      <w:pPr>
        <w:pStyle w:val="98"/>
        <w:spacing w:before="156" w:after="156"/>
        <w:rPr>
          <w:color w:val="auto"/>
        </w:rPr>
      </w:pPr>
      <w:r>
        <w:rPr>
          <w:rFonts w:hint="eastAsia"/>
          <w:color w:val="auto"/>
        </w:rPr>
        <w:t>设备执行控制指令时间检测</w:t>
      </w:r>
    </w:p>
    <w:p>
      <w:pPr>
        <w:pStyle w:val="60"/>
        <w:ind w:firstLine="420"/>
        <w:rPr>
          <w:color w:val="auto"/>
        </w:rPr>
      </w:pPr>
      <w:r>
        <w:rPr>
          <w:rFonts w:hint="eastAsia"/>
          <w:color w:val="auto"/>
        </w:rPr>
        <w:t>设备执行控制指令时间检测要求如下：</w:t>
      </w:r>
    </w:p>
    <w:p>
      <w:pPr>
        <w:pStyle w:val="178"/>
        <w:numPr>
          <w:ilvl w:val="0"/>
          <w:numId w:val="418"/>
        </w:numPr>
        <w:rPr>
          <w:color w:val="auto"/>
        </w:rPr>
      </w:pPr>
      <w:r>
        <w:rPr>
          <w:rFonts w:hint="eastAsia"/>
          <w:color w:val="auto"/>
        </w:rPr>
        <w:t>检测内容为中心系统下发控制指令开始到受检TSM成功执行控制指令的时间间隔；</w:t>
      </w:r>
    </w:p>
    <w:p>
      <w:pPr>
        <w:pStyle w:val="178"/>
        <w:rPr>
          <w:color w:val="auto"/>
        </w:rPr>
      </w:pPr>
      <w:r>
        <w:rPr>
          <w:rFonts w:hint="eastAsia"/>
          <w:color w:val="auto"/>
        </w:rPr>
        <w:t>检测方法应使用仿真中心系统向受检TSM发送控制命令。通过仿真中心系统的记录检测受检TSM接收到控制命令并将执行结果上传至仿真中心系统的时间间隔。</w:t>
      </w:r>
    </w:p>
    <w:p>
      <w:pPr>
        <w:pStyle w:val="98"/>
        <w:spacing w:before="156" w:after="156"/>
        <w:rPr>
          <w:color w:val="auto"/>
        </w:rPr>
      </w:pPr>
      <w:r>
        <w:rPr>
          <w:rFonts w:hint="eastAsia"/>
          <w:color w:val="auto"/>
        </w:rPr>
        <w:t>单张车票发售时间检测</w:t>
      </w:r>
    </w:p>
    <w:p>
      <w:pPr>
        <w:pStyle w:val="60"/>
        <w:ind w:firstLine="420"/>
        <w:rPr>
          <w:color w:val="auto"/>
        </w:rPr>
      </w:pPr>
      <w:r>
        <w:rPr>
          <w:rFonts w:hint="eastAsia"/>
          <w:color w:val="auto"/>
        </w:rPr>
        <w:t>单张车票发售时间检测要求如下：</w:t>
      </w:r>
    </w:p>
    <w:p>
      <w:pPr>
        <w:pStyle w:val="178"/>
        <w:numPr>
          <w:ilvl w:val="0"/>
          <w:numId w:val="419"/>
        </w:numPr>
        <w:rPr>
          <w:color w:val="auto"/>
        </w:rPr>
      </w:pPr>
      <w:r>
        <w:rPr>
          <w:rFonts w:hint="eastAsia"/>
          <w:color w:val="auto"/>
        </w:rPr>
        <w:t>检测内容为受检设备应符合DB11/T 1164.7自动售票机的单张车票发售时间要求；</w:t>
      </w:r>
    </w:p>
    <w:p>
      <w:pPr>
        <w:pStyle w:val="178"/>
        <w:rPr>
          <w:color w:val="auto"/>
        </w:rPr>
      </w:pPr>
      <w:r>
        <w:rPr>
          <w:rFonts w:hint="eastAsia"/>
          <w:color w:val="auto"/>
        </w:rPr>
        <w:t>检测方法应在受检设备上按下表推荐用例购买单张车票，使用非现金支付，记录从完成非现金支付后开始购票，到车票完全送出的间隔时间。每个项目类别各测量5次，取平均值。各类车票发售项目的推荐测试用例</w:t>
      </w:r>
      <w:r>
        <w:rPr>
          <w:rFonts w:hint="eastAsia"/>
          <w:color w:val="auto"/>
          <w:lang w:eastAsia="zh-CN"/>
        </w:rPr>
        <w:t>应符合</w:t>
      </w:r>
      <w:r>
        <w:rPr>
          <w:rFonts w:hint="eastAsia"/>
          <w:color w:val="auto"/>
        </w:rPr>
        <w:t>表31。</w:t>
      </w:r>
    </w:p>
    <w:p>
      <w:pPr>
        <w:pStyle w:val="116"/>
        <w:spacing w:before="156" w:after="156"/>
        <w:rPr>
          <w:color w:val="auto"/>
        </w:rPr>
      </w:pPr>
      <w:r>
        <w:rPr>
          <w:rFonts w:hint="eastAsia"/>
          <w:color w:val="auto"/>
        </w:rPr>
        <w:t>各车票发售项目推荐测试用例</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32"/>
        <w:gridCol w:w="3474"/>
        <w:gridCol w:w="4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5"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序号</w:t>
            </w:r>
          </w:p>
        </w:tc>
        <w:tc>
          <w:tcPr>
            <w:tcW w:w="3459"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项目类别</w:t>
            </w:r>
          </w:p>
        </w:tc>
        <w:tc>
          <w:tcPr>
            <w:tcW w:w="4250" w:type="dxa"/>
            <w:tcBorders>
              <w:top w:val="single" w:color="auto" w:sz="8" w:space="0"/>
              <w:bottom w:val="single" w:color="auto" w:sz="8" w:space="0"/>
            </w:tcBorders>
            <w:shd w:val="clear" w:color="auto" w:fill="auto"/>
            <w:vAlign w:val="center"/>
          </w:tcPr>
          <w:p>
            <w:pPr>
              <w:pStyle w:val="60"/>
              <w:ind w:firstLine="360"/>
              <w:rPr>
                <w:color w:val="auto"/>
                <w:sz w:val="18"/>
              </w:rPr>
            </w:pPr>
            <w:r>
              <w:rPr>
                <w:rFonts w:hint="eastAsia"/>
                <w:color w:val="auto"/>
                <w:sz w:val="18"/>
              </w:rPr>
              <w:t>推荐用例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1625"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1</w:t>
            </w:r>
          </w:p>
        </w:tc>
        <w:tc>
          <w:tcPr>
            <w:tcW w:w="3459"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非现金支付</w:t>
            </w:r>
          </w:p>
        </w:tc>
        <w:tc>
          <w:tcPr>
            <w:tcW w:w="4250" w:type="dxa"/>
            <w:tcBorders>
              <w:top w:val="single" w:color="auto" w:sz="8" w:space="0"/>
            </w:tcBorders>
            <w:shd w:val="clear" w:color="auto" w:fill="auto"/>
            <w:vAlign w:val="center"/>
          </w:tcPr>
          <w:p>
            <w:pPr>
              <w:pStyle w:val="60"/>
              <w:ind w:firstLine="360"/>
              <w:rPr>
                <w:color w:val="auto"/>
                <w:sz w:val="18"/>
              </w:rPr>
            </w:pPr>
            <w:r>
              <w:rPr>
                <w:rFonts w:hint="eastAsia"/>
                <w:color w:val="auto"/>
                <w:sz w:val="18"/>
              </w:rPr>
              <w:t>非现金支付购1张3元车票</w:t>
            </w:r>
          </w:p>
        </w:tc>
      </w:tr>
    </w:tbl>
    <w:p>
      <w:pPr>
        <w:pStyle w:val="98"/>
        <w:spacing w:before="156" w:after="156"/>
        <w:rPr>
          <w:color w:val="auto"/>
        </w:rPr>
      </w:pPr>
      <w:r>
        <w:rPr>
          <w:rFonts w:hint="eastAsia"/>
          <w:color w:val="auto"/>
        </w:rPr>
        <w:t>互联网支付检测</w:t>
      </w:r>
    </w:p>
    <w:p>
      <w:pPr>
        <w:pStyle w:val="60"/>
        <w:ind w:firstLine="420"/>
        <w:rPr>
          <w:color w:val="auto"/>
        </w:rPr>
      </w:pPr>
      <w:r>
        <w:rPr>
          <w:rFonts w:hint="eastAsia"/>
          <w:color w:val="auto"/>
        </w:rPr>
        <w:t>互联网支付检测要求如下：</w:t>
      </w:r>
    </w:p>
    <w:p>
      <w:pPr>
        <w:pStyle w:val="178"/>
        <w:numPr>
          <w:ilvl w:val="0"/>
          <w:numId w:val="420"/>
        </w:numPr>
        <w:rPr>
          <w:color w:val="auto"/>
        </w:rPr>
      </w:pPr>
      <w:r>
        <w:rPr>
          <w:rFonts w:hint="eastAsia"/>
          <w:color w:val="auto"/>
        </w:rPr>
        <w:t>检测内容应依据DB11/T 1164.1中 中心系统非现金支付功能的要求逐项检测；</w:t>
      </w:r>
    </w:p>
    <w:p>
      <w:pPr>
        <w:pStyle w:val="178"/>
        <w:rPr>
          <w:color w:val="auto"/>
        </w:rPr>
      </w:pPr>
      <w:r>
        <w:rPr>
          <w:rFonts w:hint="eastAsia"/>
          <w:color w:val="auto"/>
        </w:rPr>
        <w:t>检测方法应使用受检终端设备进行非现金支付业务处理，所生成的交易数据上传至实验室环境测试中心系统。通过中心系统的记录检测受检终端设备交易正确。</w:t>
      </w:r>
    </w:p>
    <w:p>
      <w:pPr>
        <w:pStyle w:val="109"/>
        <w:spacing w:before="156" w:after="156"/>
        <w:rPr>
          <w:color w:val="auto"/>
        </w:rPr>
      </w:pPr>
      <w:bookmarkStart w:id="514" w:name="OLE_LINK25"/>
      <w:bookmarkEnd w:id="514"/>
      <w:bookmarkStart w:id="515" w:name="_Toc11548"/>
      <w:r>
        <w:rPr>
          <w:rFonts w:hint="eastAsia"/>
          <w:color w:val="auto"/>
        </w:rPr>
        <w:t>便携式检票机</w:t>
      </w:r>
      <w:bookmarkEnd w:id="515"/>
    </w:p>
    <w:p>
      <w:pPr>
        <w:pStyle w:val="69"/>
        <w:spacing w:before="156" w:after="156"/>
        <w:rPr>
          <w:color w:val="auto"/>
        </w:rPr>
      </w:pPr>
      <w:r>
        <w:rPr>
          <w:rFonts w:hint="eastAsia"/>
          <w:color w:val="auto"/>
        </w:rPr>
        <w:t>配置检测</w:t>
      </w:r>
    </w:p>
    <w:p>
      <w:pPr>
        <w:pStyle w:val="98"/>
        <w:spacing w:before="156" w:after="156"/>
        <w:rPr>
          <w:color w:val="auto"/>
        </w:rPr>
      </w:pPr>
      <w:r>
        <w:rPr>
          <w:rFonts w:hint="eastAsia"/>
          <w:color w:val="auto"/>
        </w:rPr>
        <w:t>软件配置检测</w:t>
      </w:r>
    </w:p>
    <w:p>
      <w:pPr>
        <w:pStyle w:val="60"/>
        <w:ind w:firstLine="420"/>
        <w:rPr>
          <w:color w:val="auto"/>
        </w:rPr>
      </w:pPr>
      <w:r>
        <w:rPr>
          <w:rFonts w:hint="eastAsia"/>
          <w:color w:val="auto"/>
        </w:rPr>
        <w:t>软件配置检测要求如下：</w:t>
      </w:r>
    </w:p>
    <w:p>
      <w:pPr>
        <w:pStyle w:val="178"/>
        <w:numPr>
          <w:ilvl w:val="0"/>
          <w:numId w:val="421"/>
        </w:numPr>
        <w:rPr>
          <w:color w:val="auto"/>
        </w:rPr>
      </w:pPr>
      <w:r>
        <w:rPr>
          <w:rFonts w:hint="eastAsia"/>
          <w:color w:val="auto"/>
        </w:rPr>
        <w:t>检测内容应依据</w:t>
      </w:r>
      <w:r>
        <w:rPr>
          <w:rFonts w:hint="eastAsia"/>
          <w:color w:val="auto"/>
        </w:rPr>
        <w:t>DB11/T 1164.7</w:t>
      </w:r>
      <w:r>
        <w:rPr>
          <w:rFonts w:hint="eastAsia"/>
          <w:color w:val="auto"/>
        </w:rPr>
        <w:t>便携式检票机的软件配置要求逐项检测；</w:t>
      </w:r>
    </w:p>
    <w:p>
      <w:pPr>
        <w:pStyle w:val="178"/>
        <w:rPr>
          <w:color w:val="auto"/>
        </w:rPr>
      </w:pPr>
      <w:r>
        <w:rPr>
          <w:rFonts w:hint="eastAsia"/>
          <w:color w:val="auto"/>
        </w:rPr>
        <w:t>检测方法应对照配置清单逐条进行核对。</w:t>
      </w:r>
    </w:p>
    <w:p>
      <w:pPr>
        <w:pStyle w:val="98"/>
        <w:spacing w:before="156" w:after="156"/>
        <w:rPr>
          <w:color w:val="auto"/>
        </w:rPr>
      </w:pPr>
      <w:r>
        <w:rPr>
          <w:rFonts w:hint="eastAsia"/>
          <w:color w:val="auto"/>
        </w:rPr>
        <w:t>接口检测</w:t>
      </w:r>
    </w:p>
    <w:p>
      <w:pPr>
        <w:pStyle w:val="60"/>
        <w:ind w:firstLine="420"/>
        <w:rPr>
          <w:color w:val="auto"/>
        </w:rPr>
      </w:pPr>
      <w:r>
        <w:rPr>
          <w:rFonts w:hint="eastAsia"/>
          <w:color w:val="auto"/>
        </w:rPr>
        <w:t>接口检测要求如下：</w:t>
      </w:r>
    </w:p>
    <w:p>
      <w:pPr>
        <w:pStyle w:val="178"/>
        <w:numPr>
          <w:ilvl w:val="0"/>
          <w:numId w:val="422"/>
        </w:numPr>
        <w:rPr>
          <w:color w:val="auto"/>
        </w:rPr>
      </w:pPr>
      <w:r>
        <w:rPr>
          <w:rFonts w:hint="eastAsia"/>
          <w:color w:val="auto"/>
        </w:rPr>
        <w:t>检测内容应依据</w:t>
      </w:r>
      <w:r>
        <w:rPr>
          <w:rFonts w:hint="eastAsia"/>
          <w:color w:val="auto"/>
        </w:rPr>
        <w:t>DB11/T 1164.7</w:t>
      </w:r>
      <w:r>
        <w:rPr>
          <w:rFonts w:hint="eastAsia"/>
          <w:color w:val="auto"/>
        </w:rPr>
        <w:t>便携式检票机的接口要求逐项检测；</w:t>
      </w:r>
    </w:p>
    <w:p>
      <w:pPr>
        <w:pStyle w:val="178"/>
        <w:rPr>
          <w:color w:val="auto"/>
        </w:rPr>
      </w:pPr>
      <w:r>
        <w:rPr>
          <w:rFonts w:hint="eastAsia"/>
          <w:color w:val="auto"/>
        </w:rPr>
        <w:t>检测方法应使用仿真系统/仿真工具模拟中心系统进行检测。</w:t>
      </w:r>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检票进站检测</w:t>
      </w:r>
    </w:p>
    <w:p>
      <w:pPr>
        <w:pStyle w:val="60"/>
        <w:ind w:firstLine="420"/>
        <w:rPr>
          <w:color w:val="auto"/>
        </w:rPr>
      </w:pPr>
      <w:r>
        <w:rPr>
          <w:rFonts w:hint="eastAsia"/>
          <w:color w:val="auto"/>
        </w:rPr>
        <w:t>检票进站检测要求如下：</w:t>
      </w:r>
    </w:p>
    <w:p>
      <w:pPr>
        <w:pStyle w:val="178"/>
        <w:numPr>
          <w:ilvl w:val="0"/>
          <w:numId w:val="423"/>
        </w:numPr>
        <w:rPr>
          <w:color w:val="auto"/>
        </w:rPr>
      </w:pPr>
      <w:r>
        <w:rPr>
          <w:rFonts w:hint="eastAsia"/>
          <w:color w:val="auto"/>
        </w:rPr>
        <w:t>检测内容应依据DB11/T 1164.1中PCA业务处理中检票进站业务的要求逐项检测；</w:t>
      </w:r>
    </w:p>
    <w:p>
      <w:pPr>
        <w:pStyle w:val="178"/>
        <w:rPr>
          <w:color w:val="auto"/>
        </w:rPr>
      </w:pPr>
      <w:r>
        <w:rPr>
          <w:rFonts w:hint="eastAsia"/>
          <w:color w:val="auto"/>
        </w:rPr>
        <w:t>检测方法要求如下：</w:t>
      </w:r>
    </w:p>
    <w:p>
      <w:pPr>
        <w:pStyle w:val="113"/>
        <w:numPr>
          <w:ilvl w:val="1"/>
          <w:numId w:val="424"/>
        </w:numPr>
        <w:rPr>
          <w:color w:val="auto"/>
        </w:rPr>
      </w:pPr>
      <w:r>
        <w:rPr>
          <w:rFonts w:hint="eastAsia"/>
          <w:color w:val="auto"/>
        </w:rPr>
        <w:t>使用一票通发行的各种车票和一卡通发行的各种车票在受检进站PCA上刷卡，检测受检进站PCA能否正确处理且允许通行；</w:t>
      </w:r>
    </w:p>
    <w:p>
      <w:pPr>
        <w:pStyle w:val="113"/>
        <w:rPr>
          <w:color w:val="auto"/>
        </w:rPr>
      </w:pPr>
      <w:r>
        <w:rPr>
          <w:rFonts w:hint="eastAsia"/>
          <w:color w:val="auto"/>
        </w:rPr>
        <w:t>通过仿真中心系统的记录检测受检进站PCA上传的交易数据应正确。</w:t>
      </w:r>
    </w:p>
    <w:p>
      <w:pPr>
        <w:pStyle w:val="98"/>
        <w:spacing w:before="156" w:after="156"/>
        <w:rPr>
          <w:color w:val="auto"/>
        </w:rPr>
      </w:pPr>
      <w:r>
        <w:rPr>
          <w:rFonts w:hint="eastAsia"/>
          <w:color w:val="auto"/>
        </w:rPr>
        <w:t>检票出站检测</w:t>
      </w:r>
    </w:p>
    <w:p>
      <w:pPr>
        <w:pStyle w:val="60"/>
        <w:ind w:firstLine="420"/>
        <w:rPr>
          <w:color w:val="auto"/>
        </w:rPr>
      </w:pPr>
      <w:r>
        <w:rPr>
          <w:rFonts w:hint="eastAsia"/>
          <w:color w:val="auto"/>
        </w:rPr>
        <w:t>检票出站检测要求如下：</w:t>
      </w:r>
    </w:p>
    <w:p>
      <w:pPr>
        <w:pStyle w:val="178"/>
        <w:numPr>
          <w:ilvl w:val="0"/>
          <w:numId w:val="425"/>
        </w:numPr>
        <w:rPr>
          <w:color w:val="auto"/>
        </w:rPr>
      </w:pPr>
      <w:r>
        <w:rPr>
          <w:rFonts w:hint="eastAsia"/>
          <w:color w:val="auto"/>
        </w:rPr>
        <w:t>检测内容应依据DB11/T 1164.1中PCA业务处理中检票出站业务的要求逐项检测；</w:t>
      </w:r>
    </w:p>
    <w:p>
      <w:pPr>
        <w:pStyle w:val="178"/>
        <w:rPr>
          <w:color w:val="auto"/>
        </w:rPr>
      </w:pPr>
      <w:r>
        <w:rPr>
          <w:rFonts w:hint="eastAsia"/>
          <w:color w:val="auto"/>
        </w:rPr>
        <w:t>检测方法要求如下：</w:t>
      </w:r>
    </w:p>
    <w:p>
      <w:pPr>
        <w:pStyle w:val="113"/>
        <w:numPr>
          <w:ilvl w:val="1"/>
          <w:numId w:val="426"/>
        </w:numPr>
        <w:rPr>
          <w:color w:val="auto"/>
        </w:rPr>
      </w:pPr>
      <w:r>
        <w:rPr>
          <w:rFonts w:hint="eastAsia"/>
          <w:color w:val="auto"/>
        </w:rPr>
        <w:t>使用一票通发行的各种车票和一卡通发行的各种车票在受检出站PCA上刷卡，检测受检出站PCA能否正确处理且允许通行；</w:t>
      </w:r>
    </w:p>
    <w:p>
      <w:pPr>
        <w:pStyle w:val="113"/>
        <w:rPr>
          <w:color w:val="auto"/>
        </w:rPr>
      </w:pPr>
      <w:r>
        <w:rPr>
          <w:rFonts w:hint="eastAsia"/>
          <w:color w:val="auto"/>
        </w:rPr>
        <w:t>通过仿真中心系统的记录检测受检出站PCA上传的交易数据应正确。</w:t>
      </w:r>
    </w:p>
    <w:p>
      <w:pPr>
        <w:pStyle w:val="98"/>
        <w:spacing w:before="156" w:after="156"/>
        <w:rPr>
          <w:color w:val="auto"/>
        </w:rPr>
      </w:pPr>
      <w:r>
        <w:rPr>
          <w:rFonts w:hint="eastAsia"/>
          <w:color w:val="auto"/>
        </w:rPr>
        <w:t>操作员登录登出检测</w:t>
      </w:r>
    </w:p>
    <w:p>
      <w:pPr>
        <w:pStyle w:val="60"/>
        <w:ind w:firstLine="420"/>
        <w:rPr>
          <w:color w:val="auto"/>
        </w:rPr>
      </w:pPr>
      <w:r>
        <w:rPr>
          <w:rFonts w:hint="eastAsia"/>
          <w:color w:val="auto"/>
        </w:rPr>
        <w:t>操作员登录登出检测要求如下：</w:t>
      </w:r>
    </w:p>
    <w:p>
      <w:pPr>
        <w:pStyle w:val="178"/>
        <w:numPr>
          <w:ilvl w:val="0"/>
          <w:numId w:val="427"/>
        </w:numPr>
        <w:rPr>
          <w:color w:val="auto"/>
        </w:rPr>
      </w:pPr>
      <w:r>
        <w:rPr>
          <w:rFonts w:hint="eastAsia"/>
          <w:color w:val="auto"/>
        </w:rPr>
        <w:t>检测内容应依据DB11/T 1164.1中PCA操作员登录登出功能的要求逐项检测；</w:t>
      </w:r>
    </w:p>
    <w:p>
      <w:pPr>
        <w:pStyle w:val="178"/>
        <w:rPr>
          <w:color w:val="auto"/>
        </w:rPr>
      </w:pPr>
      <w:r>
        <w:rPr>
          <w:rFonts w:hint="eastAsia"/>
          <w:color w:val="auto"/>
        </w:rPr>
        <w:t>检测方法：使用仿真中心系统向受检PCA下发操作员权限参数，在受检PCA上进行登录操作，通过仿真系统的记录检测受检PCA对操作员登录的处理应符合DB11/T 1164.1和DB11/T 1164.2的规定。</w:t>
      </w:r>
    </w:p>
    <w:p>
      <w:pPr>
        <w:pStyle w:val="98"/>
        <w:spacing w:before="156" w:after="156"/>
        <w:rPr>
          <w:color w:val="auto"/>
        </w:rPr>
      </w:pPr>
      <w:r>
        <w:rPr>
          <w:rFonts w:hint="eastAsia"/>
          <w:color w:val="auto"/>
        </w:rPr>
        <w:t>数据查询检测</w:t>
      </w:r>
    </w:p>
    <w:p>
      <w:pPr>
        <w:pStyle w:val="60"/>
        <w:ind w:firstLine="420"/>
        <w:rPr>
          <w:color w:val="auto"/>
        </w:rPr>
      </w:pPr>
      <w:r>
        <w:rPr>
          <w:rFonts w:hint="eastAsia"/>
          <w:color w:val="auto"/>
        </w:rPr>
        <w:t>数据查询检测要求如下：</w:t>
      </w:r>
    </w:p>
    <w:p>
      <w:pPr>
        <w:pStyle w:val="178"/>
        <w:numPr>
          <w:ilvl w:val="0"/>
          <w:numId w:val="428"/>
        </w:numPr>
        <w:rPr>
          <w:color w:val="auto"/>
        </w:rPr>
      </w:pPr>
      <w:r>
        <w:rPr>
          <w:rFonts w:hint="eastAsia"/>
          <w:color w:val="auto"/>
        </w:rPr>
        <w:t>检测内容应依据DB11/T 1164.1中PCA数据查询功能的要求逐项检测；</w:t>
      </w:r>
    </w:p>
    <w:p>
      <w:pPr>
        <w:pStyle w:val="178"/>
        <w:rPr>
          <w:color w:val="auto"/>
        </w:rPr>
      </w:pPr>
      <w:r>
        <w:rPr>
          <w:rFonts w:hint="eastAsia"/>
          <w:color w:val="auto"/>
        </w:rPr>
        <w:t>检测方法要求如下：</w:t>
      </w:r>
    </w:p>
    <w:p>
      <w:pPr>
        <w:pStyle w:val="113"/>
        <w:numPr>
          <w:ilvl w:val="1"/>
          <w:numId w:val="429"/>
        </w:numPr>
        <w:rPr>
          <w:color w:val="auto"/>
        </w:rPr>
      </w:pPr>
      <w:r>
        <w:rPr>
          <w:rFonts w:hint="eastAsia"/>
          <w:color w:val="auto"/>
        </w:rPr>
        <w:t>在受检PCA进行刷卡进站、刷卡出站的操作，应能查询到相关交易数据、数据传送信息；</w:t>
      </w:r>
    </w:p>
    <w:p>
      <w:pPr>
        <w:pStyle w:val="113"/>
        <w:rPr>
          <w:color w:val="auto"/>
        </w:rPr>
      </w:pPr>
      <w:r>
        <w:rPr>
          <w:rFonts w:hint="eastAsia"/>
          <w:color w:val="auto"/>
        </w:rPr>
        <w:t>在受检PCA上模拟故障，应能查询到相关故障信息；</w:t>
      </w:r>
    </w:p>
    <w:p>
      <w:pPr>
        <w:pStyle w:val="113"/>
        <w:rPr>
          <w:color w:val="auto"/>
        </w:rPr>
      </w:pPr>
      <w:r>
        <w:rPr>
          <w:rFonts w:hint="eastAsia"/>
          <w:color w:val="auto"/>
        </w:rPr>
        <w:t>在受检PCA上进行部件更换操作，应能查询到部件信息、日志信息；</w:t>
      </w:r>
    </w:p>
    <w:p>
      <w:pPr>
        <w:pStyle w:val="113"/>
        <w:rPr>
          <w:color w:val="auto"/>
        </w:rPr>
      </w:pPr>
      <w:r>
        <w:rPr>
          <w:rFonts w:hint="eastAsia"/>
          <w:color w:val="auto"/>
        </w:rPr>
        <w:t>使用仿真中心系统向受检PCA发送闸门常开命令，在受检设备应能查询到状态信息。PCA数据查询的种类</w:t>
      </w:r>
      <w:r>
        <w:rPr>
          <w:rFonts w:hint="eastAsia"/>
          <w:color w:val="auto"/>
          <w:lang w:eastAsia="zh-CN"/>
        </w:rPr>
        <w:t>应符合</w:t>
      </w:r>
      <w:r>
        <w:rPr>
          <w:rFonts w:hint="eastAsia"/>
          <w:color w:val="auto"/>
        </w:rPr>
        <w:t>表32。</w:t>
      </w:r>
    </w:p>
    <w:p>
      <w:pPr>
        <w:pStyle w:val="116"/>
        <w:spacing w:before="156" w:after="156"/>
        <w:rPr>
          <w:color w:val="auto"/>
        </w:rPr>
      </w:pPr>
      <w:r>
        <w:rPr>
          <w:rFonts w:hint="eastAsia"/>
          <w:color w:val="auto"/>
        </w:rPr>
        <w:t>PCA数据查询种类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760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序号</w:t>
            </w:r>
          </w:p>
        </w:tc>
        <w:tc>
          <w:tcPr>
            <w:tcW w:w="7569"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1</w:t>
            </w:r>
          </w:p>
        </w:tc>
        <w:tc>
          <w:tcPr>
            <w:tcW w:w="7569"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交易数据查询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2</w:t>
            </w:r>
          </w:p>
        </w:tc>
        <w:tc>
          <w:tcPr>
            <w:tcW w:w="7569" w:type="dxa"/>
            <w:shd w:val="clear" w:color="auto" w:fill="auto"/>
            <w:vAlign w:val="center"/>
          </w:tcPr>
          <w:p>
            <w:pPr>
              <w:pStyle w:val="60"/>
              <w:ind w:firstLine="360"/>
              <w:rPr>
                <w:color w:val="auto"/>
                <w:sz w:val="18"/>
              </w:rPr>
            </w:pPr>
            <w:r>
              <w:rPr>
                <w:rFonts w:hint="eastAsia"/>
                <w:color w:val="auto"/>
                <w:sz w:val="18"/>
              </w:rPr>
              <w:t>状态信息查询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3</w:t>
            </w:r>
          </w:p>
        </w:tc>
        <w:tc>
          <w:tcPr>
            <w:tcW w:w="7569" w:type="dxa"/>
            <w:shd w:val="clear" w:color="auto" w:fill="auto"/>
            <w:vAlign w:val="center"/>
          </w:tcPr>
          <w:p>
            <w:pPr>
              <w:pStyle w:val="60"/>
              <w:ind w:firstLine="360"/>
              <w:rPr>
                <w:color w:val="auto"/>
                <w:sz w:val="18"/>
              </w:rPr>
            </w:pPr>
            <w:r>
              <w:rPr>
                <w:rFonts w:hint="eastAsia"/>
                <w:color w:val="auto"/>
                <w:sz w:val="18"/>
              </w:rPr>
              <w:t>数据传送信息查询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4</w:t>
            </w:r>
          </w:p>
        </w:tc>
        <w:tc>
          <w:tcPr>
            <w:tcW w:w="7569" w:type="dxa"/>
            <w:shd w:val="clear" w:color="auto" w:fill="auto"/>
            <w:vAlign w:val="center"/>
          </w:tcPr>
          <w:p>
            <w:pPr>
              <w:pStyle w:val="60"/>
              <w:ind w:firstLine="360"/>
              <w:rPr>
                <w:color w:val="auto"/>
                <w:sz w:val="18"/>
              </w:rPr>
            </w:pPr>
            <w:r>
              <w:rPr>
                <w:rFonts w:hint="eastAsia"/>
                <w:color w:val="auto"/>
                <w:sz w:val="18"/>
              </w:rPr>
              <w:t>日志信息查询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5</w:t>
            </w:r>
          </w:p>
        </w:tc>
        <w:tc>
          <w:tcPr>
            <w:tcW w:w="7569" w:type="dxa"/>
            <w:shd w:val="clear" w:color="auto" w:fill="auto"/>
            <w:vAlign w:val="center"/>
          </w:tcPr>
          <w:p>
            <w:pPr>
              <w:pStyle w:val="60"/>
              <w:ind w:firstLine="360"/>
              <w:rPr>
                <w:color w:val="auto"/>
                <w:sz w:val="18"/>
              </w:rPr>
            </w:pPr>
            <w:r>
              <w:rPr>
                <w:rFonts w:hint="eastAsia"/>
                <w:color w:val="auto"/>
                <w:sz w:val="18"/>
              </w:rPr>
              <w:t>故障信息查询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6</w:t>
            </w:r>
          </w:p>
        </w:tc>
        <w:tc>
          <w:tcPr>
            <w:tcW w:w="7569" w:type="dxa"/>
            <w:shd w:val="clear" w:color="auto" w:fill="auto"/>
            <w:vAlign w:val="center"/>
          </w:tcPr>
          <w:p>
            <w:pPr>
              <w:pStyle w:val="60"/>
              <w:ind w:firstLine="360"/>
              <w:rPr>
                <w:color w:val="auto"/>
                <w:sz w:val="18"/>
              </w:rPr>
            </w:pPr>
            <w:r>
              <w:rPr>
                <w:rFonts w:hint="eastAsia"/>
                <w:color w:val="auto"/>
                <w:sz w:val="18"/>
              </w:rPr>
              <w:t>部件信息查询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765" w:type="dxa"/>
            <w:shd w:val="clear" w:color="auto" w:fill="auto"/>
            <w:vAlign w:val="center"/>
          </w:tcPr>
          <w:p>
            <w:pPr>
              <w:pStyle w:val="60"/>
              <w:ind w:firstLine="360"/>
              <w:rPr>
                <w:color w:val="auto"/>
                <w:sz w:val="18"/>
              </w:rPr>
            </w:pPr>
            <w:r>
              <w:rPr>
                <w:rFonts w:hint="eastAsia"/>
                <w:color w:val="auto"/>
                <w:sz w:val="18"/>
              </w:rPr>
              <w:t>7</w:t>
            </w:r>
          </w:p>
        </w:tc>
        <w:tc>
          <w:tcPr>
            <w:tcW w:w="7569" w:type="dxa"/>
            <w:shd w:val="clear" w:color="auto" w:fill="auto"/>
            <w:vAlign w:val="center"/>
          </w:tcPr>
          <w:p>
            <w:pPr>
              <w:pStyle w:val="60"/>
              <w:ind w:firstLine="360"/>
              <w:rPr>
                <w:color w:val="auto"/>
                <w:sz w:val="18"/>
              </w:rPr>
            </w:pPr>
            <w:r>
              <w:rPr>
                <w:rFonts w:hint="eastAsia"/>
                <w:color w:val="auto"/>
                <w:sz w:val="18"/>
              </w:rPr>
              <w:t>运转数据查询</w:t>
            </w:r>
          </w:p>
        </w:tc>
      </w:tr>
    </w:tbl>
    <w:p>
      <w:pPr>
        <w:pStyle w:val="98"/>
        <w:spacing w:before="156" w:after="156"/>
        <w:rPr>
          <w:color w:val="auto"/>
        </w:rPr>
      </w:pPr>
      <w:r>
        <w:rPr>
          <w:rFonts w:hint="eastAsia"/>
          <w:color w:val="auto"/>
        </w:rPr>
        <w:t>检查参数/软件版本检测</w:t>
      </w:r>
    </w:p>
    <w:p>
      <w:pPr>
        <w:pStyle w:val="60"/>
        <w:ind w:firstLine="420"/>
        <w:rPr>
          <w:color w:val="auto"/>
        </w:rPr>
      </w:pPr>
      <w:r>
        <w:rPr>
          <w:rFonts w:hint="eastAsia"/>
          <w:color w:val="auto"/>
        </w:rPr>
        <w:t>检查参数/软件版本检测要求如下：</w:t>
      </w:r>
    </w:p>
    <w:p>
      <w:pPr>
        <w:pStyle w:val="178"/>
        <w:numPr>
          <w:ilvl w:val="0"/>
          <w:numId w:val="430"/>
        </w:numPr>
        <w:rPr>
          <w:color w:val="auto"/>
        </w:rPr>
      </w:pPr>
      <w:r>
        <w:rPr>
          <w:rFonts w:hint="eastAsia"/>
          <w:color w:val="auto"/>
        </w:rPr>
        <w:t>检测内容应依据DB11/T 1164.1中PCA检查参数/软件版本功能的要求逐项检测；</w:t>
      </w:r>
    </w:p>
    <w:p>
      <w:pPr>
        <w:pStyle w:val="178"/>
        <w:rPr>
          <w:color w:val="auto"/>
        </w:rPr>
      </w:pPr>
      <w:r>
        <w:rPr>
          <w:rFonts w:hint="eastAsia"/>
          <w:color w:val="auto"/>
        </w:rPr>
        <w:t>检测方法：使用仿真中心系统向受检PCA下发参数数据/软件数据。在受检PCA上查询参数数据版本/软件版本信息，确认与中心系统下发的参数数据/软件数据的版本应一致。</w:t>
      </w:r>
    </w:p>
    <w:p>
      <w:pPr>
        <w:pStyle w:val="98"/>
        <w:spacing w:before="156" w:after="156"/>
        <w:rPr>
          <w:color w:val="auto"/>
        </w:rPr>
      </w:pPr>
      <w:r>
        <w:rPr>
          <w:rFonts w:hint="eastAsia"/>
          <w:color w:val="auto"/>
        </w:rPr>
        <w:t>设备设置检测</w:t>
      </w:r>
    </w:p>
    <w:p>
      <w:pPr>
        <w:pStyle w:val="60"/>
        <w:ind w:firstLine="420"/>
        <w:rPr>
          <w:color w:val="auto"/>
        </w:rPr>
      </w:pPr>
      <w:r>
        <w:rPr>
          <w:rFonts w:hint="eastAsia"/>
          <w:color w:val="auto"/>
        </w:rPr>
        <w:t>设备设置检测要求如下：</w:t>
      </w:r>
    </w:p>
    <w:p>
      <w:pPr>
        <w:pStyle w:val="178"/>
        <w:numPr>
          <w:ilvl w:val="0"/>
          <w:numId w:val="431"/>
        </w:numPr>
        <w:rPr>
          <w:color w:val="auto"/>
        </w:rPr>
      </w:pPr>
      <w:r>
        <w:rPr>
          <w:rFonts w:hint="eastAsia"/>
          <w:color w:val="auto"/>
        </w:rPr>
        <w:t>检测内容应依据DB11/T 1164.1中PCA设备设置功能的要求逐项检测；</w:t>
      </w:r>
    </w:p>
    <w:p>
      <w:pPr>
        <w:pStyle w:val="178"/>
        <w:rPr>
          <w:color w:val="auto"/>
        </w:rPr>
      </w:pPr>
      <w:r>
        <w:rPr>
          <w:rFonts w:hint="eastAsia"/>
          <w:color w:val="auto"/>
        </w:rPr>
        <w:t>检测方法应在受检PCA上进行设备设置操作。受检PCA应按照设置后的模式进行工作，通过仿真中心系统的记录检查受检PCA设置后的状态。PCA的设置信息种类</w:t>
      </w:r>
      <w:r>
        <w:rPr>
          <w:rFonts w:hint="eastAsia"/>
          <w:color w:val="auto"/>
          <w:lang w:eastAsia="zh-CN"/>
        </w:rPr>
        <w:t>应符合</w:t>
      </w:r>
      <w:r>
        <w:rPr>
          <w:rFonts w:hint="eastAsia"/>
          <w:color w:val="auto"/>
        </w:rPr>
        <w:t>表33。</w:t>
      </w:r>
    </w:p>
    <w:p>
      <w:pPr>
        <w:pStyle w:val="116"/>
        <w:spacing w:before="156" w:after="156"/>
        <w:rPr>
          <w:color w:val="auto"/>
        </w:rPr>
      </w:pPr>
      <w:r>
        <w:rPr>
          <w:rFonts w:hint="eastAsia"/>
          <w:color w:val="auto"/>
        </w:rPr>
        <w:t>PCA设置信息种类</w:t>
      </w:r>
    </w:p>
    <w:tbl>
      <w:tblPr>
        <w:tblStyle w:val="29"/>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72"/>
        <w:gridCol w:w="4477"/>
        <w:gridCol w:w="31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序号</w:t>
            </w:r>
          </w:p>
        </w:tc>
        <w:tc>
          <w:tcPr>
            <w:tcW w:w="4571"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设备设置</w:t>
            </w:r>
          </w:p>
        </w:tc>
        <w:tc>
          <w:tcPr>
            <w:tcW w:w="3191" w:type="dxa"/>
            <w:tcBorders>
              <w:top w:val="single" w:color="000000" w:sz="8" w:space="0"/>
              <w:bottom w:val="single" w:color="000000" w:sz="8" w:space="0"/>
            </w:tcBorders>
            <w:shd w:val="clear" w:color="auto" w:fill="auto"/>
            <w:vAlign w:val="center"/>
          </w:tcPr>
          <w:p>
            <w:pPr>
              <w:pStyle w:val="60"/>
              <w:ind w:firstLine="360"/>
              <w:rPr>
                <w:color w:val="auto"/>
                <w:sz w:val="18"/>
              </w:rPr>
            </w:pPr>
            <w:r>
              <w:rPr>
                <w:rFonts w:hint="eastAsia"/>
                <w:color w:val="auto"/>
                <w:sz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1</w:t>
            </w:r>
          </w:p>
        </w:tc>
        <w:tc>
          <w:tcPr>
            <w:tcW w:w="4571" w:type="dxa"/>
            <w:tcBorders>
              <w:top w:val="single" w:color="000000" w:sz="8" w:space="0"/>
            </w:tcBorders>
            <w:shd w:val="clear" w:color="auto" w:fill="auto"/>
            <w:vAlign w:val="center"/>
          </w:tcPr>
          <w:p>
            <w:pPr>
              <w:pStyle w:val="60"/>
              <w:ind w:firstLine="360"/>
              <w:rPr>
                <w:color w:val="auto"/>
                <w:sz w:val="18"/>
              </w:rPr>
            </w:pPr>
            <w:r>
              <w:rPr>
                <w:rFonts w:hint="eastAsia"/>
                <w:color w:val="auto"/>
                <w:sz w:val="18"/>
              </w:rPr>
              <w:t>基本信息设置</w:t>
            </w:r>
          </w:p>
        </w:tc>
        <w:tc>
          <w:tcPr>
            <w:tcW w:w="3191" w:type="dxa"/>
            <w:tcBorders>
              <w:top w:val="single" w:color="000000" w:sz="8" w:space="0"/>
            </w:tcBorders>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shd w:val="clear" w:color="auto" w:fill="auto"/>
            <w:vAlign w:val="center"/>
          </w:tcPr>
          <w:p>
            <w:pPr>
              <w:pStyle w:val="60"/>
              <w:ind w:firstLine="360"/>
              <w:rPr>
                <w:color w:val="auto"/>
                <w:sz w:val="18"/>
              </w:rPr>
            </w:pPr>
            <w:r>
              <w:rPr>
                <w:rFonts w:hint="eastAsia"/>
                <w:color w:val="auto"/>
                <w:sz w:val="18"/>
              </w:rPr>
              <w:t>2</w:t>
            </w:r>
          </w:p>
        </w:tc>
        <w:tc>
          <w:tcPr>
            <w:tcW w:w="4571" w:type="dxa"/>
            <w:shd w:val="clear" w:color="auto" w:fill="auto"/>
            <w:vAlign w:val="center"/>
          </w:tcPr>
          <w:p>
            <w:pPr>
              <w:pStyle w:val="60"/>
              <w:ind w:firstLine="360"/>
              <w:rPr>
                <w:color w:val="auto"/>
                <w:sz w:val="18"/>
              </w:rPr>
            </w:pPr>
            <w:r>
              <w:rPr>
                <w:rFonts w:hint="eastAsia"/>
                <w:color w:val="auto"/>
                <w:sz w:val="18"/>
              </w:rPr>
              <w:t>运营模式设置</w:t>
            </w:r>
          </w:p>
        </w:tc>
        <w:tc>
          <w:tcPr>
            <w:tcW w:w="3191" w:type="dxa"/>
            <w:shd w:val="clear" w:color="auto" w:fill="auto"/>
            <w:vAlign w:val="center"/>
          </w:tcPr>
          <w:p>
            <w:pPr>
              <w:pStyle w:val="60"/>
              <w:ind w:firstLine="360"/>
              <w:rPr>
                <w:color w:val="auto"/>
                <w:sz w:val="18"/>
              </w:rPr>
            </w:pPr>
            <w:r>
              <w:rPr>
                <w:rFonts w:hint="eastAsia"/>
                <w:color w:val="auto"/>
                <w:sz w:val="18"/>
              </w:rPr>
              <w:t>仅脱机时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shd w:val="clear" w:color="auto" w:fill="auto"/>
            <w:vAlign w:val="center"/>
          </w:tcPr>
          <w:p>
            <w:pPr>
              <w:pStyle w:val="60"/>
              <w:ind w:firstLine="360"/>
              <w:rPr>
                <w:color w:val="auto"/>
                <w:sz w:val="18"/>
              </w:rPr>
            </w:pPr>
            <w:r>
              <w:rPr>
                <w:rFonts w:hint="eastAsia"/>
                <w:color w:val="auto"/>
                <w:sz w:val="18"/>
              </w:rPr>
              <w:t>3</w:t>
            </w:r>
          </w:p>
        </w:tc>
        <w:tc>
          <w:tcPr>
            <w:tcW w:w="4571" w:type="dxa"/>
            <w:shd w:val="clear" w:color="auto" w:fill="auto"/>
            <w:vAlign w:val="center"/>
          </w:tcPr>
          <w:p>
            <w:pPr>
              <w:pStyle w:val="60"/>
              <w:ind w:firstLine="360"/>
              <w:rPr>
                <w:color w:val="auto"/>
                <w:sz w:val="18"/>
              </w:rPr>
            </w:pPr>
            <w:r>
              <w:rPr>
                <w:rFonts w:hint="eastAsia"/>
                <w:color w:val="auto"/>
                <w:sz w:val="18"/>
              </w:rPr>
              <w:t>24小时运营设置</w:t>
            </w:r>
          </w:p>
        </w:tc>
        <w:tc>
          <w:tcPr>
            <w:tcW w:w="3191"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shd w:val="clear" w:color="auto" w:fill="auto"/>
            <w:vAlign w:val="center"/>
          </w:tcPr>
          <w:p>
            <w:pPr>
              <w:pStyle w:val="60"/>
              <w:ind w:firstLine="360"/>
              <w:rPr>
                <w:color w:val="auto"/>
                <w:sz w:val="18"/>
              </w:rPr>
            </w:pPr>
            <w:r>
              <w:rPr>
                <w:rFonts w:hint="eastAsia"/>
                <w:color w:val="auto"/>
                <w:sz w:val="18"/>
              </w:rPr>
              <w:t>4</w:t>
            </w:r>
          </w:p>
        </w:tc>
        <w:tc>
          <w:tcPr>
            <w:tcW w:w="4571" w:type="dxa"/>
            <w:shd w:val="clear" w:color="auto" w:fill="auto"/>
            <w:vAlign w:val="center"/>
          </w:tcPr>
          <w:p>
            <w:pPr>
              <w:pStyle w:val="60"/>
              <w:ind w:firstLine="360"/>
              <w:rPr>
                <w:color w:val="auto"/>
                <w:sz w:val="18"/>
              </w:rPr>
            </w:pPr>
            <w:r>
              <w:rPr>
                <w:rFonts w:hint="eastAsia"/>
                <w:color w:val="auto"/>
                <w:sz w:val="18"/>
              </w:rPr>
              <w:t>延长运营设置</w:t>
            </w:r>
          </w:p>
        </w:tc>
        <w:tc>
          <w:tcPr>
            <w:tcW w:w="3191" w:type="dxa"/>
            <w:shd w:val="clear" w:color="auto" w:fill="auto"/>
            <w:vAlign w:val="center"/>
          </w:tcPr>
          <w:p>
            <w:pPr>
              <w:pStyle w:val="60"/>
              <w:ind w:firstLine="360"/>
              <w:rPr>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 w:hRule="atLeast"/>
          <w:jc w:val="center"/>
        </w:trPr>
        <w:tc>
          <w:tcPr>
            <w:tcW w:w="1808" w:type="dxa"/>
            <w:shd w:val="clear" w:color="auto" w:fill="auto"/>
            <w:vAlign w:val="center"/>
          </w:tcPr>
          <w:p>
            <w:pPr>
              <w:pStyle w:val="60"/>
              <w:ind w:firstLine="360"/>
              <w:rPr>
                <w:color w:val="auto"/>
                <w:sz w:val="18"/>
              </w:rPr>
            </w:pPr>
            <w:r>
              <w:rPr>
                <w:rFonts w:hint="eastAsia"/>
                <w:color w:val="auto"/>
                <w:sz w:val="18"/>
              </w:rPr>
              <w:t>5</w:t>
            </w:r>
          </w:p>
        </w:tc>
        <w:tc>
          <w:tcPr>
            <w:tcW w:w="4571" w:type="dxa"/>
            <w:shd w:val="clear" w:color="auto" w:fill="auto"/>
            <w:vAlign w:val="center"/>
          </w:tcPr>
          <w:p>
            <w:pPr>
              <w:pStyle w:val="60"/>
              <w:ind w:firstLine="360"/>
              <w:rPr>
                <w:color w:val="auto"/>
                <w:sz w:val="18"/>
              </w:rPr>
            </w:pPr>
            <w:r>
              <w:rPr>
                <w:rFonts w:hint="eastAsia"/>
                <w:color w:val="auto"/>
                <w:sz w:val="18"/>
              </w:rPr>
              <w:t>时钟设置</w:t>
            </w:r>
          </w:p>
        </w:tc>
        <w:tc>
          <w:tcPr>
            <w:tcW w:w="3191" w:type="dxa"/>
            <w:shd w:val="clear" w:color="auto" w:fill="auto"/>
            <w:vAlign w:val="center"/>
          </w:tcPr>
          <w:p>
            <w:pPr>
              <w:pStyle w:val="60"/>
              <w:ind w:firstLine="360"/>
              <w:rPr>
                <w:color w:val="auto"/>
                <w:sz w:val="18"/>
              </w:rPr>
            </w:pPr>
          </w:p>
        </w:tc>
      </w:tr>
    </w:tbl>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设备参数同步时间检测</w:t>
      </w:r>
    </w:p>
    <w:p>
      <w:pPr>
        <w:pStyle w:val="60"/>
        <w:ind w:firstLine="420"/>
        <w:rPr>
          <w:color w:val="auto"/>
        </w:rPr>
      </w:pPr>
      <w:r>
        <w:rPr>
          <w:rFonts w:hint="eastAsia"/>
          <w:color w:val="auto"/>
        </w:rPr>
        <w:t>设备参数同步时间检测要求如下：</w:t>
      </w:r>
    </w:p>
    <w:p>
      <w:pPr>
        <w:pStyle w:val="178"/>
        <w:numPr>
          <w:ilvl w:val="0"/>
          <w:numId w:val="432"/>
        </w:numPr>
        <w:rPr>
          <w:color w:val="auto"/>
        </w:rPr>
      </w:pPr>
      <w:r>
        <w:rPr>
          <w:rFonts w:hint="eastAsia"/>
          <w:color w:val="auto"/>
        </w:rPr>
        <w:t>检测内容为受检PCA成功完成参数同步的时间；</w:t>
      </w:r>
    </w:p>
    <w:p>
      <w:pPr>
        <w:pStyle w:val="178"/>
        <w:rPr>
          <w:color w:val="auto"/>
        </w:rPr>
      </w:pPr>
      <w:r>
        <w:rPr>
          <w:rFonts w:hint="eastAsia"/>
          <w:color w:val="auto"/>
        </w:rPr>
        <w:t>检测方法为使用仿真中心系统向受检PCA下发参数。通过仿真中心系统的记录检测受检PCA完成参数同步的时间。</w:t>
      </w:r>
    </w:p>
    <w:p>
      <w:pPr>
        <w:pStyle w:val="98"/>
        <w:spacing w:before="156" w:after="156"/>
        <w:rPr>
          <w:color w:val="auto"/>
        </w:rPr>
      </w:pPr>
      <w:r>
        <w:rPr>
          <w:rFonts w:hint="eastAsia"/>
          <w:color w:val="auto"/>
        </w:rPr>
        <w:t>票卡读写距离检测</w:t>
      </w:r>
    </w:p>
    <w:p>
      <w:pPr>
        <w:pStyle w:val="60"/>
        <w:ind w:firstLine="420"/>
        <w:rPr>
          <w:color w:val="auto"/>
        </w:rPr>
      </w:pPr>
      <w:r>
        <w:rPr>
          <w:rFonts w:hint="eastAsia"/>
          <w:color w:val="auto"/>
        </w:rPr>
        <w:t>票卡读写距离检测要求如下：</w:t>
      </w:r>
    </w:p>
    <w:p>
      <w:pPr>
        <w:pStyle w:val="178"/>
        <w:numPr>
          <w:ilvl w:val="0"/>
          <w:numId w:val="433"/>
        </w:numPr>
        <w:rPr>
          <w:color w:val="auto"/>
        </w:rPr>
      </w:pPr>
      <w:r>
        <w:rPr>
          <w:rFonts w:hint="eastAsia"/>
          <w:color w:val="auto"/>
        </w:rPr>
        <w:t>检测内容为受检设备的票卡读写距离应符合</w:t>
      </w:r>
      <w:r>
        <w:rPr>
          <w:rFonts w:hint="eastAsia"/>
          <w:color w:val="auto"/>
        </w:rPr>
        <w:t>DB11/T 1164.7</w:t>
      </w:r>
      <w:r>
        <w:rPr>
          <w:rFonts w:hint="eastAsia"/>
          <w:color w:val="auto"/>
        </w:rPr>
        <w:t>便携式检票机的票卡读写距离要求；</w:t>
      </w:r>
    </w:p>
    <w:p>
      <w:pPr>
        <w:pStyle w:val="178"/>
        <w:rPr>
          <w:color w:val="auto"/>
        </w:rPr>
      </w:pPr>
      <w:r>
        <w:rPr>
          <w:rFonts w:hint="eastAsia"/>
          <w:color w:val="auto"/>
        </w:rPr>
        <w:t>检测方法应使用定制检测设备进行检测。</w:t>
      </w:r>
    </w:p>
    <w:p>
      <w:pPr>
        <w:pStyle w:val="98"/>
        <w:spacing w:before="156" w:after="156"/>
        <w:rPr>
          <w:color w:val="auto"/>
        </w:rPr>
      </w:pPr>
      <w:r>
        <w:rPr>
          <w:rFonts w:hint="eastAsia"/>
          <w:color w:val="auto"/>
        </w:rPr>
        <w:t>二维码扫描距离检测</w:t>
      </w:r>
    </w:p>
    <w:p>
      <w:pPr>
        <w:pStyle w:val="60"/>
        <w:ind w:firstLine="420"/>
        <w:rPr>
          <w:color w:val="auto"/>
        </w:rPr>
      </w:pPr>
      <w:r>
        <w:rPr>
          <w:rFonts w:hint="eastAsia"/>
          <w:color w:val="auto"/>
        </w:rPr>
        <w:t>二维码扫描距离检测要求如下：</w:t>
      </w:r>
    </w:p>
    <w:p>
      <w:pPr>
        <w:pStyle w:val="178"/>
        <w:numPr>
          <w:ilvl w:val="0"/>
          <w:numId w:val="434"/>
        </w:numPr>
        <w:rPr>
          <w:color w:val="auto"/>
        </w:rPr>
      </w:pPr>
      <w:r>
        <w:rPr>
          <w:rFonts w:hint="eastAsia"/>
          <w:color w:val="auto"/>
        </w:rPr>
        <w:t>检测内容为受检设备的二维码扫描距离应符合</w:t>
      </w:r>
      <w:r>
        <w:rPr>
          <w:rFonts w:hint="eastAsia"/>
          <w:color w:val="auto"/>
        </w:rPr>
        <w:t>DB11/T 1164.7</w:t>
      </w:r>
      <w:r>
        <w:rPr>
          <w:rFonts w:hint="eastAsia"/>
          <w:color w:val="auto"/>
        </w:rPr>
        <w:t>便携式检票机的二维码扫描距离要求；</w:t>
      </w:r>
    </w:p>
    <w:p>
      <w:pPr>
        <w:pStyle w:val="178"/>
        <w:rPr>
          <w:color w:val="auto"/>
        </w:rPr>
      </w:pPr>
      <w:r>
        <w:rPr>
          <w:rFonts w:hint="eastAsia"/>
          <w:color w:val="auto"/>
        </w:rPr>
        <w:t>检测方法应使用定制检测设备进行检测。</w:t>
      </w:r>
    </w:p>
    <w:p>
      <w:pPr>
        <w:pStyle w:val="108"/>
        <w:spacing w:before="312" w:after="312"/>
        <w:rPr>
          <w:color w:val="auto"/>
        </w:rPr>
      </w:pPr>
      <w:bookmarkStart w:id="516" w:name="_Toc774"/>
      <w:r>
        <w:rPr>
          <w:rFonts w:hint="eastAsia"/>
          <w:color w:val="auto"/>
        </w:rPr>
        <w:t>中心系统应用软件检测</w:t>
      </w:r>
      <w:bookmarkEnd w:id="516"/>
    </w:p>
    <w:p>
      <w:pPr>
        <w:pStyle w:val="109"/>
        <w:spacing w:before="156" w:after="156"/>
        <w:rPr>
          <w:color w:val="auto"/>
        </w:rPr>
      </w:pPr>
      <w:bookmarkStart w:id="517" w:name="_Toc29518"/>
      <w:r>
        <w:rPr>
          <w:rFonts w:hint="eastAsia"/>
          <w:color w:val="auto"/>
        </w:rPr>
        <w:t>检测环境条件</w:t>
      </w:r>
      <w:bookmarkEnd w:id="517"/>
    </w:p>
    <w:p>
      <w:pPr>
        <w:pStyle w:val="60"/>
        <w:ind w:firstLine="420"/>
        <w:rPr>
          <w:color w:val="auto"/>
        </w:rPr>
      </w:pPr>
      <w:r>
        <w:rPr>
          <w:rFonts w:hint="eastAsia"/>
          <w:color w:val="auto"/>
        </w:rPr>
        <w:t>检测环境应具备应用软件系统的目标环境，或高度一致（除位置、结构、接口等部分外其他环境与目标环境一致）的仿真环境。</w:t>
      </w:r>
    </w:p>
    <w:p>
      <w:pPr>
        <w:pStyle w:val="109"/>
        <w:spacing w:before="156" w:after="156"/>
        <w:rPr>
          <w:color w:val="auto"/>
        </w:rPr>
      </w:pPr>
      <w:bookmarkStart w:id="518" w:name="_Toc17682"/>
      <w:r>
        <w:rPr>
          <w:rFonts w:hint="eastAsia"/>
          <w:color w:val="auto"/>
        </w:rPr>
        <w:t>中心系统计算机系统检测</w:t>
      </w:r>
      <w:bookmarkEnd w:id="518"/>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设备监视检测</w:t>
      </w:r>
    </w:p>
    <w:p>
      <w:pPr>
        <w:pStyle w:val="60"/>
        <w:ind w:firstLine="420"/>
        <w:rPr>
          <w:color w:val="auto"/>
        </w:rPr>
      </w:pPr>
      <w:r>
        <w:rPr>
          <w:rFonts w:hint="eastAsia"/>
          <w:color w:val="auto"/>
        </w:rPr>
        <w:t>设备监视检测要求如下：</w:t>
      </w:r>
    </w:p>
    <w:p>
      <w:pPr>
        <w:pStyle w:val="178"/>
        <w:numPr>
          <w:ilvl w:val="0"/>
          <w:numId w:val="435"/>
        </w:numPr>
        <w:rPr>
          <w:color w:val="auto"/>
        </w:rPr>
      </w:pPr>
      <w:r>
        <w:rPr>
          <w:rFonts w:hint="eastAsia"/>
          <w:color w:val="auto"/>
        </w:rPr>
        <w:t>检测内容应依据DB11/T 1164.1中中心系统功能中的设备监视功能的要求逐项检测；</w:t>
      </w:r>
    </w:p>
    <w:p>
      <w:pPr>
        <w:pStyle w:val="178"/>
        <w:rPr>
          <w:color w:val="auto"/>
        </w:rPr>
      </w:pPr>
      <w:r>
        <w:rPr>
          <w:rFonts w:hint="eastAsia"/>
          <w:color w:val="auto"/>
        </w:rPr>
        <w:t>服务器状态监视检测方法要求如下：</w:t>
      </w:r>
    </w:p>
    <w:p>
      <w:pPr>
        <w:pStyle w:val="113"/>
        <w:numPr>
          <w:ilvl w:val="1"/>
          <w:numId w:val="436"/>
        </w:numPr>
        <w:rPr>
          <w:color w:val="auto"/>
        </w:rPr>
      </w:pPr>
      <w:r>
        <w:rPr>
          <w:rFonts w:hint="eastAsia"/>
          <w:color w:val="auto"/>
        </w:rPr>
        <w:t>通过更改受检中心系统服务器资源使用情况，观察受检中心系统的设备监视处理应正确；</w:t>
      </w:r>
    </w:p>
    <w:p>
      <w:pPr>
        <w:pStyle w:val="113"/>
        <w:rPr>
          <w:color w:val="auto"/>
        </w:rPr>
      </w:pPr>
      <w:r>
        <w:rPr>
          <w:rFonts w:hint="eastAsia"/>
          <w:color w:val="auto"/>
        </w:rPr>
        <w:t>通过受检设备上传服务器状态数据，观察受检中心系统的设备监视处理应正确；</w:t>
      </w:r>
    </w:p>
    <w:p>
      <w:pPr>
        <w:pStyle w:val="113"/>
        <w:rPr>
          <w:color w:val="auto"/>
        </w:rPr>
      </w:pPr>
      <w:r>
        <w:rPr>
          <w:rFonts w:hint="eastAsia"/>
          <w:color w:val="auto"/>
        </w:rPr>
        <w:t>测试应覆盖DB11/T 1164.2 定义的服务器所有状态数据。</w:t>
      </w:r>
    </w:p>
    <w:p>
      <w:pPr>
        <w:pStyle w:val="178"/>
        <w:rPr>
          <w:color w:val="auto"/>
        </w:rPr>
      </w:pPr>
      <w:r>
        <w:rPr>
          <w:rFonts w:hint="eastAsia"/>
          <w:color w:val="auto"/>
        </w:rPr>
        <w:t>终端状态监视检测方法要求如下：</w:t>
      </w:r>
    </w:p>
    <w:p>
      <w:pPr>
        <w:pStyle w:val="113"/>
        <w:numPr>
          <w:ilvl w:val="1"/>
          <w:numId w:val="437"/>
        </w:numPr>
        <w:rPr>
          <w:color w:val="auto"/>
        </w:rPr>
      </w:pPr>
      <w:r>
        <w:rPr>
          <w:rFonts w:hint="eastAsia"/>
          <w:color w:val="auto"/>
        </w:rPr>
        <w:t>使用受检设备发送车站及终端状态数据至受检中心系统，观察受检中心系统的设备监视处理应正确；</w:t>
      </w:r>
    </w:p>
    <w:p>
      <w:pPr>
        <w:pStyle w:val="113"/>
        <w:rPr>
          <w:color w:val="auto"/>
        </w:rPr>
      </w:pPr>
      <w:r>
        <w:rPr>
          <w:rFonts w:hint="eastAsia"/>
          <w:color w:val="auto"/>
        </w:rPr>
        <w:t>观察受检中心系统工作站的界面上提示受检设备状态变化应正确；</w:t>
      </w:r>
    </w:p>
    <w:p>
      <w:pPr>
        <w:pStyle w:val="113"/>
        <w:rPr>
          <w:color w:val="auto"/>
        </w:rPr>
      </w:pPr>
      <w:r>
        <w:rPr>
          <w:rFonts w:hint="eastAsia"/>
          <w:color w:val="auto"/>
        </w:rPr>
        <w:t>测试应覆盖DB11/T 1164.2 定义的终端所有状态数据。</w:t>
      </w:r>
    </w:p>
    <w:p>
      <w:pPr>
        <w:pStyle w:val="178"/>
        <w:rPr>
          <w:color w:val="auto"/>
        </w:rPr>
      </w:pPr>
      <w:r>
        <w:rPr>
          <w:rFonts w:hint="eastAsia"/>
          <w:color w:val="auto"/>
        </w:rPr>
        <w:t>状态报警检测方法要求如下：</w:t>
      </w:r>
    </w:p>
    <w:p>
      <w:pPr>
        <w:pStyle w:val="113"/>
        <w:numPr>
          <w:ilvl w:val="1"/>
          <w:numId w:val="438"/>
        </w:numPr>
        <w:rPr>
          <w:color w:val="auto"/>
        </w:rPr>
      </w:pPr>
      <w:r>
        <w:rPr>
          <w:rFonts w:hint="eastAsia"/>
          <w:color w:val="auto"/>
        </w:rPr>
        <w:t>在受检中心系统上设置并下发监视管理参数，观察受检中心系统的处理应正确；</w:t>
      </w:r>
    </w:p>
    <w:p>
      <w:pPr>
        <w:pStyle w:val="113"/>
        <w:rPr>
          <w:color w:val="auto"/>
        </w:rPr>
      </w:pPr>
      <w:r>
        <w:rPr>
          <w:rFonts w:hint="eastAsia"/>
          <w:color w:val="auto"/>
        </w:rPr>
        <w:t>通过受检设备的记录检测受检中心系统的处理应正确；</w:t>
      </w:r>
    </w:p>
    <w:p>
      <w:pPr>
        <w:pStyle w:val="113"/>
        <w:rPr>
          <w:color w:val="auto"/>
        </w:rPr>
      </w:pPr>
      <w:r>
        <w:rPr>
          <w:rFonts w:hint="eastAsia"/>
          <w:color w:val="auto"/>
        </w:rPr>
        <w:t>使用受检设备上传设备状态数据，观察受检中心系统的状态报警处理应正确；</w:t>
      </w:r>
    </w:p>
    <w:p>
      <w:pPr>
        <w:pStyle w:val="113"/>
        <w:rPr>
          <w:color w:val="auto"/>
        </w:rPr>
      </w:pPr>
      <w:r>
        <w:rPr>
          <w:rFonts w:hint="eastAsia"/>
          <w:color w:val="auto"/>
        </w:rPr>
        <w:t>测试应覆盖DB11/T 1164.2 定义的终端所有状态。</w:t>
      </w:r>
    </w:p>
    <w:p>
      <w:pPr>
        <w:pStyle w:val="98"/>
        <w:spacing w:before="156" w:after="156"/>
        <w:rPr>
          <w:color w:val="auto"/>
        </w:rPr>
      </w:pPr>
      <w:r>
        <w:rPr>
          <w:rFonts w:hint="eastAsia"/>
          <w:color w:val="auto"/>
        </w:rPr>
        <w:t>设备控制检测</w:t>
      </w:r>
    </w:p>
    <w:p>
      <w:pPr>
        <w:pStyle w:val="60"/>
        <w:ind w:firstLine="420"/>
        <w:rPr>
          <w:color w:val="auto"/>
        </w:rPr>
      </w:pPr>
      <w:r>
        <w:rPr>
          <w:rFonts w:hint="eastAsia"/>
          <w:color w:val="auto"/>
        </w:rPr>
        <w:t>设备控制检测要求如下：</w:t>
      </w:r>
    </w:p>
    <w:p>
      <w:pPr>
        <w:pStyle w:val="178"/>
        <w:numPr>
          <w:ilvl w:val="0"/>
          <w:numId w:val="439"/>
        </w:numPr>
        <w:rPr>
          <w:color w:val="auto"/>
        </w:rPr>
      </w:pPr>
      <w:r>
        <w:rPr>
          <w:rFonts w:hint="eastAsia"/>
          <w:color w:val="auto"/>
        </w:rPr>
        <w:t>检测内容应依据DB11/T 1164.1中中心系统功能中的设备控制功能的要求逐项检测；</w:t>
      </w:r>
    </w:p>
    <w:p>
      <w:pPr>
        <w:pStyle w:val="178"/>
        <w:rPr>
          <w:color w:val="auto"/>
        </w:rPr>
      </w:pPr>
      <w:r>
        <w:rPr>
          <w:rFonts w:hint="eastAsia"/>
          <w:color w:val="auto"/>
        </w:rPr>
        <w:t>检测方法要求如下：</w:t>
      </w:r>
    </w:p>
    <w:p>
      <w:pPr>
        <w:pStyle w:val="113"/>
        <w:numPr>
          <w:ilvl w:val="1"/>
          <w:numId w:val="440"/>
        </w:numPr>
        <w:rPr>
          <w:color w:val="auto"/>
        </w:rPr>
      </w:pPr>
      <w:r>
        <w:rPr>
          <w:rFonts w:hint="eastAsia"/>
          <w:color w:val="auto"/>
        </w:rPr>
        <w:t>在受检中心系统上对单台、一组或所有设备下发控制命令，通过受检设备的记录检测受检中心系统下发的控制命令应正确；</w:t>
      </w:r>
    </w:p>
    <w:p>
      <w:pPr>
        <w:pStyle w:val="113"/>
        <w:rPr>
          <w:color w:val="auto"/>
        </w:rPr>
      </w:pPr>
      <w:r>
        <w:rPr>
          <w:rFonts w:hint="eastAsia"/>
          <w:color w:val="auto"/>
        </w:rPr>
        <w:t>测试应覆盖DB11/T 1164.2 定义的设备控制所有命令。</w:t>
      </w:r>
    </w:p>
    <w:p>
      <w:pPr>
        <w:pStyle w:val="98"/>
        <w:spacing w:before="156" w:after="156"/>
        <w:rPr>
          <w:color w:val="auto"/>
        </w:rPr>
      </w:pPr>
      <w:r>
        <w:rPr>
          <w:rFonts w:hint="eastAsia"/>
          <w:color w:val="auto"/>
          <w:lang w:val="en-US" w:eastAsia="zh-CN"/>
        </w:rPr>
        <w:t>异常告警</w:t>
      </w:r>
      <w:r>
        <w:rPr>
          <w:rFonts w:hint="eastAsia"/>
          <w:color w:val="auto"/>
        </w:rPr>
        <w:t>检测</w:t>
      </w:r>
    </w:p>
    <w:p>
      <w:pPr>
        <w:pStyle w:val="60"/>
        <w:ind w:firstLine="420"/>
        <w:rPr>
          <w:color w:val="auto"/>
        </w:rPr>
      </w:pPr>
      <w:r>
        <w:rPr>
          <w:rFonts w:hint="eastAsia"/>
          <w:color w:val="auto"/>
          <w:lang w:val="en-US" w:eastAsia="zh-CN"/>
        </w:rPr>
        <w:t>异常告警</w:t>
      </w:r>
      <w:r>
        <w:rPr>
          <w:rFonts w:hint="eastAsia"/>
          <w:color w:val="auto"/>
        </w:rPr>
        <w:t>测要求如下：</w:t>
      </w:r>
    </w:p>
    <w:p>
      <w:pPr>
        <w:pStyle w:val="178"/>
        <w:numPr>
          <w:ilvl w:val="0"/>
          <w:numId w:val="441"/>
        </w:numPr>
        <w:rPr>
          <w:color w:val="auto"/>
        </w:rPr>
      </w:pPr>
      <w:r>
        <w:rPr>
          <w:rFonts w:hint="eastAsia"/>
          <w:color w:val="auto"/>
        </w:rPr>
        <w:t>检测内容应依据DB11/T 1164.1中中心系统功能中的</w:t>
      </w:r>
      <w:r>
        <w:rPr>
          <w:rFonts w:hint="eastAsia"/>
          <w:color w:val="auto"/>
          <w:lang w:val="en-US" w:eastAsia="zh-CN"/>
        </w:rPr>
        <w:t>异常告警</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42"/>
        </w:numPr>
        <w:rPr>
          <w:color w:val="auto"/>
        </w:rPr>
      </w:pPr>
      <w:r>
        <w:rPr>
          <w:rFonts w:hint="eastAsia"/>
          <w:color w:val="auto"/>
          <w:lang w:val="en-US" w:eastAsia="zh-CN"/>
        </w:rPr>
        <w:t>在受检设备或受检中心系统将相应业务的业务数据或状态数据调整至触发告警阈值</w:t>
      </w:r>
      <w:r>
        <w:rPr>
          <w:rFonts w:hint="eastAsia"/>
          <w:color w:val="auto"/>
        </w:rPr>
        <w:t>；</w:t>
      </w:r>
    </w:p>
    <w:p>
      <w:pPr>
        <w:pStyle w:val="113"/>
        <w:rPr>
          <w:color w:val="auto"/>
        </w:rPr>
      </w:pPr>
      <w:r>
        <w:rPr>
          <w:rFonts w:hint="eastAsia"/>
          <w:color w:val="auto"/>
        </w:rPr>
        <w:t>观察受检中心系统工作站的界面上提示</w:t>
      </w:r>
      <w:r>
        <w:rPr>
          <w:rFonts w:hint="eastAsia"/>
          <w:color w:val="auto"/>
          <w:lang w:val="en-US" w:eastAsia="zh-CN"/>
        </w:rPr>
        <w:t>异常告警及查询告警记录</w:t>
      </w:r>
      <w:r>
        <w:rPr>
          <w:rFonts w:hint="eastAsia"/>
          <w:color w:val="auto"/>
        </w:rPr>
        <w:t>应正确；</w:t>
      </w:r>
    </w:p>
    <w:p>
      <w:pPr>
        <w:pStyle w:val="98"/>
        <w:spacing w:before="156" w:after="156"/>
        <w:rPr>
          <w:color w:val="auto"/>
        </w:rPr>
      </w:pPr>
      <w:r>
        <w:rPr>
          <w:rFonts w:hint="eastAsia"/>
          <w:color w:val="auto"/>
        </w:rPr>
        <w:t>运营开始检测</w:t>
      </w:r>
    </w:p>
    <w:p>
      <w:pPr>
        <w:pStyle w:val="60"/>
        <w:ind w:firstLine="420"/>
        <w:rPr>
          <w:color w:val="auto"/>
        </w:rPr>
      </w:pPr>
      <w:r>
        <w:rPr>
          <w:rFonts w:hint="eastAsia"/>
          <w:color w:val="auto"/>
        </w:rPr>
        <w:t>运营开始检测要求如下：</w:t>
      </w:r>
    </w:p>
    <w:p>
      <w:pPr>
        <w:pStyle w:val="178"/>
        <w:numPr>
          <w:ilvl w:val="0"/>
          <w:numId w:val="443"/>
        </w:numPr>
        <w:rPr>
          <w:color w:val="auto"/>
        </w:rPr>
      </w:pPr>
      <w:r>
        <w:rPr>
          <w:rFonts w:hint="eastAsia"/>
          <w:color w:val="auto"/>
        </w:rPr>
        <w:t>检测内容应依据DB11/T 1164.1中中心系统功能中的运营开始功能的要求逐项检测；</w:t>
      </w:r>
    </w:p>
    <w:p>
      <w:pPr>
        <w:pStyle w:val="178"/>
        <w:rPr>
          <w:color w:val="auto"/>
        </w:rPr>
      </w:pPr>
      <w:r>
        <w:rPr>
          <w:rFonts w:hint="eastAsia"/>
          <w:color w:val="auto"/>
        </w:rPr>
        <w:t>检测方法为通过手动或设置参数的方式使受检中心系统进行运营开始操作，观察中心系统运营开始的处理应符合DB11/T 1164.1、DB11/T 1164.2和DB11/T 1164.3中有关运营开始业务的规定。</w:t>
      </w:r>
    </w:p>
    <w:p>
      <w:pPr>
        <w:pStyle w:val="98"/>
        <w:spacing w:before="156" w:after="156"/>
        <w:rPr>
          <w:color w:val="auto"/>
        </w:rPr>
      </w:pPr>
      <w:r>
        <w:rPr>
          <w:rFonts w:hint="eastAsia"/>
          <w:color w:val="auto"/>
        </w:rPr>
        <w:t>运营结束检测</w:t>
      </w:r>
    </w:p>
    <w:p>
      <w:pPr>
        <w:pStyle w:val="60"/>
        <w:ind w:firstLine="420"/>
        <w:rPr>
          <w:color w:val="auto"/>
        </w:rPr>
      </w:pPr>
      <w:r>
        <w:rPr>
          <w:rFonts w:hint="eastAsia"/>
          <w:color w:val="auto"/>
        </w:rPr>
        <w:t>运营结束检测要求如下：</w:t>
      </w:r>
    </w:p>
    <w:p>
      <w:pPr>
        <w:pStyle w:val="178"/>
        <w:numPr>
          <w:ilvl w:val="0"/>
          <w:numId w:val="444"/>
        </w:numPr>
        <w:rPr>
          <w:color w:val="auto"/>
        </w:rPr>
      </w:pPr>
      <w:r>
        <w:rPr>
          <w:rFonts w:hint="eastAsia"/>
          <w:color w:val="auto"/>
        </w:rPr>
        <w:t>检测内容应依据DB11/T 1164.1中中心系统功能中的运营结束功能的要求逐项检测；</w:t>
      </w:r>
    </w:p>
    <w:p>
      <w:pPr>
        <w:pStyle w:val="178"/>
        <w:rPr>
          <w:color w:val="auto"/>
        </w:rPr>
      </w:pPr>
      <w:r>
        <w:rPr>
          <w:rFonts w:hint="eastAsia"/>
          <w:color w:val="auto"/>
        </w:rPr>
        <w:t>检测方法为通过手动或设置参数的方式使受检中心系统进行运营结束操作，观察中心系统运营结束的处理应符合DB11/T 1164.1、DB11/T 1164.2和DB11/T 1164.3中有关运营结束业务的规定。</w:t>
      </w:r>
    </w:p>
    <w:p>
      <w:pPr>
        <w:pStyle w:val="98"/>
        <w:spacing w:before="156" w:after="156"/>
        <w:rPr>
          <w:color w:val="auto"/>
        </w:rPr>
      </w:pPr>
      <w:r>
        <w:rPr>
          <w:rFonts w:hint="eastAsia"/>
          <w:color w:val="auto"/>
        </w:rPr>
        <w:t>运行时间参数管理检测</w:t>
      </w:r>
    </w:p>
    <w:p>
      <w:pPr>
        <w:pStyle w:val="60"/>
        <w:ind w:firstLine="420"/>
        <w:rPr>
          <w:color w:val="auto"/>
        </w:rPr>
      </w:pPr>
      <w:r>
        <w:rPr>
          <w:rFonts w:hint="eastAsia"/>
          <w:color w:val="auto"/>
        </w:rPr>
        <w:t>运行时间参数管理检测要求如下：</w:t>
      </w:r>
    </w:p>
    <w:p>
      <w:pPr>
        <w:pStyle w:val="178"/>
        <w:numPr>
          <w:ilvl w:val="0"/>
          <w:numId w:val="445"/>
        </w:numPr>
        <w:rPr>
          <w:color w:val="auto"/>
        </w:rPr>
      </w:pPr>
      <w:r>
        <w:rPr>
          <w:rFonts w:hint="eastAsia"/>
          <w:color w:val="auto"/>
        </w:rPr>
        <w:t>检测内容应依据DB11/T 1164.1中中心系统功能中的运行时间参数管理功能的要求逐项检测；</w:t>
      </w:r>
    </w:p>
    <w:p>
      <w:pPr>
        <w:pStyle w:val="178"/>
        <w:rPr>
          <w:color w:val="auto"/>
        </w:rPr>
      </w:pPr>
      <w:r>
        <w:rPr>
          <w:rFonts w:hint="eastAsia"/>
          <w:color w:val="auto"/>
        </w:rPr>
        <w:t>检测方法为在受检中心系统上对运行时间参数进行编辑、发布等操作，观察受检中心系统并通过仿真中心系统的记录检测受检中心系统的处理应符合DB11/T 1164.1、DB11/T 1164.2和DB11/T 1164.3中有关运行时间参数管理业务的规定。</w:t>
      </w:r>
    </w:p>
    <w:p>
      <w:pPr>
        <w:pStyle w:val="178"/>
        <w:rPr>
          <w:color w:val="auto"/>
        </w:rPr>
      </w:pPr>
      <w:r>
        <w:rPr>
          <w:rFonts w:hint="eastAsia"/>
          <w:color w:val="auto"/>
        </w:rPr>
        <w:t>通过仿真终端的记录检测受检中心系统应将运行时间表参数正确下发。</w:t>
      </w:r>
    </w:p>
    <w:p>
      <w:pPr>
        <w:pStyle w:val="98"/>
        <w:spacing w:before="156" w:after="156"/>
        <w:rPr>
          <w:color w:val="auto"/>
        </w:rPr>
      </w:pPr>
      <w:r>
        <w:rPr>
          <w:rFonts w:hint="eastAsia"/>
          <w:color w:val="auto"/>
        </w:rPr>
        <w:t>设置/取消延长运营时间检测</w:t>
      </w:r>
    </w:p>
    <w:p>
      <w:pPr>
        <w:pStyle w:val="60"/>
        <w:ind w:firstLine="420"/>
        <w:rPr>
          <w:color w:val="auto"/>
        </w:rPr>
      </w:pPr>
      <w:r>
        <w:rPr>
          <w:rFonts w:hint="eastAsia"/>
          <w:color w:val="auto"/>
        </w:rPr>
        <w:t>设置/取消延长运营时间检测要求如下：</w:t>
      </w:r>
    </w:p>
    <w:p>
      <w:pPr>
        <w:pStyle w:val="178"/>
        <w:numPr>
          <w:ilvl w:val="0"/>
          <w:numId w:val="446"/>
        </w:numPr>
        <w:rPr>
          <w:color w:val="auto"/>
        </w:rPr>
      </w:pPr>
      <w:r>
        <w:rPr>
          <w:rFonts w:hint="eastAsia"/>
          <w:color w:val="auto"/>
        </w:rPr>
        <w:t>检测内容应依据DB11/T 1164.1中中心系统功能中的设置/取消延长运营时间功能的要求逐项检测，验证受检中心系统的处理应符合DB11/T 1164.1、DB11/T 1164.2和DB11/T 1164.3中有关设置/取消延长运营时间业务的规定；</w:t>
      </w:r>
    </w:p>
    <w:p>
      <w:pPr>
        <w:pStyle w:val="178"/>
        <w:rPr>
          <w:color w:val="auto"/>
        </w:rPr>
      </w:pPr>
      <w:r>
        <w:rPr>
          <w:rFonts w:hint="eastAsia"/>
          <w:color w:val="auto"/>
        </w:rPr>
        <w:t>检测方法要求如下：</w:t>
      </w:r>
    </w:p>
    <w:p>
      <w:pPr>
        <w:pStyle w:val="113"/>
        <w:numPr>
          <w:ilvl w:val="1"/>
          <w:numId w:val="447"/>
        </w:numPr>
        <w:rPr>
          <w:color w:val="auto"/>
        </w:rPr>
      </w:pPr>
      <w:r>
        <w:rPr>
          <w:rFonts w:hint="eastAsia"/>
          <w:color w:val="auto"/>
        </w:rPr>
        <w:t>在受检中心系统上设置/取消延长运营时间，观察受检中心系统的处理应正确；</w:t>
      </w:r>
    </w:p>
    <w:p>
      <w:pPr>
        <w:pStyle w:val="113"/>
        <w:rPr>
          <w:color w:val="auto"/>
        </w:rPr>
      </w:pPr>
      <w:r>
        <w:rPr>
          <w:rFonts w:hint="eastAsia"/>
          <w:color w:val="auto"/>
        </w:rPr>
        <w:t>通过仿真中心系统的记录检测受检中心系统下发的设置/取消延长运营时间命令应正确；</w:t>
      </w:r>
    </w:p>
    <w:p>
      <w:pPr>
        <w:pStyle w:val="113"/>
        <w:rPr>
          <w:color w:val="auto"/>
        </w:rPr>
      </w:pPr>
      <w:r>
        <w:rPr>
          <w:rFonts w:hint="eastAsia"/>
          <w:color w:val="auto"/>
        </w:rPr>
        <w:t>观察受检中心系统接收到仿真中心系统上传的设置/取消延长运营时间通知后的处理应正确，观察中心系统工作站的界面上提示仿真中心系统延长运营时间状态变化应正确。</w:t>
      </w:r>
    </w:p>
    <w:p>
      <w:pPr>
        <w:pStyle w:val="98"/>
        <w:spacing w:before="156" w:after="156"/>
        <w:rPr>
          <w:color w:val="auto"/>
        </w:rPr>
      </w:pPr>
      <w:r>
        <w:rPr>
          <w:rFonts w:hint="eastAsia"/>
          <w:color w:val="auto"/>
        </w:rPr>
        <w:t>设置/取消24小时运营检测</w:t>
      </w:r>
    </w:p>
    <w:p>
      <w:pPr>
        <w:pStyle w:val="60"/>
        <w:ind w:firstLine="420"/>
        <w:rPr>
          <w:color w:val="auto"/>
        </w:rPr>
      </w:pPr>
      <w:r>
        <w:rPr>
          <w:rFonts w:hint="eastAsia"/>
          <w:color w:val="auto"/>
        </w:rPr>
        <w:t>设置/取消24小时运营检测要求如下：</w:t>
      </w:r>
    </w:p>
    <w:p>
      <w:pPr>
        <w:pStyle w:val="178"/>
        <w:numPr>
          <w:ilvl w:val="0"/>
          <w:numId w:val="448"/>
        </w:numPr>
        <w:rPr>
          <w:color w:val="auto"/>
        </w:rPr>
      </w:pPr>
      <w:r>
        <w:rPr>
          <w:rFonts w:hint="eastAsia"/>
          <w:color w:val="auto"/>
        </w:rPr>
        <w:t>检测内容应依据DB11/T 1164.1中中心系统功能中的设置/取消24小时运营功能的要求逐项检测，验证受检中心系统的处理应符合DB11/T 1164.1、DB11/T 1164.2和DB11/T 1164.3中有关设置/取消24小时运营业务的规定；</w:t>
      </w:r>
    </w:p>
    <w:p>
      <w:pPr>
        <w:pStyle w:val="178"/>
        <w:rPr>
          <w:color w:val="auto"/>
        </w:rPr>
      </w:pPr>
      <w:r>
        <w:rPr>
          <w:rFonts w:hint="eastAsia"/>
          <w:color w:val="auto"/>
        </w:rPr>
        <w:t>检测方法要求如下：</w:t>
      </w:r>
    </w:p>
    <w:p>
      <w:pPr>
        <w:pStyle w:val="113"/>
        <w:numPr>
          <w:ilvl w:val="1"/>
          <w:numId w:val="449"/>
        </w:numPr>
        <w:rPr>
          <w:color w:val="auto"/>
        </w:rPr>
      </w:pPr>
      <w:r>
        <w:rPr>
          <w:rFonts w:hint="eastAsia"/>
          <w:color w:val="auto"/>
        </w:rPr>
        <w:t>在受检中心系统上设置/取消24小时运营，观察受检中心系统的处理应正确；</w:t>
      </w:r>
    </w:p>
    <w:p>
      <w:pPr>
        <w:pStyle w:val="113"/>
        <w:rPr>
          <w:color w:val="auto"/>
        </w:rPr>
      </w:pPr>
      <w:r>
        <w:rPr>
          <w:rFonts w:hint="eastAsia"/>
          <w:color w:val="auto"/>
        </w:rPr>
        <w:t>通过仿真中心系统的记录检测受检中心系统设置/取消24小时运营的处理应正确；</w:t>
      </w:r>
    </w:p>
    <w:p>
      <w:pPr>
        <w:pStyle w:val="113"/>
        <w:rPr>
          <w:color w:val="auto"/>
        </w:rPr>
      </w:pPr>
      <w:r>
        <w:rPr>
          <w:rFonts w:hint="eastAsia"/>
          <w:color w:val="auto"/>
        </w:rPr>
        <w:t>观察受检中心系统接收到仿真中心系统上传的设置/取消24小时运营通知后的处理应正确，观察中心系统工作站的界面上提示仿真中心系统24小时运营状态变化应正确。</w:t>
      </w:r>
    </w:p>
    <w:p>
      <w:pPr>
        <w:pStyle w:val="98"/>
        <w:spacing w:before="156" w:after="156"/>
        <w:rPr>
          <w:color w:val="auto"/>
        </w:rPr>
      </w:pPr>
      <w:r>
        <w:rPr>
          <w:rFonts w:hint="eastAsia"/>
          <w:color w:val="auto"/>
        </w:rPr>
        <w:t>模式设置检测</w:t>
      </w:r>
    </w:p>
    <w:p>
      <w:pPr>
        <w:pStyle w:val="60"/>
        <w:ind w:firstLine="420"/>
        <w:rPr>
          <w:color w:val="auto"/>
        </w:rPr>
      </w:pPr>
      <w:r>
        <w:rPr>
          <w:rFonts w:hint="eastAsia"/>
          <w:color w:val="auto"/>
        </w:rPr>
        <w:t>模式设置检测要求如下：</w:t>
      </w:r>
    </w:p>
    <w:p>
      <w:pPr>
        <w:pStyle w:val="178"/>
        <w:numPr>
          <w:ilvl w:val="0"/>
          <w:numId w:val="441"/>
        </w:numPr>
        <w:rPr>
          <w:color w:val="auto"/>
        </w:rPr>
      </w:pPr>
      <w:r>
        <w:rPr>
          <w:rFonts w:hint="eastAsia"/>
          <w:color w:val="auto"/>
        </w:rPr>
        <w:t>检测内容应依据DB11/T 1164.1中中心系统功能中的模式设置功能的要求逐项检测；</w:t>
      </w:r>
    </w:p>
    <w:p>
      <w:pPr>
        <w:pStyle w:val="178"/>
        <w:rPr>
          <w:color w:val="auto"/>
        </w:rPr>
      </w:pPr>
      <w:r>
        <w:rPr>
          <w:rFonts w:hint="eastAsia"/>
          <w:color w:val="auto"/>
        </w:rPr>
        <w:t>检测方法要求如下：</w:t>
      </w:r>
    </w:p>
    <w:p>
      <w:pPr>
        <w:pStyle w:val="113"/>
        <w:numPr>
          <w:ilvl w:val="1"/>
          <w:numId w:val="442"/>
        </w:numPr>
        <w:rPr>
          <w:color w:val="auto"/>
        </w:rPr>
      </w:pPr>
      <w:r>
        <w:rPr>
          <w:rFonts w:hint="eastAsia"/>
          <w:color w:val="auto"/>
        </w:rPr>
        <w:t>在受检中心系统上设置运营模式，观察受检中心系统的处理应正确；</w:t>
      </w:r>
    </w:p>
    <w:p>
      <w:pPr>
        <w:pStyle w:val="113"/>
        <w:rPr>
          <w:color w:val="auto"/>
        </w:rPr>
      </w:pPr>
      <w:r>
        <w:rPr>
          <w:rFonts w:hint="eastAsia"/>
          <w:color w:val="auto"/>
        </w:rPr>
        <w:t>通过受检设备的记录检测受检中心系统的处理应正确；</w:t>
      </w:r>
    </w:p>
    <w:p>
      <w:pPr>
        <w:pStyle w:val="113"/>
        <w:rPr>
          <w:color w:val="auto"/>
        </w:rPr>
      </w:pPr>
      <w:r>
        <w:rPr>
          <w:rFonts w:hint="eastAsia"/>
          <w:color w:val="auto"/>
        </w:rPr>
        <w:t>观察受检中心系统工作站的界面上提示车站运营模式的变化应正确；</w:t>
      </w:r>
    </w:p>
    <w:p>
      <w:pPr>
        <w:pStyle w:val="113"/>
        <w:rPr>
          <w:color w:val="auto"/>
        </w:rPr>
      </w:pPr>
      <w:r>
        <w:rPr>
          <w:rFonts w:hint="eastAsia"/>
          <w:color w:val="auto"/>
        </w:rPr>
        <w:t>测试应覆盖DB11/T 1164.2 定义的所有运营模式。</w:t>
      </w:r>
    </w:p>
    <w:p>
      <w:pPr>
        <w:pStyle w:val="98"/>
        <w:spacing w:before="156" w:after="156"/>
        <w:rPr>
          <w:color w:val="auto"/>
        </w:rPr>
      </w:pPr>
      <w:r>
        <w:rPr>
          <w:rFonts w:hint="eastAsia"/>
          <w:color w:val="auto"/>
        </w:rPr>
        <w:t>模式履历检测</w:t>
      </w:r>
    </w:p>
    <w:p>
      <w:pPr>
        <w:pStyle w:val="60"/>
        <w:ind w:firstLine="420"/>
        <w:rPr>
          <w:color w:val="auto"/>
        </w:rPr>
      </w:pPr>
      <w:r>
        <w:rPr>
          <w:rFonts w:hint="eastAsia"/>
          <w:color w:val="auto"/>
        </w:rPr>
        <w:t>模式履历检测要求如下：</w:t>
      </w:r>
    </w:p>
    <w:p>
      <w:pPr>
        <w:pStyle w:val="178"/>
        <w:numPr>
          <w:ilvl w:val="0"/>
          <w:numId w:val="450"/>
        </w:numPr>
        <w:rPr>
          <w:color w:val="auto"/>
        </w:rPr>
      </w:pPr>
      <w:r>
        <w:rPr>
          <w:rFonts w:hint="eastAsia"/>
          <w:color w:val="auto"/>
        </w:rPr>
        <w:t>检测内容应依据DB11/T 1164.1中中心系统功能中的模式履历功能的要求逐项检测；</w:t>
      </w:r>
    </w:p>
    <w:p>
      <w:pPr>
        <w:pStyle w:val="178"/>
        <w:rPr>
          <w:color w:val="auto"/>
        </w:rPr>
      </w:pPr>
      <w:r>
        <w:rPr>
          <w:rFonts w:hint="eastAsia"/>
          <w:color w:val="auto"/>
        </w:rPr>
        <w:t>检测方法要求如下：</w:t>
      </w:r>
    </w:p>
    <w:p>
      <w:pPr>
        <w:pStyle w:val="113"/>
        <w:numPr>
          <w:ilvl w:val="1"/>
          <w:numId w:val="451"/>
        </w:numPr>
        <w:rPr>
          <w:color w:val="auto"/>
        </w:rPr>
      </w:pPr>
      <w:r>
        <w:rPr>
          <w:rFonts w:hint="eastAsia"/>
          <w:color w:val="auto"/>
        </w:rPr>
        <w:t>在受检中心系统上设置模式履历，观察受检中心系统的处理应正确；</w:t>
      </w:r>
    </w:p>
    <w:p>
      <w:pPr>
        <w:pStyle w:val="113"/>
        <w:rPr>
          <w:color w:val="auto"/>
        </w:rPr>
      </w:pPr>
      <w:r>
        <w:rPr>
          <w:rFonts w:hint="eastAsia"/>
          <w:color w:val="auto"/>
        </w:rPr>
        <w:t>通过受检设备的记录检测受检中心系统下发的模式履历和模式历史应正确；</w:t>
      </w:r>
    </w:p>
    <w:p>
      <w:pPr>
        <w:pStyle w:val="113"/>
        <w:rPr>
          <w:color w:val="auto"/>
        </w:rPr>
      </w:pPr>
      <w:r>
        <w:rPr>
          <w:rFonts w:hint="eastAsia"/>
          <w:color w:val="auto"/>
        </w:rPr>
        <w:t>检测受检中心系统的工作站查询模式履历和模式历史应正确；</w:t>
      </w:r>
    </w:p>
    <w:p>
      <w:pPr>
        <w:pStyle w:val="113"/>
        <w:rPr>
          <w:color w:val="auto"/>
        </w:rPr>
      </w:pPr>
      <w:r>
        <w:rPr>
          <w:rFonts w:hint="eastAsia"/>
          <w:color w:val="auto"/>
        </w:rPr>
        <w:t>测试应覆盖DB11/T 1164.2 定义的所有运营模式。</w:t>
      </w:r>
    </w:p>
    <w:p>
      <w:pPr>
        <w:pStyle w:val="98"/>
        <w:spacing w:before="156" w:after="156"/>
        <w:rPr>
          <w:color w:val="auto"/>
        </w:rPr>
      </w:pPr>
      <w:r>
        <w:rPr>
          <w:rFonts w:hint="eastAsia"/>
          <w:color w:val="auto"/>
          <w:lang w:val="en-US" w:eastAsia="zh-CN"/>
        </w:rPr>
        <w:t>车站停售</w:t>
      </w:r>
      <w:r>
        <w:rPr>
          <w:rFonts w:hint="eastAsia"/>
          <w:color w:val="auto"/>
        </w:rPr>
        <w:t>检测</w:t>
      </w:r>
    </w:p>
    <w:p>
      <w:pPr>
        <w:pStyle w:val="60"/>
        <w:ind w:firstLine="420"/>
        <w:rPr>
          <w:color w:val="auto"/>
        </w:rPr>
      </w:pPr>
      <w:r>
        <w:rPr>
          <w:rFonts w:hint="eastAsia"/>
          <w:color w:val="auto"/>
          <w:lang w:val="en-US" w:eastAsia="zh-CN"/>
        </w:rPr>
        <w:t>车站停售</w:t>
      </w:r>
      <w:r>
        <w:rPr>
          <w:rFonts w:hint="eastAsia"/>
          <w:color w:val="auto"/>
        </w:rPr>
        <w:t>检测要求如下：</w:t>
      </w:r>
    </w:p>
    <w:p>
      <w:pPr>
        <w:pStyle w:val="178"/>
        <w:numPr>
          <w:ilvl w:val="0"/>
          <w:numId w:val="441"/>
        </w:numPr>
        <w:rPr>
          <w:color w:val="auto"/>
        </w:rPr>
      </w:pPr>
      <w:r>
        <w:rPr>
          <w:rFonts w:hint="eastAsia"/>
          <w:color w:val="auto"/>
        </w:rPr>
        <w:t>检测内容应依据DB11/T 1164.1中中心系统功能中的</w:t>
      </w:r>
      <w:r>
        <w:rPr>
          <w:rFonts w:hint="eastAsia"/>
          <w:color w:val="auto"/>
          <w:lang w:val="en-US" w:eastAsia="zh-CN"/>
        </w:rPr>
        <w:t>车站停售</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42"/>
        </w:numPr>
        <w:rPr>
          <w:color w:val="auto"/>
        </w:rPr>
      </w:pPr>
      <w:r>
        <w:rPr>
          <w:rFonts w:hint="eastAsia"/>
          <w:color w:val="auto"/>
        </w:rPr>
        <w:t>在受检中心系统上设置</w:t>
      </w:r>
      <w:r>
        <w:rPr>
          <w:rFonts w:hint="eastAsia"/>
          <w:color w:val="auto"/>
          <w:lang w:val="en-US" w:eastAsia="zh-CN"/>
        </w:rPr>
        <w:t>停售</w:t>
      </w:r>
      <w:r>
        <w:rPr>
          <w:rFonts w:hint="eastAsia"/>
          <w:color w:val="auto"/>
        </w:rPr>
        <w:t>，观察受检中心系统的处理应正确；</w:t>
      </w:r>
    </w:p>
    <w:p>
      <w:pPr>
        <w:pStyle w:val="113"/>
        <w:rPr>
          <w:color w:val="auto"/>
        </w:rPr>
      </w:pPr>
      <w:r>
        <w:rPr>
          <w:rFonts w:hint="eastAsia"/>
          <w:color w:val="auto"/>
        </w:rPr>
        <w:t>通过受检设备的记录检测受检中心系统的处理应正确；</w:t>
      </w:r>
    </w:p>
    <w:p>
      <w:pPr>
        <w:pStyle w:val="113"/>
        <w:rPr>
          <w:color w:val="auto"/>
        </w:rPr>
      </w:pPr>
      <w:r>
        <w:rPr>
          <w:rFonts w:hint="eastAsia"/>
          <w:color w:val="auto"/>
        </w:rPr>
        <w:t>观察受检中心系统工作站的界面上提示</w:t>
      </w:r>
      <w:r>
        <w:rPr>
          <w:rFonts w:hint="eastAsia"/>
          <w:color w:val="auto"/>
          <w:lang w:val="en-US" w:eastAsia="zh-CN"/>
        </w:rPr>
        <w:t>车站停售</w:t>
      </w:r>
      <w:r>
        <w:rPr>
          <w:rFonts w:hint="eastAsia"/>
          <w:color w:val="auto"/>
        </w:rPr>
        <w:t>的变化应正确；</w:t>
      </w:r>
    </w:p>
    <w:p>
      <w:pPr>
        <w:pStyle w:val="113"/>
        <w:rPr>
          <w:color w:val="auto"/>
        </w:rPr>
      </w:pPr>
      <w:r>
        <w:rPr>
          <w:rFonts w:hint="eastAsia"/>
          <w:color w:val="auto"/>
        </w:rPr>
        <w:t>检测受检中心系统的工作站查询</w:t>
      </w:r>
      <w:r>
        <w:rPr>
          <w:rFonts w:hint="eastAsia"/>
          <w:color w:val="auto"/>
          <w:lang w:val="en-US" w:eastAsia="zh-CN"/>
        </w:rPr>
        <w:t>停售记录</w:t>
      </w:r>
      <w:r>
        <w:rPr>
          <w:rFonts w:hint="eastAsia"/>
          <w:color w:val="auto"/>
        </w:rPr>
        <w:t>应正确；</w:t>
      </w:r>
    </w:p>
    <w:p>
      <w:pPr>
        <w:pStyle w:val="98"/>
        <w:spacing w:before="156" w:after="156"/>
        <w:rPr>
          <w:color w:val="auto"/>
        </w:rPr>
      </w:pPr>
      <w:r>
        <w:rPr>
          <w:rFonts w:hint="eastAsia"/>
          <w:color w:val="auto"/>
        </w:rPr>
        <w:t>时钟同步检测</w:t>
      </w:r>
    </w:p>
    <w:p>
      <w:pPr>
        <w:pStyle w:val="60"/>
        <w:ind w:firstLine="420"/>
        <w:rPr>
          <w:color w:val="auto"/>
        </w:rPr>
      </w:pPr>
      <w:r>
        <w:rPr>
          <w:rFonts w:hint="eastAsia"/>
          <w:color w:val="auto"/>
        </w:rPr>
        <w:t>时钟同步检测要求如下：</w:t>
      </w:r>
    </w:p>
    <w:p>
      <w:pPr>
        <w:pStyle w:val="178"/>
        <w:numPr>
          <w:ilvl w:val="0"/>
          <w:numId w:val="452"/>
        </w:numPr>
        <w:rPr>
          <w:color w:val="auto"/>
        </w:rPr>
      </w:pPr>
      <w:r>
        <w:rPr>
          <w:rFonts w:hint="eastAsia"/>
          <w:color w:val="auto"/>
        </w:rPr>
        <w:t>检测内容应依据DB11/T 1164.1中中心系统功能中的时钟同步功能的要求逐项检测；</w:t>
      </w:r>
    </w:p>
    <w:p>
      <w:pPr>
        <w:pStyle w:val="178"/>
        <w:rPr>
          <w:color w:val="auto"/>
        </w:rPr>
      </w:pPr>
      <w:r>
        <w:rPr>
          <w:rFonts w:hint="eastAsia"/>
          <w:color w:val="auto"/>
        </w:rPr>
        <w:t>自动时钟同步检测方法要求如下：</w:t>
      </w:r>
    </w:p>
    <w:p>
      <w:pPr>
        <w:pStyle w:val="113"/>
        <w:numPr>
          <w:ilvl w:val="1"/>
          <w:numId w:val="453"/>
        </w:numPr>
        <w:rPr>
          <w:color w:val="auto"/>
        </w:rPr>
      </w:pPr>
      <w:r>
        <w:rPr>
          <w:rFonts w:hint="eastAsia"/>
          <w:color w:val="auto"/>
        </w:rPr>
        <w:t>在受检中心系统设置自动时钟同步时间间隔，观察受检中心系统与受检设备时钟同步的处理应正确；</w:t>
      </w:r>
    </w:p>
    <w:p>
      <w:pPr>
        <w:pStyle w:val="113"/>
        <w:rPr>
          <w:color w:val="auto"/>
        </w:rPr>
      </w:pPr>
      <w:r>
        <w:rPr>
          <w:rFonts w:hint="eastAsia"/>
          <w:color w:val="auto"/>
        </w:rPr>
        <w:t>在受检中心系统设置自动时钟同步时间间隔参数并下发，通过受检设备的记录检测受检中心系统的处理应正确；</w:t>
      </w:r>
    </w:p>
    <w:p>
      <w:pPr>
        <w:pStyle w:val="113"/>
        <w:rPr>
          <w:color w:val="auto"/>
        </w:rPr>
      </w:pPr>
      <w:r>
        <w:rPr>
          <w:rFonts w:hint="eastAsia"/>
          <w:color w:val="auto"/>
        </w:rPr>
        <w:t>通过受检设备的自动时钟操作，检测受检中心系统的时钟同步服务处理应正确。</w:t>
      </w:r>
    </w:p>
    <w:p>
      <w:pPr>
        <w:pStyle w:val="178"/>
        <w:rPr>
          <w:color w:val="auto"/>
        </w:rPr>
      </w:pPr>
      <w:r>
        <w:rPr>
          <w:rFonts w:hint="eastAsia"/>
          <w:color w:val="auto"/>
        </w:rPr>
        <w:t>强制时钟同步检测方法要求如下：</w:t>
      </w:r>
    </w:p>
    <w:p>
      <w:pPr>
        <w:pStyle w:val="113"/>
        <w:numPr>
          <w:ilvl w:val="1"/>
          <w:numId w:val="454"/>
        </w:numPr>
        <w:rPr>
          <w:color w:val="auto"/>
        </w:rPr>
      </w:pPr>
      <w:r>
        <w:rPr>
          <w:rFonts w:hint="eastAsia"/>
          <w:color w:val="auto"/>
        </w:rPr>
        <w:t>在受检中心系统设置强制时钟同步命令，通过受检设备的记录检测受检中心系统的处理应正确；</w:t>
      </w:r>
    </w:p>
    <w:p>
      <w:pPr>
        <w:pStyle w:val="113"/>
        <w:rPr>
          <w:color w:val="auto"/>
        </w:rPr>
      </w:pPr>
      <w:r>
        <w:rPr>
          <w:rFonts w:hint="eastAsia"/>
          <w:color w:val="auto"/>
        </w:rPr>
        <w:t>观察受检中心系统接收受检设备上传的同步结果数据的处理应正确。</w:t>
      </w:r>
    </w:p>
    <w:p>
      <w:pPr>
        <w:pStyle w:val="98"/>
        <w:spacing w:before="156" w:after="156"/>
        <w:rPr>
          <w:color w:val="auto"/>
        </w:rPr>
      </w:pPr>
      <w:r>
        <w:rPr>
          <w:rFonts w:hint="eastAsia"/>
          <w:color w:val="auto"/>
        </w:rPr>
        <w:t>客流监视检测</w:t>
      </w:r>
    </w:p>
    <w:p>
      <w:pPr>
        <w:pStyle w:val="60"/>
        <w:ind w:firstLine="420"/>
        <w:rPr>
          <w:color w:val="auto"/>
        </w:rPr>
      </w:pPr>
      <w:r>
        <w:rPr>
          <w:rFonts w:hint="eastAsia"/>
          <w:color w:val="auto"/>
        </w:rPr>
        <w:t>客流监视检测要求如下：</w:t>
      </w:r>
    </w:p>
    <w:p>
      <w:pPr>
        <w:pStyle w:val="178"/>
        <w:numPr>
          <w:ilvl w:val="0"/>
          <w:numId w:val="455"/>
        </w:numPr>
        <w:rPr>
          <w:color w:val="auto"/>
        </w:rPr>
      </w:pPr>
      <w:r>
        <w:rPr>
          <w:rFonts w:hint="eastAsia"/>
          <w:color w:val="auto"/>
        </w:rPr>
        <w:t>检测内容应依据DB11/T 1164.1中中心系统功能中的客流监视功能的要求逐项检测；</w:t>
      </w:r>
    </w:p>
    <w:p>
      <w:pPr>
        <w:pStyle w:val="178"/>
        <w:rPr>
          <w:color w:val="auto"/>
        </w:rPr>
      </w:pPr>
      <w:r>
        <w:rPr>
          <w:rFonts w:hint="eastAsia"/>
          <w:color w:val="auto"/>
        </w:rPr>
        <w:t>客流监视检测方法要求如下：</w:t>
      </w:r>
    </w:p>
    <w:p>
      <w:pPr>
        <w:pStyle w:val="113"/>
        <w:numPr>
          <w:ilvl w:val="1"/>
          <w:numId w:val="456"/>
        </w:numPr>
        <w:rPr>
          <w:color w:val="auto"/>
        </w:rPr>
      </w:pPr>
      <w:r>
        <w:rPr>
          <w:rFonts w:hint="eastAsia"/>
          <w:color w:val="auto"/>
        </w:rPr>
        <w:t>使用受检设备上传交易数据至受检中心系统，观察受检中心系统的客流监视处理应正确；</w:t>
      </w:r>
    </w:p>
    <w:p>
      <w:pPr>
        <w:pStyle w:val="113"/>
        <w:rPr>
          <w:color w:val="auto"/>
        </w:rPr>
      </w:pPr>
      <w:r>
        <w:rPr>
          <w:rFonts w:hint="eastAsia"/>
          <w:color w:val="auto"/>
        </w:rPr>
        <w:t>观察受检中心系统工作站上查询客流数据的统计结果的处理应正确；</w:t>
      </w:r>
    </w:p>
    <w:p>
      <w:pPr>
        <w:pStyle w:val="113"/>
        <w:rPr>
          <w:color w:val="auto"/>
        </w:rPr>
      </w:pPr>
      <w:r>
        <w:rPr>
          <w:rFonts w:hint="eastAsia"/>
          <w:color w:val="auto"/>
        </w:rPr>
        <w:t>通过受检设备的记录检测受检中心系统上传的客流数据应正确；</w:t>
      </w:r>
    </w:p>
    <w:p>
      <w:pPr>
        <w:pStyle w:val="113"/>
        <w:rPr>
          <w:color w:val="auto"/>
        </w:rPr>
      </w:pPr>
      <w:r>
        <w:rPr>
          <w:rFonts w:hint="eastAsia"/>
          <w:color w:val="auto"/>
        </w:rPr>
        <w:t>检测应覆盖一票通和一卡通规定的所有交易类型。</w:t>
      </w:r>
    </w:p>
    <w:p>
      <w:pPr>
        <w:pStyle w:val="178"/>
        <w:rPr>
          <w:color w:val="auto"/>
        </w:rPr>
      </w:pPr>
      <w:r>
        <w:rPr>
          <w:rFonts w:hint="eastAsia"/>
          <w:color w:val="auto"/>
        </w:rPr>
        <w:t>客流报警检测方法要求如下：</w:t>
      </w:r>
    </w:p>
    <w:p>
      <w:pPr>
        <w:pStyle w:val="113"/>
        <w:numPr>
          <w:ilvl w:val="1"/>
          <w:numId w:val="457"/>
        </w:numPr>
        <w:rPr>
          <w:color w:val="auto"/>
        </w:rPr>
      </w:pPr>
      <w:r>
        <w:rPr>
          <w:rFonts w:hint="eastAsia"/>
          <w:color w:val="auto"/>
        </w:rPr>
        <w:t>通过受检设备设置并下发客流报警管理参数，观察受检中心系统的处理应正确；</w:t>
      </w:r>
    </w:p>
    <w:p>
      <w:pPr>
        <w:pStyle w:val="113"/>
        <w:rPr>
          <w:color w:val="auto"/>
        </w:rPr>
      </w:pPr>
      <w:r>
        <w:rPr>
          <w:rFonts w:hint="eastAsia"/>
          <w:color w:val="auto"/>
        </w:rPr>
        <w:t>通过受检设备上传设备状态数据，观察受检中心系统的状态报警处理应正确；</w:t>
      </w:r>
    </w:p>
    <w:p>
      <w:pPr>
        <w:pStyle w:val="113"/>
        <w:rPr>
          <w:color w:val="auto"/>
        </w:rPr>
      </w:pPr>
      <w:r>
        <w:rPr>
          <w:rFonts w:hint="eastAsia"/>
          <w:color w:val="auto"/>
        </w:rPr>
        <w:t>检测应覆盖一票通和一卡通规定的所有交易类型。</w:t>
      </w:r>
    </w:p>
    <w:p>
      <w:pPr>
        <w:pStyle w:val="98"/>
        <w:spacing w:before="156" w:after="156"/>
        <w:rPr>
          <w:color w:val="auto"/>
        </w:rPr>
      </w:pPr>
      <w:r>
        <w:rPr>
          <w:rFonts w:hint="eastAsia"/>
          <w:color w:val="auto"/>
          <w:lang w:val="en-US" w:eastAsia="zh-CN"/>
        </w:rPr>
        <w:t>交易管理</w:t>
      </w:r>
      <w:r>
        <w:rPr>
          <w:rFonts w:hint="eastAsia"/>
          <w:color w:val="auto"/>
        </w:rPr>
        <w:t>检测</w:t>
      </w:r>
    </w:p>
    <w:p>
      <w:pPr>
        <w:pStyle w:val="60"/>
        <w:ind w:firstLine="420"/>
        <w:rPr>
          <w:color w:val="auto"/>
        </w:rPr>
      </w:pPr>
      <w:r>
        <w:rPr>
          <w:rFonts w:hint="eastAsia"/>
          <w:color w:val="auto"/>
          <w:lang w:val="en-US" w:eastAsia="zh-CN"/>
        </w:rPr>
        <w:t>交易管理</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交易管理</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rPr>
        <w:t>受检</w:t>
      </w:r>
      <w:r>
        <w:rPr>
          <w:rFonts w:hint="eastAsia"/>
          <w:color w:val="auto"/>
          <w:lang w:val="en-US" w:eastAsia="zh-CN"/>
        </w:rPr>
        <w:t>设备上传交易数据至受检</w:t>
      </w:r>
      <w:r>
        <w:rPr>
          <w:rFonts w:hint="eastAsia"/>
          <w:color w:val="auto"/>
        </w:rPr>
        <w:t>中心系统</w:t>
      </w:r>
      <w:r>
        <w:rPr>
          <w:rFonts w:hint="eastAsia"/>
          <w:color w:val="auto"/>
          <w:lang w:eastAsia="zh-CN"/>
        </w:rPr>
        <w:t>，</w:t>
      </w:r>
      <w:r>
        <w:rPr>
          <w:rFonts w:hint="eastAsia"/>
          <w:color w:val="auto"/>
          <w:lang w:val="en-US" w:eastAsia="zh-CN"/>
        </w:rPr>
        <w:t>观察受检中心系统的交易数据查询应正确；</w:t>
      </w:r>
    </w:p>
    <w:p>
      <w:pPr>
        <w:pStyle w:val="113"/>
        <w:numPr>
          <w:ilvl w:val="1"/>
          <w:numId w:val="459"/>
        </w:numPr>
        <w:rPr>
          <w:color w:val="auto"/>
        </w:rPr>
      </w:pPr>
      <w:r>
        <w:rPr>
          <w:rFonts w:hint="eastAsia"/>
          <w:color w:val="auto"/>
        </w:rPr>
        <w:t>测试应覆盖DB11/T 1164.2 有关AFC系统</w:t>
      </w:r>
      <w:r>
        <w:rPr>
          <w:rFonts w:hint="eastAsia"/>
          <w:color w:val="auto"/>
          <w:lang w:eastAsia="zh-CN"/>
        </w:rPr>
        <w:t>交易</w:t>
      </w:r>
      <w:r>
        <w:rPr>
          <w:rFonts w:hint="eastAsia"/>
          <w:color w:val="auto"/>
          <w:lang w:val="en-US" w:eastAsia="zh-CN"/>
        </w:rPr>
        <w:t>数据</w:t>
      </w:r>
      <w:r>
        <w:rPr>
          <w:rFonts w:hint="eastAsia"/>
          <w:color w:val="auto"/>
        </w:rPr>
        <w:t>中规定的所有</w:t>
      </w:r>
      <w:r>
        <w:rPr>
          <w:rFonts w:hint="eastAsia"/>
          <w:color w:val="auto"/>
          <w:lang w:val="en-US" w:eastAsia="zh-CN"/>
        </w:rPr>
        <w:t>数据类型</w:t>
      </w:r>
      <w:r>
        <w:rPr>
          <w:rFonts w:hint="eastAsia"/>
          <w:color w:val="auto"/>
        </w:rPr>
        <w:t>。</w:t>
      </w:r>
    </w:p>
    <w:p>
      <w:pPr>
        <w:pStyle w:val="98"/>
        <w:spacing w:before="156" w:after="156"/>
        <w:rPr>
          <w:color w:val="auto"/>
        </w:rPr>
      </w:pPr>
      <w:r>
        <w:rPr>
          <w:rFonts w:hint="eastAsia"/>
          <w:color w:val="auto"/>
          <w:lang w:val="en-US" w:eastAsia="zh-CN"/>
        </w:rPr>
        <w:t>BOM/TVM现金管理</w:t>
      </w:r>
      <w:r>
        <w:rPr>
          <w:rFonts w:hint="eastAsia"/>
          <w:color w:val="auto"/>
        </w:rPr>
        <w:t>检测</w:t>
      </w:r>
    </w:p>
    <w:p>
      <w:pPr>
        <w:pStyle w:val="60"/>
        <w:ind w:firstLine="420"/>
        <w:rPr>
          <w:color w:val="auto"/>
        </w:rPr>
      </w:pPr>
      <w:r>
        <w:rPr>
          <w:rFonts w:hint="eastAsia"/>
          <w:color w:val="auto"/>
          <w:lang w:val="en-US" w:eastAsia="zh-CN"/>
        </w:rPr>
        <w:t>BOM/TVM</w:t>
      </w:r>
      <w:r>
        <w:rPr>
          <w:rFonts w:hint="eastAsia"/>
          <w:color w:val="auto"/>
        </w:rPr>
        <w:t>金管理检测要求如下：</w:t>
      </w:r>
    </w:p>
    <w:p>
      <w:pPr>
        <w:pStyle w:val="178"/>
        <w:numPr>
          <w:ilvl w:val="0"/>
          <w:numId w:val="460"/>
        </w:numPr>
        <w:rPr>
          <w:color w:val="auto"/>
        </w:rPr>
      </w:pPr>
      <w:r>
        <w:rPr>
          <w:rFonts w:hint="eastAsia"/>
          <w:color w:val="auto"/>
        </w:rPr>
        <w:t>检测内容应依据DB11/T 1164.1中中心系统功能中的</w:t>
      </w:r>
      <w:r>
        <w:rPr>
          <w:rFonts w:hint="eastAsia"/>
          <w:color w:val="auto"/>
          <w:lang w:val="en-US" w:eastAsia="zh-CN"/>
        </w:rPr>
        <w:t>现金</w:t>
      </w:r>
      <w:r>
        <w:rPr>
          <w:rFonts w:hint="eastAsia"/>
          <w:color w:val="auto"/>
        </w:rPr>
        <w:t>管理功能的要求逐项检测；</w:t>
      </w:r>
    </w:p>
    <w:p>
      <w:pPr>
        <w:pStyle w:val="178"/>
        <w:rPr>
          <w:color w:val="auto"/>
        </w:rPr>
      </w:pPr>
      <w:r>
        <w:rPr>
          <w:rFonts w:hint="eastAsia"/>
          <w:color w:val="auto"/>
        </w:rPr>
        <w:t>检测方法要求如下：</w:t>
      </w:r>
    </w:p>
    <w:p>
      <w:pPr>
        <w:pStyle w:val="113"/>
        <w:numPr>
          <w:ilvl w:val="1"/>
          <w:numId w:val="461"/>
        </w:numPr>
        <w:rPr>
          <w:color w:val="auto"/>
        </w:rPr>
      </w:pPr>
      <w:r>
        <w:rPr>
          <w:rFonts w:hint="eastAsia"/>
          <w:color w:val="auto"/>
        </w:rPr>
        <w:t>在受检中心系统进行</w:t>
      </w:r>
      <w:r>
        <w:rPr>
          <w:rFonts w:hint="eastAsia"/>
          <w:color w:val="auto"/>
          <w:lang w:val="en-US" w:eastAsia="zh-CN"/>
        </w:rPr>
        <w:t>TVM/BOM现金结算</w:t>
      </w:r>
      <w:r>
        <w:rPr>
          <w:rFonts w:hint="eastAsia"/>
          <w:color w:val="auto"/>
        </w:rPr>
        <w:t>的操作，观察受检中心系统工作站上</w:t>
      </w:r>
      <w:r>
        <w:rPr>
          <w:rFonts w:hint="eastAsia"/>
          <w:color w:val="auto"/>
          <w:lang w:val="en-US" w:eastAsia="zh-CN"/>
        </w:rPr>
        <w:t>现金结算</w:t>
      </w:r>
      <w:r>
        <w:rPr>
          <w:rFonts w:hint="eastAsia"/>
          <w:color w:val="auto"/>
        </w:rPr>
        <w:t>数据的</w:t>
      </w:r>
      <w:r>
        <w:rPr>
          <w:rFonts w:hint="eastAsia"/>
          <w:color w:val="auto"/>
          <w:lang w:val="en-US" w:eastAsia="zh-CN"/>
        </w:rPr>
        <w:t>处理</w:t>
      </w:r>
      <w:r>
        <w:rPr>
          <w:rFonts w:hint="eastAsia"/>
          <w:color w:val="auto"/>
        </w:rPr>
        <w:t>结果应正确；</w:t>
      </w:r>
    </w:p>
    <w:p>
      <w:pPr>
        <w:pStyle w:val="113"/>
        <w:rPr>
          <w:color w:val="auto"/>
        </w:rPr>
      </w:pPr>
      <w:r>
        <w:rPr>
          <w:rFonts w:hint="eastAsia"/>
          <w:color w:val="auto"/>
        </w:rPr>
        <w:t>检测受检中心系统</w:t>
      </w:r>
      <w:r>
        <w:rPr>
          <w:rFonts w:hint="eastAsia"/>
          <w:color w:val="auto"/>
          <w:lang w:val="en-US" w:eastAsia="zh-CN"/>
        </w:rPr>
        <w:t>TVM/BOM现金查询的</w:t>
      </w:r>
      <w:r>
        <w:rPr>
          <w:rFonts w:hint="eastAsia"/>
          <w:color w:val="auto"/>
        </w:rPr>
        <w:t>业务数据应正确</w:t>
      </w:r>
      <w:r>
        <w:rPr>
          <w:rFonts w:hint="eastAsia"/>
          <w:color w:val="auto"/>
          <w:lang w:eastAsia="zh-CN"/>
        </w:rPr>
        <w:t>，</w:t>
      </w:r>
      <w:r>
        <w:rPr>
          <w:rFonts w:hint="eastAsia"/>
          <w:color w:val="auto"/>
          <w:lang w:val="en-US" w:eastAsia="zh-CN"/>
        </w:rPr>
        <w:t>相关统计数据应正确</w:t>
      </w:r>
      <w:r>
        <w:rPr>
          <w:rFonts w:hint="eastAsia"/>
          <w:color w:val="auto"/>
        </w:rPr>
        <w:t>。</w:t>
      </w:r>
    </w:p>
    <w:p>
      <w:pPr>
        <w:pStyle w:val="98"/>
        <w:spacing w:before="156" w:after="156"/>
        <w:rPr>
          <w:color w:val="auto"/>
        </w:rPr>
      </w:pPr>
      <w:r>
        <w:rPr>
          <w:rFonts w:hint="eastAsia"/>
          <w:color w:val="auto"/>
        </w:rPr>
        <w:t>备用金管理检测</w:t>
      </w:r>
    </w:p>
    <w:p>
      <w:pPr>
        <w:pStyle w:val="60"/>
        <w:ind w:firstLine="420"/>
        <w:rPr>
          <w:color w:val="auto"/>
        </w:rPr>
      </w:pPr>
      <w:r>
        <w:rPr>
          <w:rFonts w:hint="eastAsia"/>
          <w:color w:val="auto"/>
        </w:rPr>
        <w:t>备用金管理检测要求如下：</w:t>
      </w:r>
    </w:p>
    <w:p>
      <w:pPr>
        <w:pStyle w:val="178"/>
        <w:numPr>
          <w:ilvl w:val="0"/>
          <w:numId w:val="460"/>
        </w:numPr>
        <w:rPr>
          <w:color w:val="auto"/>
        </w:rPr>
      </w:pPr>
      <w:r>
        <w:rPr>
          <w:rFonts w:hint="eastAsia"/>
          <w:color w:val="auto"/>
        </w:rPr>
        <w:t>检测内容应依据DB11/T 1164.1中中心系统功能中的备用金管理功能的要求逐项检测；</w:t>
      </w:r>
    </w:p>
    <w:p>
      <w:pPr>
        <w:pStyle w:val="178"/>
        <w:rPr>
          <w:color w:val="auto"/>
        </w:rPr>
      </w:pPr>
      <w:r>
        <w:rPr>
          <w:rFonts w:hint="eastAsia"/>
          <w:color w:val="auto"/>
        </w:rPr>
        <w:t>检测方法要求如下：</w:t>
      </w:r>
    </w:p>
    <w:p>
      <w:pPr>
        <w:pStyle w:val="113"/>
        <w:numPr>
          <w:ilvl w:val="1"/>
          <w:numId w:val="461"/>
        </w:numPr>
        <w:rPr>
          <w:color w:val="auto"/>
        </w:rPr>
      </w:pPr>
      <w:r>
        <w:rPr>
          <w:rFonts w:hint="eastAsia"/>
          <w:color w:val="auto"/>
        </w:rPr>
        <w:t>在受检中心系统进行备用金领用和备用金归还的操作，观察受检中心系统工作站上备用金领用归还数据的查询结果应正确；</w:t>
      </w:r>
    </w:p>
    <w:p>
      <w:pPr>
        <w:pStyle w:val="113"/>
        <w:rPr>
          <w:color w:val="auto"/>
        </w:rPr>
      </w:pPr>
      <w:r>
        <w:rPr>
          <w:rFonts w:hint="eastAsia"/>
          <w:color w:val="auto"/>
        </w:rPr>
        <w:t>检测受检中心系统备用金领用归还业务数据应正确。</w:t>
      </w:r>
    </w:p>
    <w:p>
      <w:pPr>
        <w:pStyle w:val="98"/>
        <w:spacing w:before="156" w:after="156"/>
        <w:rPr>
          <w:color w:val="auto"/>
        </w:rPr>
      </w:pPr>
      <w:r>
        <w:rPr>
          <w:rFonts w:hint="eastAsia"/>
          <w:color w:val="auto"/>
          <w:lang w:val="en-US" w:eastAsia="zh-CN"/>
        </w:rPr>
        <w:t>报表管理</w:t>
      </w:r>
      <w:r>
        <w:rPr>
          <w:rFonts w:hint="eastAsia"/>
          <w:color w:val="auto"/>
        </w:rPr>
        <w:t>检测</w:t>
      </w:r>
    </w:p>
    <w:p>
      <w:pPr>
        <w:pStyle w:val="60"/>
        <w:ind w:firstLine="420"/>
        <w:rPr>
          <w:color w:val="auto"/>
        </w:rPr>
      </w:pPr>
      <w:r>
        <w:rPr>
          <w:rFonts w:hint="eastAsia"/>
          <w:color w:val="auto"/>
          <w:lang w:val="en-US" w:eastAsia="zh-CN"/>
        </w:rPr>
        <w:t>报表管理</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报表管理</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rPr>
        <w:t>受检中心系统</w:t>
      </w:r>
      <w:r>
        <w:rPr>
          <w:rFonts w:hint="eastAsia"/>
          <w:color w:val="auto"/>
          <w:lang w:val="en-US" w:eastAsia="zh-CN"/>
        </w:rPr>
        <w:t>对交易数据、业务数据、事件</w:t>
      </w:r>
      <w:r>
        <w:rPr>
          <w:rFonts w:hint="eastAsia"/>
          <w:color w:val="auto"/>
        </w:rPr>
        <w:t>数据进行统计；</w:t>
      </w:r>
    </w:p>
    <w:p>
      <w:pPr>
        <w:pStyle w:val="113"/>
        <w:rPr>
          <w:color w:val="auto"/>
        </w:rPr>
      </w:pPr>
      <w:r>
        <w:rPr>
          <w:rFonts w:hint="eastAsia"/>
          <w:color w:val="auto"/>
        </w:rPr>
        <w:t>观察受检中心系统相关报表，检测受检中心系统的统计结果应正确</w:t>
      </w:r>
      <w:r>
        <w:rPr>
          <w:rFonts w:hint="eastAsia"/>
          <w:color w:val="auto"/>
          <w:lang w:eastAsia="zh-CN"/>
        </w:rPr>
        <w:t>。</w:t>
      </w:r>
    </w:p>
    <w:p>
      <w:pPr>
        <w:pStyle w:val="98"/>
        <w:spacing w:before="156" w:after="156"/>
        <w:rPr>
          <w:color w:val="auto"/>
        </w:rPr>
      </w:pPr>
      <w:r>
        <w:rPr>
          <w:rFonts w:hint="eastAsia"/>
          <w:color w:val="auto"/>
        </w:rPr>
        <w:t>清算对账检测</w:t>
      </w:r>
    </w:p>
    <w:p>
      <w:pPr>
        <w:pStyle w:val="60"/>
        <w:ind w:firstLine="420"/>
        <w:rPr>
          <w:color w:val="auto"/>
        </w:rPr>
      </w:pPr>
      <w:r>
        <w:rPr>
          <w:rFonts w:hint="eastAsia"/>
          <w:color w:val="auto"/>
        </w:rPr>
        <w:t>清算对账检测要求如下：</w:t>
      </w:r>
    </w:p>
    <w:p>
      <w:pPr>
        <w:pStyle w:val="178"/>
        <w:numPr>
          <w:ilvl w:val="0"/>
          <w:numId w:val="462"/>
        </w:numPr>
        <w:rPr>
          <w:color w:val="auto"/>
        </w:rPr>
      </w:pPr>
      <w:r>
        <w:rPr>
          <w:rFonts w:hint="eastAsia"/>
          <w:color w:val="auto"/>
        </w:rPr>
        <w:t>检测内容应依据DB11/T 1164.1中中心系统功能中的清算对账功能的要求逐项检测；</w:t>
      </w:r>
    </w:p>
    <w:p>
      <w:pPr>
        <w:pStyle w:val="178"/>
        <w:rPr>
          <w:color w:val="auto"/>
        </w:rPr>
      </w:pPr>
      <w:r>
        <w:rPr>
          <w:rFonts w:hint="eastAsia"/>
          <w:color w:val="auto"/>
        </w:rPr>
        <w:t>检测方法要求如下：</w:t>
      </w:r>
    </w:p>
    <w:p>
      <w:pPr>
        <w:pStyle w:val="113"/>
        <w:numPr>
          <w:ilvl w:val="1"/>
          <w:numId w:val="463"/>
        </w:numPr>
        <w:rPr>
          <w:color w:val="auto"/>
        </w:rPr>
      </w:pPr>
      <w:r>
        <w:rPr>
          <w:rFonts w:hint="eastAsia"/>
          <w:color w:val="auto"/>
        </w:rPr>
        <w:t>使用仿真系统下发对账数据至受检中心系统，观察受检中心系统的处理应正确；</w:t>
      </w:r>
    </w:p>
    <w:p>
      <w:pPr>
        <w:pStyle w:val="113"/>
        <w:rPr>
          <w:color w:val="auto"/>
        </w:rPr>
      </w:pPr>
      <w:r>
        <w:rPr>
          <w:rFonts w:hint="eastAsia"/>
          <w:color w:val="auto"/>
        </w:rPr>
        <w:t>在受检中心系统生成日对账差异明细表，通过仿真系统检测报表数据的准确性；</w:t>
      </w:r>
    </w:p>
    <w:p>
      <w:pPr>
        <w:pStyle w:val="113"/>
        <w:rPr>
          <w:color w:val="auto"/>
        </w:rPr>
      </w:pPr>
      <w:r>
        <w:rPr>
          <w:rFonts w:hint="eastAsia"/>
          <w:color w:val="auto"/>
        </w:rPr>
        <w:t>受检中心系统应根据异常明细数据生成申诉报表，通过仿真系统检测报表数据应正确。</w:t>
      </w:r>
    </w:p>
    <w:p>
      <w:pPr>
        <w:pStyle w:val="98"/>
        <w:spacing w:before="156" w:after="156"/>
        <w:rPr>
          <w:color w:val="auto"/>
        </w:rPr>
      </w:pPr>
      <w:r>
        <w:rPr>
          <w:rFonts w:hint="eastAsia"/>
          <w:color w:val="auto"/>
          <w:lang w:val="en-US" w:eastAsia="zh-CN"/>
        </w:rPr>
        <w:t>互联网发码管理</w:t>
      </w:r>
      <w:r>
        <w:rPr>
          <w:rFonts w:hint="eastAsia"/>
          <w:color w:val="auto"/>
        </w:rPr>
        <w:t>检测</w:t>
      </w:r>
    </w:p>
    <w:p>
      <w:pPr>
        <w:pStyle w:val="60"/>
        <w:ind w:firstLine="420"/>
        <w:rPr>
          <w:color w:val="auto"/>
        </w:rPr>
      </w:pPr>
      <w:r>
        <w:rPr>
          <w:rFonts w:hint="eastAsia"/>
          <w:color w:val="auto"/>
          <w:lang w:val="en-US" w:eastAsia="zh-CN"/>
        </w:rPr>
        <w:t>互联网发码管理</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发码管理</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rPr>
        <w:t>受检中心系统</w:t>
      </w:r>
      <w:r>
        <w:rPr>
          <w:rFonts w:hint="eastAsia"/>
          <w:color w:val="auto"/>
          <w:lang w:val="en-US" w:eastAsia="zh-CN"/>
        </w:rPr>
        <w:t>生成过闸二维码至受检手机端应用程序</w:t>
      </w:r>
      <w:r>
        <w:rPr>
          <w:rFonts w:hint="eastAsia"/>
          <w:color w:val="auto"/>
        </w:rPr>
        <w:t>；</w:t>
      </w:r>
    </w:p>
    <w:p>
      <w:pPr>
        <w:pStyle w:val="113"/>
        <w:rPr>
          <w:color w:val="auto"/>
        </w:rPr>
      </w:pPr>
      <w:r>
        <w:rPr>
          <w:rFonts w:hint="eastAsia"/>
          <w:color w:val="auto"/>
          <w:lang w:val="en-US" w:eastAsia="zh-CN"/>
        </w:rPr>
        <w:t>通过受检设备识别二维码，观察二维码格式以及受检中心系统对二维码的处理应正确</w:t>
      </w:r>
      <w:r>
        <w:rPr>
          <w:rFonts w:hint="eastAsia"/>
          <w:color w:val="auto"/>
          <w:lang w:eastAsia="zh-CN"/>
        </w:rPr>
        <w:t>。</w:t>
      </w:r>
    </w:p>
    <w:p>
      <w:pPr>
        <w:pStyle w:val="98"/>
        <w:spacing w:before="156" w:after="156"/>
        <w:rPr>
          <w:color w:val="auto"/>
        </w:rPr>
      </w:pPr>
      <w:r>
        <w:rPr>
          <w:rFonts w:hint="eastAsia"/>
          <w:color w:val="auto"/>
          <w:lang w:val="en-US" w:eastAsia="zh-CN"/>
        </w:rPr>
        <w:t>互联网后付费过闸</w:t>
      </w:r>
      <w:r>
        <w:rPr>
          <w:rFonts w:hint="eastAsia"/>
          <w:color w:val="auto"/>
        </w:rPr>
        <w:t>检测</w:t>
      </w:r>
    </w:p>
    <w:p>
      <w:pPr>
        <w:pStyle w:val="60"/>
        <w:ind w:firstLine="420"/>
        <w:rPr>
          <w:color w:val="auto"/>
        </w:rPr>
      </w:pPr>
      <w:r>
        <w:rPr>
          <w:rFonts w:hint="eastAsia"/>
          <w:color w:val="auto"/>
          <w:lang w:val="en-US" w:eastAsia="zh-CN"/>
        </w:rPr>
        <w:t>互联网后付费过闸</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后付费过闸</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受检设备验证二维码、生物特征等方式，观察识别及处理应正确，验证过程应覆盖在线验证、离线验证；</w:t>
      </w:r>
    </w:p>
    <w:p>
      <w:pPr>
        <w:pStyle w:val="113"/>
        <w:rPr>
          <w:color w:val="auto"/>
        </w:rPr>
      </w:pPr>
      <w:r>
        <w:rPr>
          <w:rFonts w:hint="eastAsia"/>
          <w:color w:val="auto"/>
          <w:lang w:val="en-US" w:eastAsia="zh-CN"/>
        </w:rPr>
        <w:t>观察受检中心系统对二维码、生物特征对应的支付账号匹配应正确</w:t>
      </w:r>
      <w:r>
        <w:rPr>
          <w:rFonts w:hint="eastAsia"/>
          <w:color w:val="auto"/>
          <w:lang w:eastAsia="zh-CN"/>
        </w:rPr>
        <w:t>。</w:t>
      </w:r>
    </w:p>
    <w:p>
      <w:pPr>
        <w:pStyle w:val="98"/>
        <w:spacing w:before="156" w:after="156"/>
        <w:rPr>
          <w:color w:val="auto"/>
        </w:rPr>
      </w:pPr>
      <w:r>
        <w:rPr>
          <w:rFonts w:hint="eastAsia"/>
          <w:color w:val="auto"/>
          <w:lang w:val="en-US" w:eastAsia="zh-CN"/>
        </w:rPr>
        <w:t>互联网预付费业务</w:t>
      </w:r>
      <w:r>
        <w:rPr>
          <w:rFonts w:hint="eastAsia"/>
          <w:color w:val="auto"/>
        </w:rPr>
        <w:t>检测</w:t>
      </w:r>
    </w:p>
    <w:p>
      <w:pPr>
        <w:pStyle w:val="60"/>
        <w:ind w:firstLine="420"/>
        <w:rPr>
          <w:color w:val="auto"/>
        </w:rPr>
      </w:pPr>
      <w:r>
        <w:rPr>
          <w:rFonts w:hint="eastAsia"/>
          <w:color w:val="auto"/>
          <w:lang w:val="en-US" w:eastAsia="zh-CN"/>
        </w:rPr>
        <w:t>互联网预付费业务</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预付费业务</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通过手机端应用程序模拟单程票网络购票、电子单程票、电子定期票、电子计次票的操作流程，受检中心系统对票种的购票、激活、生成凭证、退票的处理应正确；</w:t>
      </w:r>
    </w:p>
    <w:p>
      <w:pPr>
        <w:pStyle w:val="113"/>
        <w:rPr>
          <w:color w:val="auto"/>
        </w:rPr>
      </w:pPr>
      <w:r>
        <w:rPr>
          <w:rFonts w:hint="eastAsia"/>
          <w:color w:val="auto"/>
          <w:lang w:val="en-US" w:eastAsia="zh-CN"/>
        </w:rPr>
        <w:t>受检设备识别预付费乘车凭证，观察受检设备及受检中心系统对受检乘车凭证的验证及处理应正确。</w:t>
      </w:r>
    </w:p>
    <w:p>
      <w:pPr>
        <w:pStyle w:val="113"/>
        <w:rPr>
          <w:color w:val="auto"/>
        </w:rPr>
      </w:pPr>
      <w:r>
        <w:rPr>
          <w:rFonts w:hint="eastAsia"/>
          <w:color w:val="auto"/>
          <w:lang w:val="en-US" w:eastAsia="zh-CN"/>
        </w:rPr>
        <w:t>通过模拟超程、超时，验证在线补票的业务处理应正确。</w:t>
      </w:r>
    </w:p>
    <w:p>
      <w:pPr>
        <w:pStyle w:val="98"/>
        <w:spacing w:before="156" w:after="156"/>
        <w:rPr>
          <w:color w:val="auto"/>
        </w:rPr>
      </w:pPr>
      <w:r>
        <w:rPr>
          <w:rFonts w:hint="eastAsia"/>
          <w:color w:val="auto"/>
          <w:lang w:val="en-US" w:eastAsia="zh-CN"/>
        </w:rPr>
        <w:t>互联网配对计费</w:t>
      </w:r>
      <w:r>
        <w:rPr>
          <w:rFonts w:hint="eastAsia"/>
          <w:color w:val="auto"/>
        </w:rPr>
        <w:t>检测</w:t>
      </w:r>
    </w:p>
    <w:p>
      <w:pPr>
        <w:pStyle w:val="60"/>
        <w:ind w:firstLine="420"/>
        <w:rPr>
          <w:color w:val="auto"/>
        </w:rPr>
      </w:pPr>
      <w:r>
        <w:rPr>
          <w:rFonts w:hint="eastAsia"/>
          <w:color w:val="auto"/>
          <w:lang w:val="en-US" w:eastAsia="zh-CN"/>
        </w:rPr>
        <w:t>互联网配对计费</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配对计费</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通过模拟实时匹配、日终匹配、延迟匹配、单边补票异常行程匹配、7日日终匹配、模式站匹配，观察匹配计费结果，检测受检中心系统的处理应正确；</w:t>
      </w:r>
    </w:p>
    <w:p>
      <w:pPr>
        <w:pStyle w:val="113"/>
        <w:rPr>
          <w:color w:val="auto"/>
        </w:rPr>
      </w:pPr>
      <w:r>
        <w:rPr>
          <w:rFonts w:hint="eastAsia"/>
          <w:color w:val="auto"/>
          <w:lang w:val="en-US" w:eastAsia="zh-CN"/>
        </w:rPr>
        <w:t>观察应用程序及受检中心系统的支付结果查询，受检中心系统对计费的处理应正确。</w:t>
      </w:r>
    </w:p>
    <w:p>
      <w:pPr>
        <w:pStyle w:val="98"/>
        <w:spacing w:before="156" w:after="156"/>
        <w:rPr>
          <w:color w:val="auto"/>
        </w:rPr>
      </w:pPr>
      <w:r>
        <w:rPr>
          <w:rFonts w:hint="eastAsia"/>
          <w:color w:val="auto"/>
          <w:lang w:val="en-US" w:eastAsia="zh-CN"/>
        </w:rPr>
        <w:t>互联网非现金支付</w:t>
      </w:r>
      <w:r>
        <w:rPr>
          <w:rFonts w:hint="eastAsia"/>
          <w:color w:val="auto"/>
        </w:rPr>
        <w:t>检测</w:t>
      </w:r>
    </w:p>
    <w:p>
      <w:pPr>
        <w:pStyle w:val="60"/>
        <w:ind w:firstLine="420"/>
        <w:rPr>
          <w:color w:val="auto"/>
        </w:rPr>
      </w:pPr>
      <w:r>
        <w:rPr>
          <w:rFonts w:hint="eastAsia"/>
          <w:color w:val="auto"/>
          <w:lang w:val="en-US" w:eastAsia="zh-CN"/>
        </w:rPr>
        <w:t>互联网非现金支付</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互联网非现金支付</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在受检设备发起非现金支付业务，观察受检设备对非现金支付的签到、支付验证下单、支付结果反馈、业务结果确认的处理应正确；</w:t>
      </w:r>
    </w:p>
    <w:p>
      <w:pPr>
        <w:pStyle w:val="113"/>
        <w:rPr>
          <w:color w:val="auto"/>
        </w:rPr>
      </w:pPr>
      <w:r>
        <w:rPr>
          <w:rFonts w:hint="eastAsia"/>
          <w:color w:val="auto"/>
          <w:lang w:val="en-US" w:eastAsia="zh-CN"/>
        </w:rPr>
        <w:t>进行支付操作，包括但不限于金融IC卡支付、主扫支付和被扫支付，通过观察支付结果检测与支付渠道及收单机构的联通性符合要求。</w:t>
      </w:r>
    </w:p>
    <w:p>
      <w:pPr>
        <w:pStyle w:val="113"/>
        <w:rPr>
          <w:color w:val="auto"/>
        </w:rPr>
      </w:pPr>
      <w:r>
        <w:rPr>
          <w:rFonts w:hint="eastAsia"/>
          <w:color w:val="auto"/>
          <w:lang w:val="en-US" w:eastAsia="zh-CN"/>
        </w:rPr>
        <w:t>通过受检中心系统中的交易记录，观察中心系统对支付订单的处理及查询应正确。</w:t>
      </w:r>
    </w:p>
    <w:p>
      <w:pPr>
        <w:pStyle w:val="98"/>
        <w:spacing w:before="156" w:after="156"/>
        <w:rPr>
          <w:color w:val="auto"/>
        </w:rPr>
      </w:pPr>
      <w:r>
        <w:rPr>
          <w:rFonts w:hint="eastAsia"/>
          <w:color w:val="auto"/>
          <w:lang w:val="en-US" w:eastAsia="zh-CN"/>
        </w:rPr>
        <w:t>互联网乘客异议处理</w:t>
      </w:r>
      <w:r>
        <w:rPr>
          <w:rFonts w:hint="eastAsia"/>
          <w:color w:val="auto"/>
        </w:rPr>
        <w:t>检测</w:t>
      </w:r>
    </w:p>
    <w:p>
      <w:pPr>
        <w:pStyle w:val="60"/>
        <w:ind w:firstLine="420"/>
        <w:rPr>
          <w:color w:val="auto"/>
        </w:rPr>
      </w:pPr>
      <w:r>
        <w:rPr>
          <w:rFonts w:hint="eastAsia"/>
          <w:color w:val="auto"/>
          <w:lang w:val="en-US" w:eastAsia="zh-CN"/>
        </w:rPr>
        <w:t>互联网乘客异议处理</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互联网乘客异议处理</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在受检对乘客异议进行申诉单受理、提交、退款的操作，观察受检中心系统的互联网乘客异议申诉单的受理、提交、退款处理应正确；</w:t>
      </w:r>
    </w:p>
    <w:p>
      <w:pPr>
        <w:pStyle w:val="113"/>
        <w:rPr>
          <w:color w:val="auto"/>
        </w:rPr>
      </w:pPr>
      <w:r>
        <w:rPr>
          <w:rFonts w:hint="eastAsia"/>
          <w:color w:val="auto"/>
          <w:lang w:val="en-US" w:eastAsia="zh-CN"/>
        </w:rPr>
        <w:t>通过受检中心系统中的记录，检测受检中心系统的退款处理应正确。</w:t>
      </w:r>
    </w:p>
    <w:p>
      <w:pPr>
        <w:pStyle w:val="98"/>
        <w:spacing w:before="156" w:after="156"/>
        <w:rPr>
          <w:color w:val="auto"/>
        </w:rPr>
      </w:pPr>
      <w:r>
        <w:rPr>
          <w:rFonts w:hint="eastAsia"/>
          <w:color w:val="auto"/>
          <w:lang w:val="en-US" w:eastAsia="zh-CN"/>
        </w:rPr>
        <w:t>互联网电子发票</w:t>
      </w:r>
      <w:r>
        <w:rPr>
          <w:rFonts w:hint="eastAsia"/>
          <w:color w:val="auto"/>
        </w:rPr>
        <w:t>检测</w:t>
      </w:r>
    </w:p>
    <w:p>
      <w:pPr>
        <w:pStyle w:val="60"/>
        <w:ind w:firstLine="420"/>
        <w:rPr>
          <w:color w:val="auto"/>
        </w:rPr>
      </w:pPr>
      <w:r>
        <w:rPr>
          <w:rFonts w:hint="eastAsia"/>
          <w:color w:val="auto"/>
          <w:lang w:val="en-US" w:eastAsia="zh-CN"/>
        </w:rPr>
        <w:t>互联网电子发票</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互联网电子发票</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通过手机端应用程序，对已具备发票开具条件的订单，进行开具电子发票操作，观察中心系统的开票处理应正确；</w:t>
      </w:r>
    </w:p>
    <w:p>
      <w:pPr>
        <w:pStyle w:val="113"/>
        <w:numPr>
          <w:ilvl w:val="1"/>
          <w:numId w:val="459"/>
        </w:numPr>
        <w:rPr>
          <w:color w:val="auto"/>
        </w:rPr>
      </w:pPr>
      <w:r>
        <w:rPr>
          <w:rFonts w:hint="eastAsia"/>
          <w:color w:val="auto"/>
          <w:lang w:val="en-US" w:eastAsia="zh-CN"/>
        </w:rPr>
        <w:t>观察测试邮箱正常接收电子发票，检测与电子发票服务商的联通性应符合要求。</w:t>
      </w:r>
    </w:p>
    <w:p>
      <w:pPr>
        <w:pStyle w:val="98"/>
        <w:spacing w:before="156" w:after="156"/>
        <w:rPr>
          <w:color w:val="auto"/>
        </w:rPr>
      </w:pPr>
      <w:r>
        <w:rPr>
          <w:rFonts w:hint="eastAsia"/>
          <w:color w:val="auto"/>
          <w:lang w:val="en-US" w:eastAsia="zh-CN"/>
        </w:rPr>
        <w:t>互联网黑名单管理</w:t>
      </w:r>
      <w:r>
        <w:rPr>
          <w:rFonts w:hint="eastAsia"/>
          <w:color w:val="auto"/>
        </w:rPr>
        <w:t>检测</w:t>
      </w:r>
    </w:p>
    <w:p>
      <w:pPr>
        <w:pStyle w:val="60"/>
        <w:ind w:firstLine="420"/>
        <w:rPr>
          <w:color w:val="auto"/>
        </w:rPr>
      </w:pPr>
      <w:r>
        <w:rPr>
          <w:rFonts w:hint="eastAsia"/>
          <w:color w:val="auto"/>
          <w:lang w:val="en-US" w:eastAsia="zh-CN"/>
        </w:rPr>
        <w:t>互联网黑名单管理</w:t>
      </w:r>
      <w:r>
        <w:rPr>
          <w:rFonts w:hint="eastAsia"/>
          <w:color w:val="auto"/>
        </w:rPr>
        <w:t>检测要求如下：</w:t>
      </w:r>
    </w:p>
    <w:p>
      <w:pPr>
        <w:pStyle w:val="178"/>
        <w:numPr>
          <w:ilvl w:val="0"/>
          <w:numId w:val="458"/>
        </w:numPr>
        <w:rPr>
          <w:color w:val="auto"/>
        </w:rPr>
      </w:pPr>
      <w:r>
        <w:rPr>
          <w:rFonts w:hint="eastAsia"/>
          <w:color w:val="auto"/>
        </w:rPr>
        <w:t>检测内容应依据DB11/T 1164.1中中心系统功能中的</w:t>
      </w:r>
      <w:r>
        <w:rPr>
          <w:rFonts w:hint="eastAsia"/>
          <w:color w:val="auto"/>
          <w:lang w:val="en-US" w:eastAsia="zh-CN"/>
        </w:rPr>
        <w:t>黑名单管理</w:t>
      </w:r>
      <w:r>
        <w:rPr>
          <w:rFonts w:hint="eastAsia"/>
          <w:color w:val="auto"/>
        </w:rPr>
        <w:t>功能的要求逐项检测；</w:t>
      </w:r>
    </w:p>
    <w:p>
      <w:pPr>
        <w:pStyle w:val="178"/>
        <w:rPr>
          <w:color w:val="auto"/>
        </w:rPr>
      </w:pPr>
      <w:r>
        <w:rPr>
          <w:rFonts w:hint="eastAsia"/>
          <w:color w:val="auto"/>
        </w:rPr>
        <w:t>检测方法要求如下：</w:t>
      </w:r>
    </w:p>
    <w:p>
      <w:pPr>
        <w:pStyle w:val="113"/>
        <w:numPr>
          <w:ilvl w:val="1"/>
          <w:numId w:val="459"/>
        </w:numPr>
        <w:rPr>
          <w:color w:val="auto"/>
        </w:rPr>
      </w:pPr>
      <w:r>
        <w:rPr>
          <w:rFonts w:hint="eastAsia"/>
          <w:color w:val="auto"/>
          <w:lang w:val="en-US" w:eastAsia="zh-CN"/>
        </w:rPr>
        <w:t>通过中心系统进行黑名单参数的编辑及下发操作，观察受检中心系统的黑名单下发处理应正确；</w:t>
      </w:r>
    </w:p>
    <w:p>
      <w:pPr>
        <w:pStyle w:val="113"/>
        <w:numPr>
          <w:ilvl w:val="1"/>
          <w:numId w:val="459"/>
        </w:numPr>
        <w:rPr>
          <w:color w:val="auto"/>
        </w:rPr>
      </w:pPr>
      <w:r>
        <w:rPr>
          <w:rFonts w:hint="eastAsia"/>
          <w:color w:val="auto"/>
          <w:lang w:val="en-US" w:eastAsia="zh-CN"/>
        </w:rPr>
        <w:t>观察受检设备对黑名单卡号的验证，检测受检中心系统对黑名单的处理应正确。</w:t>
      </w:r>
    </w:p>
    <w:p>
      <w:pPr>
        <w:pStyle w:val="98"/>
        <w:spacing w:before="156" w:after="156"/>
        <w:rPr>
          <w:color w:val="auto"/>
        </w:rPr>
      </w:pPr>
      <w:r>
        <w:rPr>
          <w:rFonts w:hint="eastAsia"/>
          <w:color w:val="auto"/>
        </w:rPr>
        <w:t>参数/软件版本制作与发布检测</w:t>
      </w:r>
    </w:p>
    <w:p>
      <w:pPr>
        <w:pStyle w:val="60"/>
        <w:ind w:firstLine="420"/>
        <w:rPr>
          <w:color w:val="auto"/>
        </w:rPr>
      </w:pPr>
      <w:r>
        <w:rPr>
          <w:rFonts w:hint="eastAsia"/>
          <w:color w:val="auto"/>
        </w:rPr>
        <w:t>参数/软件版本制作与发布检测要求如下：</w:t>
      </w:r>
    </w:p>
    <w:p>
      <w:pPr>
        <w:pStyle w:val="178"/>
        <w:numPr>
          <w:ilvl w:val="0"/>
          <w:numId w:val="464"/>
        </w:numPr>
        <w:rPr>
          <w:color w:val="auto"/>
        </w:rPr>
      </w:pPr>
      <w:r>
        <w:rPr>
          <w:rFonts w:hint="eastAsia"/>
          <w:color w:val="auto"/>
        </w:rPr>
        <w:t>检测内容应依据DB11/T 1164.1中中心系统功能中的参数/软件管理功能的要求逐项检测；</w:t>
      </w:r>
    </w:p>
    <w:p>
      <w:pPr>
        <w:pStyle w:val="178"/>
        <w:rPr>
          <w:color w:val="auto"/>
        </w:rPr>
      </w:pPr>
      <w:r>
        <w:rPr>
          <w:rFonts w:hint="eastAsia"/>
          <w:color w:val="auto"/>
        </w:rPr>
        <w:t>检测方法要求如下：</w:t>
      </w:r>
    </w:p>
    <w:p>
      <w:pPr>
        <w:pStyle w:val="113"/>
        <w:numPr>
          <w:ilvl w:val="1"/>
          <w:numId w:val="465"/>
        </w:numPr>
        <w:rPr>
          <w:color w:val="auto"/>
        </w:rPr>
      </w:pPr>
      <w:r>
        <w:rPr>
          <w:rFonts w:hint="eastAsia"/>
          <w:color w:val="auto"/>
        </w:rPr>
        <w:t>在受检中心系统上对参数/软件进行制作、发布的操作，观察受检中心系统的参数/软件的制作、发布处理应正确；</w:t>
      </w:r>
    </w:p>
    <w:p>
      <w:pPr>
        <w:pStyle w:val="113"/>
        <w:rPr>
          <w:color w:val="auto"/>
        </w:rPr>
      </w:pPr>
      <w:r>
        <w:rPr>
          <w:rFonts w:hint="eastAsia"/>
          <w:color w:val="auto"/>
        </w:rPr>
        <w:t>通过受检设备的记录检测受检中心系统参数/软件的发布处理应正确；</w:t>
      </w:r>
    </w:p>
    <w:p>
      <w:pPr>
        <w:pStyle w:val="113"/>
        <w:rPr>
          <w:color w:val="auto"/>
        </w:rPr>
      </w:pPr>
      <w:r>
        <w:rPr>
          <w:rFonts w:hint="eastAsia"/>
          <w:color w:val="auto"/>
        </w:rPr>
        <w:t>测试应覆盖DB11/T 1164.2 有关AFC系统内部参数中规定的所有参数。</w:t>
      </w:r>
    </w:p>
    <w:p>
      <w:pPr>
        <w:pStyle w:val="98"/>
        <w:spacing w:before="156" w:after="156"/>
        <w:rPr>
          <w:color w:val="auto"/>
        </w:rPr>
      </w:pPr>
      <w:r>
        <w:rPr>
          <w:rFonts w:hint="eastAsia"/>
          <w:color w:val="auto"/>
        </w:rPr>
        <w:t>参数/软件同步检测</w:t>
      </w:r>
    </w:p>
    <w:p>
      <w:pPr>
        <w:pStyle w:val="60"/>
        <w:ind w:firstLine="420"/>
        <w:rPr>
          <w:color w:val="auto"/>
        </w:rPr>
      </w:pPr>
      <w:r>
        <w:rPr>
          <w:rFonts w:hint="eastAsia"/>
          <w:color w:val="auto"/>
        </w:rPr>
        <w:t>参数/软件同步检测要求如下：</w:t>
      </w:r>
    </w:p>
    <w:p>
      <w:pPr>
        <w:pStyle w:val="178"/>
        <w:numPr>
          <w:ilvl w:val="0"/>
          <w:numId w:val="466"/>
        </w:numPr>
        <w:rPr>
          <w:color w:val="auto"/>
        </w:rPr>
      </w:pPr>
      <w:r>
        <w:rPr>
          <w:rFonts w:hint="eastAsia"/>
          <w:color w:val="auto"/>
        </w:rPr>
        <w:t>检测内容应依据DB11/T 1164.1中中心系统功能中的参数/软件管理功能的要求逐项检测；</w:t>
      </w:r>
    </w:p>
    <w:p>
      <w:pPr>
        <w:pStyle w:val="178"/>
        <w:rPr>
          <w:color w:val="auto"/>
        </w:rPr>
      </w:pPr>
      <w:r>
        <w:rPr>
          <w:rFonts w:hint="eastAsia"/>
          <w:color w:val="auto"/>
        </w:rPr>
        <w:t>检测方法要求如下：</w:t>
      </w:r>
    </w:p>
    <w:p>
      <w:pPr>
        <w:pStyle w:val="113"/>
        <w:numPr>
          <w:ilvl w:val="1"/>
          <w:numId w:val="467"/>
        </w:numPr>
        <w:rPr>
          <w:color w:val="auto"/>
        </w:rPr>
      </w:pPr>
      <w:r>
        <w:rPr>
          <w:rFonts w:hint="eastAsia"/>
          <w:color w:val="auto"/>
        </w:rPr>
        <w:t>使用仿真一卡通系统发送一卡通参数或手动上传一卡通和一票通处理参数至受检中心系统，观察受检中心系统的参数处理应正确；</w:t>
      </w:r>
    </w:p>
    <w:p>
      <w:pPr>
        <w:pStyle w:val="113"/>
        <w:rPr>
          <w:color w:val="auto"/>
        </w:rPr>
      </w:pPr>
      <w:r>
        <w:rPr>
          <w:rFonts w:hint="eastAsia"/>
          <w:color w:val="auto"/>
        </w:rPr>
        <w:t>在受检中心系统上执行参数/软件同步操作，通过受检设备的记录检测受检中心系统的处理应正确；</w:t>
      </w:r>
    </w:p>
    <w:p>
      <w:pPr>
        <w:pStyle w:val="113"/>
        <w:rPr>
          <w:color w:val="auto"/>
        </w:rPr>
      </w:pPr>
      <w:r>
        <w:rPr>
          <w:rFonts w:hint="eastAsia"/>
          <w:color w:val="auto"/>
        </w:rPr>
        <w:t>观察受检中心系统工作站上参数查询的处理应正确；</w:t>
      </w:r>
    </w:p>
    <w:p>
      <w:pPr>
        <w:pStyle w:val="113"/>
        <w:rPr>
          <w:color w:val="auto"/>
        </w:rPr>
      </w:pPr>
      <w:r>
        <w:rPr>
          <w:rFonts w:hint="eastAsia"/>
          <w:color w:val="auto"/>
        </w:rPr>
        <w:t>测试应覆盖DB11/T 1164.2 中规定的所有参数和程序。</w:t>
      </w:r>
    </w:p>
    <w:p>
      <w:pPr>
        <w:pStyle w:val="98"/>
        <w:spacing w:before="156" w:after="156"/>
        <w:rPr>
          <w:color w:val="auto"/>
        </w:rPr>
      </w:pPr>
      <w:r>
        <w:rPr>
          <w:rFonts w:hint="eastAsia"/>
          <w:color w:val="auto"/>
        </w:rPr>
        <w:t>参数/软件版本切换检测</w:t>
      </w:r>
    </w:p>
    <w:p>
      <w:pPr>
        <w:pStyle w:val="60"/>
        <w:ind w:firstLine="420"/>
        <w:rPr>
          <w:color w:val="auto"/>
        </w:rPr>
      </w:pPr>
      <w:r>
        <w:rPr>
          <w:rFonts w:hint="eastAsia"/>
          <w:color w:val="auto"/>
        </w:rPr>
        <w:t>参数/软件版本切换检测要求如下：</w:t>
      </w:r>
    </w:p>
    <w:p>
      <w:pPr>
        <w:pStyle w:val="178"/>
        <w:numPr>
          <w:ilvl w:val="0"/>
          <w:numId w:val="468"/>
        </w:numPr>
        <w:rPr>
          <w:color w:val="auto"/>
        </w:rPr>
      </w:pPr>
      <w:r>
        <w:rPr>
          <w:rFonts w:hint="eastAsia"/>
          <w:color w:val="auto"/>
        </w:rPr>
        <w:t>检测内容应依据DB11/T 1164.1中中心系统功能中的参数/软件管理功能的要求逐项检测；</w:t>
      </w:r>
    </w:p>
    <w:p>
      <w:pPr>
        <w:pStyle w:val="178"/>
        <w:rPr>
          <w:color w:val="auto"/>
        </w:rPr>
      </w:pPr>
      <w:r>
        <w:rPr>
          <w:rFonts w:hint="eastAsia"/>
          <w:color w:val="auto"/>
        </w:rPr>
        <w:t>检测方法要求如下：</w:t>
      </w:r>
    </w:p>
    <w:p>
      <w:pPr>
        <w:pStyle w:val="113"/>
        <w:numPr>
          <w:ilvl w:val="1"/>
          <w:numId w:val="469"/>
        </w:numPr>
        <w:rPr>
          <w:color w:val="auto"/>
        </w:rPr>
      </w:pPr>
      <w:r>
        <w:rPr>
          <w:rFonts w:hint="eastAsia"/>
          <w:color w:val="auto"/>
        </w:rPr>
        <w:t>观察受检中心系统的到达运营日切换时间后的参数/软件版本切换处理应正确；</w:t>
      </w:r>
    </w:p>
    <w:p>
      <w:pPr>
        <w:pStyle w:val="113"/>
        <w:rPr>
          <w:color w:val="auto"/>
        </w:rPr>
      </w:pPr>
      <w:r>
        <w:rPr>
          <w:rFonts w:hint="eastAsia"/>
          <w:color w:val="auto"/>
        </w:rPr>
        <w:t>通过受检设备的记录检测受检中心系统的处理应正确；</w:t>
      </w:r>
    </w:p>
    <w:p>
      <w:pPr>
        <w:pStyle w:val="113"/>
        <w:rPr>
          <w:color w:val="auto"/>
        </w:rPr>
      </w:pPr>
      <w:r>
        <w:rPr>
          <w:rFonts w:hint="eastAsia"/>
          <w:color w:val="auto"/>
        </w:rPr>
        <w:t>观察受检中心系统工作站上查询参数/软件版本切换报告的处理应正确；</w:t>
      </w:r>
    </w:p>
    <w:p>
      <w:pPr>
        <w:pStyle w:val="113"/>
        <w:rPr>
          <w:color w:val="auto"/>
        </w:rPr>
      </w:pPr>
      <w:r>
        <w:rPr>
          <w:rFonts w:hint="eastAsia"/>
          <w:color w:val="auto"/>
        </w:rPr>
        <w:t>检测应覆盖DB11/T 1164.2 定义的所有参数类型和程序类型。</w:t>
      </w:r>
    </w:p>
    <w:p>
      <w:pPr>
        <w:pStyle w:val="98"/>
        <w:spacing w:before="156" w:after="156"/>
        <w:rPr>
          <w:color w:val="auto"/>
        </w:rPr>
      </w:pPr>
      <w:r>
        <w:rPr>
          <w:rFonts w:hint="eastAsia"/>
          <w:color w:val="auto"/>
        </w:rPr>
        <w:t>参数/软件版本查询检测</w:t>
      </w:r>
    </w:p>
    <w:p>
      <w:pPr>
        <w:pStyle w:val="60"/>
        <w:ind w:firstLine="420"/>
        <w:rPr>
          <w:color w:val="auto"/>
        </w:rPr>
      </w:pPr>
      <w:r>
        <w:rPr>
          <w:rFonts w:hint="eastAsia"/>
          <w:color w:val="auto"/>
        </w:rPr>
        <w:t>参数/软件版本查询检测要求如下：</w:t>
      </w:r>
    </w:p>
    <w:p>
      <w:pPr>
        <w:pStyle w:val="178"/>
        <w:numPr>
          <w:ilvl w:val="0"/>
          <w:numId w:val="470"/>
        </w:numPr>
        <w:rPr>
          <w:color w:val="auto"/>
        </w:rPr>
      </w:pPr>
      <w:r>
        <w:rPr>
          <w:rFonts w:hint="eastAsia"/>
          <w:color w:val="auto"/>
        </w:rPr>
        <w:t>检测内容应依据DB11/T 1164.1中中心系统功能中的参数/软件管理功能的要求逐项检测；</w:t>
      </w:r>
    </w:p>
    <w:p>
      <w:pPr>
        <w:pStyle w:val="178"/>
        <w:rPr>
          <w:color w:val="auto"/>
        </w:rPr>
      </w:pPr>
      <w:r>
        <w:rPr>
          <w:rFonts w:hint="eastAsia"/>
          <w:color w:val="auto"/>
        </w:rPr>
        <w:t>检测方法为在受检中心系统的工作站操作界面上查询各车站、各终端所有参数的所有历史版本。</w:t>
      </w:r>
    </w:p>
    <w:p>
      <w:pPr>
        <w:pStyle w:val="98"/>
        <w:spacing w:before="156" w:after="156"/>
        <w:rPr>
          <w:color w:val="auto"/>
        </w:rPr>
      </w:pPr>
      <w:r>
        <w:rPr>
          <w:rFonts w:hint="eastAsia"/>
          <w:color w:val="auto"/>
        </w:rPr>
        <w:t>数据备份检测</w:t>
      </w:r>
    </w:p>
    <w:p>
      <w:pPr>
        <w:pStyle w:val="60"/>
        <w:ind w:firstLine="420"/>
        <w:rPr>
          <w:color w:val="auto"/>
        </w:rPr>
      </w:pPr>
      <w:r>
        <w:rPr>
          <w:rFonts w:hint="eastAsia"/>
          <w:color w:val="auto"/>
        </w:rPr>
        <w:t>数据备份检测要求如下：</w:t>
      </w:r>
    </w:p>
    <w:p>
      <w:pPr>
        <w:pStyle w:val="178"/>
        <w:numPr>
          <w:ilvl w:val="0"/>
          <w:numId w:val="471"/>
        </w:numPr>
        <w:rPr>
          <w:color w:val="auto"/>
        </w:rPr>
      </w:pPr>
      <w:r>
        <w:rPr>
          <w:rFonts w:hint="eastAsia"/>
          <w:color w:val="auto"/>
        </w:rPr>
        <w:t>检测内容应依据DB11/T 1164.1中中心系统功能中的数据备份功能的要求逐项检测；</w:t>
      </w:r>
    </w:p>
    <w:p>
      <w:pPr>
        <w:pStyle w:val="178"/>
        <w:rPr>
          <w:color w:val="auto"/>
        </w:rPr>
      </w:pPr>
      <w:r>
        <w:rPr>
          <w:rFonts w:hint="eastAsia"/>
          <w:color w:val="auto"/>
        </w:rPr>
        <w:t>检测方法要求如下：</w:t>
      </w:r>
    </w:p>
    <w:p>
      <w:pPr>
        <w:pStyle w:val="113"/>
        <w:numPr>
          <w:ilvl w:val="1"/>
          <w:numId w:val="472"/>
        </w:numPr>
        <w:rPr>
          <w:color w:val="auto"/>
        </w:rPr>
      </w:pPr>
      <w:r>
        <w:rPr>
          <w:rFonts w:hint="eastAsia"/>
          <w:color w:val="auto"/>
        </w:rPr>
        <w:t>在受检中心系统上进行运营结束操作，观察受检中心系统应将原始交易数据、业务数据、日志数据进行备份；</w:t>
      </w:r>
    </w:p>
    <w:p>
      <w:pPr>
        <w:pStyle w:val="113"/>
        <w:rPr>
          <w:color w:val="auto"/>
        </w:rPr>
      </w:pPr>
      <w:r>
        <w:rPr>
          <w:rFonts w:hint="eastAsia"/>
          <w:color w:val="auto"/>
        </w:rPr>
        <w:t>测试应覆盖DB11/T 1164.2：数据接口格式 所有需要备份的数据类型。</w:t>
      </w:r>
    </w:p>
    <w:p>
      <w:pPr>
        <w:pStyle w:val="98"/>
        <w:spacing w:before="156" w:after="156"/>
        <w:rPr>
          <w:color w:val="auto"/>
        </w:rPr>
      </w:pPr>
      <w:r>
        <w:rPr>
          <w:rFonts w:hint="eastAsia"/>
          <w:color w:val="auto"/>
        </w:rPr>
        <w:t>数据恢复检测</w:t>
      </w:r>
    </w:p>
    <w:p>
      <w:pPr>
        <w:pStyle w:val="60"/>
        <w:ind w:firstLine="420"/>
        <w:rPr>
          <w:color w:val="auto"/>
        </w:rPr>
      </w:pPr>
      <w:r>
        <w:rPr>
          <w:rFonts w:hint="eastAsia"/>
          <w:color w:val="auto"/>
        </w:rPr>
        <w:t>数据恢复检测要求如下：</w:t>
      </w:r>
    </w:p>
    <w:p>
      <w:pPr>
        <w:pStyle w:val="178"/>
        <w:numPr>
          <w:ilvl w:val="0"/>
          <w:numId w:val="473"/>
        </w:numPr>
        <w:rPr>
          <w:color w:val="auto"/>
        </w:rPr>
      </w:pPr>
      <w:r>
        <w:rPr>
          <w:rFonts w:hint="eastAsia"/>
          <w:color w:val="auto"/>
        </w:rPr>
        <w:t>检测内容应依据DB11/T 1164.1中中心系统功能中的数据恢复功能的要求逐项检测；</w:t>
      </w:r>
    </w:p>
    <w:p>
      <w:pPr>
        <w:pStyle w:val="178"/>
        <w:rPr>
          <w:color w:val="auto"/>
        </w:rPr>
      </w:pPr>
      <w:r>
        <w:rPr>
          <w:rFonts w:hint="eastAsia"/>
          <w:color w:val="auto"/>
        </w:rPr>
        <w:t>检测方法要求如下：</w:t>
      </w:r>
    </w:p>
    <w:p>
      <w:pPr>
        <w:pStyle w:val="113"/>
        <w:numPr>
          <w:ilvl w:val="1"/>
          <w:numId w:val="474"/>
        </w:numPr>
        <w:rPr>
          <w:color w:val="auto"/>
        </w:rPr>
      </w:pPr>
      <w:r>
        <w:rPr>
          <w:rFonts w:hint="eastAsia"/>
          <w:color w:val="auto"/>
        </w:rPr>
        <w:t>在受检中心系统删除指定日期的数据，使用备份数据进行恢复操作；</w:t>
      </w:r>
    </w:p>
    <w:p>
      <w:pPr>
        <w:pStyle w:val="113"/>
        <w:rPr>
          <w:color w:val="auto"/>
        </w:rPr>
      </w:pPr>
      <w:r>
        <w:rPr>
          <w:rFonts w:hint="eastAsia"/>
          <w:color w:val="auto"/>
        </w:rPr>
        <w:t>观察受检中心系统应正确恢复指定日期的数据；</w:t>
      </w:r>
    </w:p>
    <w:p>
      <w:pPr>
        <w:pStyle w:val="113"/>
        <w:rPr>
          <w:color w:val="auto"/>
        </w:rPr>
      </w:pPr>
      <w:r>
        <w:rPr>
          <w:rFonts w:hint="eastAsia"/>
          <w:color w:val="auto"/>
        </w:rPr>
        <w:t>检测应覆盖DB11/T 1164.2：数据接口格式 所有需要恢复的数据类型。</w:t>
      </w:r>
    </w:p>
    <w:p>
      <w:pPr>
        <w:pStyle w:val="98"/>
        <w:spacing w:before="156" w:after="156"/>
        <w:rPr>
          <w:color w:val="auto"/>
        </w:rPr>
      </w:pPr>
      <w:r>
        <w:rPr>
          <w:rFonts w:hint="eastAsia"/>
          <w:color w:val="auto"/>
        </w:rPr>
        <w:t>数据清理检测</w:t>
      </w:r>
    </w:p>
    <w:p>
      <w:pPr>
        <w:pStyle w:val="60"/>
        <w:ind w:firstLine="420"/>
        <w:rPr>
          <w:color w:val="auto"/>
        </w:rPr>
      </w:pPr>
      <w:r>
        <w:rPr>
          <w:rFonts w:hint="eastAsia"/>
          <w:color w:val="auto"/>
        </w:rPr>
        <w:t>数据清理检测要求如下：</w:t>
      </w:r>
    </w:p>
    <w:p>
      <w:pPr>
        <w:pStyle w:val="178"/>
        <w:numPr>
          <w:ilvl w:val="0"/>
          <w:numId w:val="475"/>
        </w:numPr>
        <w:rPr>
          <w:color w:val="auto"/>
        </w:rPr>
      </w:pPr>
      <w:r>
        <w:rPr>
          <w:rFonts w:hint="eastAsia"/>
          <w:color w:val="auto"/>
        </w:rPr>
        <w:t>检测内容应依据DB11/T 1164.1中中心系统功能中的数据清理功能的要求逐项检测；</w:t>
      </w:r>
    </w:p>
    <w:p>
      <w:pPr>
        <w:pStyle w:val="178"/>
        <w:rPr>
          <w:color w:val="auto"/>
        </w:rPr>
      </w:pPr>
      <w:r>
        <w:rPr>
          <w:rFonts w:hint="eastAsia"/>
          <w:color w:val="auto"/>
        </w:rPr>
        <w:t>检测方法要求如下:</w:t>
      </w:r>
    </w:p>
    <w:p>
      <w:pPr>
        <w:pStyle w:val="113"/>
        <w:numPr>
          <w:ilvl w:val="1"/>
          <w:numId w:val="476"/>
        </w:numPr>
        <w:rPr>
          <w:color w:val="auto"/>
        </w:rPr>
      </w:pPr>
      <w:r>
        <w:rPr>
          <w:rFonts w:hint="eastAsia"/>
          <w:color w:val="auto"/>
        </w:rPr>
        <w:t>使用受检设备向受检中心系统中导入超过保存期限的数据；</w:t>
      </w:r>
    </w:p>
    <w:p>
      <w:pPr>
        <w:pStyle w:val="113"/>
        <w:rPr>
          <w:color w:val="auto"/>
        </w:rPr>
      </w:pPr>
      <w:r>
        <w:rPr>
          <w:rFonts w:hint="eastAsia"/>
          <w:color w:val="auto"/>
        </w:rPr>
        <w:t>在受检中心系统上执行运营结束操作；</w:t>
      </w:r>
    </w:p>
    <w:p>
      <w:pPr>
        <w:pStyle w:val="113"/>
        <w:rPr>
          <w:color w:val="auto"/>
        </w:rPr>
      </w:pPr>
      <w:r>
        <w:rPr>
          <w:rFonts w:hint="eastAsia"/>
          <w:color w:val="auto"/>
        </w:rPr>
        <w:t>观察受检中心系统应清理超过保存期限的数据；</w:t>
      </w:r>
    </w:p>
    <w:p>
      <w:pPr>
        <w:pStyle w:val="113"/>
        <w:rPr>
          <w:color w:val="auto"/>
        </w:rPr>
      </w:pPr>
      <w:r>
        <w:rPr>
          <w:rFonts w:hint="eastAsia"/>
          <w:color w:val="auto"/>
        </w:rPr>
        <w:t>检测应覆盖DB11/T 1164.2：数据接口格式 所有需要清理的数据类型。</w:t>
      </w:r>
    </w:p>
    <w:p>
      <w:pPr>
        <w:pStyle w:val="98"/>
        <w:spacing w:before="156" w:after="156"/>
        <w:rPr>
          <w:color w:val="auto"/>
        </w:rPr>
      </w:pPr>
      <w:r>
        <w:rPr>
          <w:rFonts w:hint="eastAsia"/>
          <w:color w:val="auto"/>
        </w:rPr>
        <w:t>数据导入导出检测</w:t>
      </w:r>
    </w:p>
    <w:p>
      <w:pPr>
        <w:pStyle w:val="60"/>
        <w:ind w:firstLine="420"/>
        <w:rPr>
          <w:color w:val="auto"/>
        </w:rPr>
      </w:pPr>
      <w:r>
        <w:rPr>
          <w:rFonts w:hint="eastAsia"/>
          <w:color w:val="auto"/>
        </w:rPr>
        <w:t>数据导入导出检测要求如下：</w:t>
      </w:r>
    </w:p>
    <w:p>
      <w:pPr>
        <w:pStyle w:val="178"/>
        <w:numPr>
          <w:ilvl w:val="0"/>
          <w:numId w:val="477"/>
        </w:numPr>
        <w:rPr>
          <w:color w:val="auto"/>
        </w:rPr>
      </w:pPr>
      <w:r>
        <w:rPr>
          <w:rFonts w:hint="eastAsia"/>
          <w:color w:val="auto"/>
        </w:rPr>
        <w:t>检测内容应依据DB11/T 1164.1中中心系统功能中的导入导出功能的要求逐项检测；</w:t>
      </w:r>
    </w:p>
    <w:p>
      <w:pPr>
        <w:pStyle w:val="178"/>
        <w:rPr>
          <w:color w:val="auto"/>
        </w:rPr>
      </w:pPr>
      <w:r>
        <w:rPr>
          <w:rFonts w:hint="eastAsia"/>
          <w:color w:val="auto"/>
        </w:rPr>
        <w:t>参数数据导入检测方法要求如下：</w:t>
      </w:r>
    </w:p>
    <w:p>
      <w:pPr>
        <w:pStyle w:val="113"/>
        <w:numPr>
          <w:ilvl w:val="1"/>
          <w:numId w:val="478"/>
        </w:numPr>
        <w:rPr>
          <w:color w:val="auto"/>
        </w:rPr>
      </w:pPr>
      <w:r>
        <w:rPr>
          <w:rFonts w:hint="eastAsia"/>
          <w:color w:val="auto"/>
        </w:rPr>
        <w:t>在受检中心系统进行导出参数的操作；</w:t>
      </w:r>
    </w:p>
    <w:p>
      <w:pPr>
        <w:pStyle w:val="113"/>
        <w:rPr>
          <w:color w:val="auto"/>
        </w:rPr>
      </w:pPr>
      <w:r>
        <w:rPr>
          <w:rFonts w:hint="eastAsia"/>
          <w:color w:val="auto"/>
        </w:rPr>
        <w:t>在受检设备上执行参数数据导入操作，观察受检设备参数数据导入操作应正确；</w:t>
      </w:r>
    </w:p>
    <w:p>
      <w:pPr>
        <w:pStyle w:val="113"/>
        <w:rPr>
          <w:color w:val="auto"/>
        </w:rPr>
      </w:pPr>
      <w:r>
        <w:rPr>
          <w:rFonts w:hint="eastAsia"/>
          <w:color w:val="auto"/>
        </w:rPr>
        <w:t>在受检设备上执行相应的操作，验证参数数据的内容应正确；</w:t>
      </w:r>
    </w:p>
    <w:p>
      <w:pPr>
        <w:pStyle w:val="113"/>
        <w:rPr>
          <w:color w:val="auto"/>
        </w:rPr>
      </w:pPr>
      <w:r>
        <w:rPr>
          <w:rFonts w:hint="eastAsia"/>
          <w:color w:val="auto"/>
        </w:rPr>
        <w:t>检测应覆盖DB11/T 1164.2 定义的所有参数类型。</w:t>
      </w:r>
    </w:p>
    <w:p>
      <w:pPr>
        <w:pStyle w:val="178"/>
        <w:rPr>
          <w:color w:val="auto"/>
        </w:rPr>
      </w:pPr>
      <w:r>
        <w:rPr>
          <w:rFonts w:hint="eastAsia"/>
          <w:color w:val="auto"/>
        </w:rPr>
        <w:t>交易/业务/事件数据导入检测方法要求如下：</w:t>
      </w:r>
    </w:p>
    <w:p>
      <w:pPr>
        <w:pStyle w:val="113"/>
        <w:numPr>
          <w:ilvl w:val="1"/>
          <w:numId w:val="479"/>
        </w:numPr>
        <w:rPr>
          <w:color w:val="auto"/>
        </w:rPr>
      </w:pPr>
      <w:r>
        <w:rPr>
          <w:rFonts w:hint="eastAsia"/>
          <w:color w:val="auto"/>
        </w:rPr>
        <w:t>在受检设备进行导出交易/业务/事件的操作；</w:t>
      </w:r>
    </w:p>
    <w:p>
      <w:pPr>
        <w:pStyle w:val="113"/>
        <w:rPr>
          <w:color w:val="auto"/>
        </w:rPr>
      </w:pPr>
      <w:r>
        <w:rPr>
          <w:rFonts w:hint="eastAsia"/>
          <w:color w:val="auto"/>
        </w:rPr>
        <w:t>在受检中心系统上执行交易数据、业务数据、事件数据导入操作，观察受检中心系统的处理应正确；</w:t>
      </w:r>
    </w:p>
    <w:p>
      <w:pPr>
        <w:pStyle w:val="113"/>
        <w:rPr>
          <w:color w:val="auto"/>
        </w:rPr>
      </w:pPr>
      <w:r>
        <w:rPr>
          <w:rFonts w:hint="eastAsia"/>
          <w:color w:val="auto"/>
        </w:rPr>
        <w:t>检测受检中心系统上传的交易数据、业务数据、事件数据应正确；</w:t>
      </w:r>
    </w:p>
    <w:p>
      <w:pPr>
        <w:pStyle w:val="113"/>
        <w:rPr>
          <w:color w:val="auto"/>
        </w:rPr>
      </w:pPr>
      <w:r>
        <w:rPr>
          <w:rFonts w:hint="eastAsia"/>
          <w:color w:val="auto"/>
        </w:rPr>
        <w:t>检测应覆盖DB11/T 1164.2 定义的所有交易/业务/事件的数据类型。</w:t>
      </w:r>
    </w:p>
    <w:p>
      <w:pPr>
        <w:pStyle w:val="178"/>
        <w:rPr>
          <w:color w:val="auto"/>
        </w:rPr>
      </w:pPr>
      <w:r>
        <w:rPr>
          <w:rFonts w:hint="eastAsia"/>
          <w:color w:val="auto"/>
        </w:rPr>
        <w:t>参数数据导出检测方法为在受检中心系统上导出参数数据，并导入到受检设备上，通过受检设备的处理检测受检中心系统导出的参数数据应正确；</w:t>
      </w:r>
    </w:p>
    <w:p>
      <w:pPr>
        <w:pStyle w:val="178"/>
        <w:rPr>
          <w:color w:val="auto"/>
        </w:rPr>
      </w:pPr>
      <w:r>
        <w:rPr>
          <w:rFonts w:hint="eastAsia"/>
          <w:color w:val="auto"/>
        </w:rPr>
        <w:t>交易/业务/事件数据导出检测方法要求如下：</w:t>
      </w:r>
    </w:p>
    <w:p>
      <w:pPr>
        <w:pStyle w:val="113"/>
        <w:numPr>
          <w:ilvl w:val="1"/>
          <w:numId w:val="480"/>
        </w:numPr>
        <w:rPr>
          <w:color w:val="auto"/>
        </w:rPr>
      </w:pPr>
      <w:r>
        <w:rPr>
          <w:rFonts w:hint="eastAsia"/>
          <w:color w:val="auto"/>
        </w:rPr>
        <w:t>在受检设备上导出交易数据、业务数据、事件数据，导入到受检中心系统，通过受检中心系统的处理检测受检设备导出的数据应正确；</w:t>
      </w:r>
    </w:p>
    <w:p>
      <w:pPr>
        <w:pStyle w:val="113"/>
        <w:rPr>
          <w:color w:val="auto"/>
        </w:rPr>
      </w:pPr>
      <w:r>
        <w:rPr>
          <w:rFonts w:hint="eastAsia"/>
          <w:color w:val="auto"/>
        </w:rPr>
        <w:t>检测应覆盖DB11/T 1164.2 定义的所有参数类型。</w:t>
      </w:r>
    </w:p>
    <w:p>
      <w:pPr>
        <w:pStyle w:val="98"/>
        <w:spacing w:before="156" w:after="156"/>
        <w:rPr>
          <w:color w:val="auto"/>
        </w:rPr>
      </w:pPr>
      <w:r>
        <w:rPr>
          <w:rFonts w:hint="eastAsia"/>
          <w:color w:val="auto"/>
        </w:rPr>
        <w:t>钱箱管理检测</w:t>
      </w:r>
    </w:p>
    <w:p>
      <w:pPr>
        <w:pStyle w:val="60"/>
        <w:ind w:firstLine="420"/>
        <w:rPr>
          <w:color w:val="auto"/>
        </w:rPr>
      </w:pPr>
      <w:r>
        <w:rPr>
          <w:rFonts w:hint="eastAsia"/>
          <w:color w:val="auto"/>
        </w:rPr>
        <w:t>钱箱管理检测要求如下：</w:t>
      </w:r>
    </w:p>
    <w:p>
      <w:pPr>
        <w:pStyle w:val="178"/>
        <w:numPr>
          <w:ilvl w:val="0"/>
          <w:numId w:val="481"/>
        </w:numPr>
        <w:rPr>
          <w:color w:val="auto"/>
        </w:rPr>
      </w:pPr>
      <w:r>
        <w:rPr>
          <w:rFonts w:hint="eastAsia"/>
          <w:color w:val="auto"/>
        </w:rPr>
        <w:t>检测内容应依据DB11/T 1164.1中中心系统功能中的钱箱管理功能的要求逐项检测；</w:t>
      </w:r>
    </w:p>
    <w:p>
      <w:pPr>
        <w:pStyle w:val="178"/>
        <w:rPr>
          <w:color w:val="auto"/>
        </w:rPr>
      </w:pPr>
      <w:r>
        <w:rPr>
          <w:rFonts w:hint="eastAsia"/>
          <w:color w:val="auto"/>
        </w:rPr>
        <w:t>检测方法要求如下：</w:t>
      </w:r>
    </w:p>
    <w:p>
      <w:pPr>
        <w:pStyle w:val="113"/>
        <w:numPr>
          <w:ilvl w:val="1"/>
          <w:numId w:val="482"/>
        </w:numPr>
        <w:rPr>
          <w:color w:val="auto"/>
        </w:rPr>
      </w:pPr>
      <w:r>
        <w:rPr>
          <w:rFonts w:hint="eastAsia"/>
          <w:color w:val="auto"/>
        </w:rPr>
        <w:t>在受检中心系统分别执行钱箱登记、钱箱领用、钱箱归还、钱箱清点等操作，观察受检中心系统对钱箱管理相关操作的处理情况；</w:t>
      </w:r>
    </w:p>
    <w:p>
      <w:pPr>
        <w:pStyle w:val="113"/>
        <w:rPr>
          <w:color w:val="auto"/>
        </w:rPr>
      </w:pPr>
      <w:r>
        <w:rPr>
          <w:rFonts w:hint="eastAsia"/>
          <w:color w:val="auto"/>
        </w:rPr>
        <w:t>通过受检设备的记录检测受检中心系统上传的钱箱管理相关数据应正确。</w:t>
      </w:r>
    </w:p>
    <w:p>
      <w:pPr>
        <w:pStyle w:val="98"/>
        <w:spacing w:before="156" w:after="156"/>
        <w:rPr>
          <w:color w:val="auto"/>
        </w:rPr>
      </w:pPr>
      <w:r>
        <w:rPr>
          <w:rFonts w:hint="eastAsia"/>
          <w:color w:val="auto"/>
        </w:rPr>
        <w:t>票箱管理检测</w:t>
      </w:r>
    </w:p>
    <w:p>
      <w:pPr>
        <w:pStyle w:val="60"/>
        <w:ind w:firstLine="420"/>
        <w:rPr>
          <w:color w:val="auto"/>
        </w:rPr>
      </w:pPr>
      <w:r>
        <w:rPr>
          <w:rFonts w:hint="eastAsia"/>
          <w:color w:val="auto"/>
        </w:rPr>
        <w:t>票箱管理检测要求如下：</w:t>
      </w:r>
    </w:p>
    <w:p>
      <w:pPr>
        <w:pStyle w:val="178"/>
        <w:numPr>
          <w:ilvl w:val="0"/>
          <w:numId w:val="483"/>
        </w:numPr>
        <w:rPr>
          <w:color w:val="auto"/>
        </w:rPr>
      </w:pPr>
      <w:r>
        <w:rPr>
          <w:rFonts w:hint="eastAsia"/>
          <w:color w:val="auto"/>
        </w:rPr>
        <w:t>检测内容应依据DB11/T 1164.1中中心系统功能中的票箱管理功能的要求逐项检测，检测受检中心系统应符合DB11/T 1164.2：数据接口格式 有关票箱登记功能的规定；</w:t>
      </w:r>
    </w:p>
    <w:p>
      <w:pPr>
        <w:pStyle w:val="178"/>
        <w:rPr>
          <w:color w:val="auto"/>
        </w:rPr>
      </w:pPr>
      <w:r>
        <w:rPr>
          <w:rFonts w:hint="eastAsia"/>
          <w:color w:val="auto"/>
        </w:rPr>
        <w:t>检测方法要求如下：</w:t>
      </w:r>
    </w:p>
    <w:p>
      <w:pPr>
        <w:pStyle w:val="113"/>
        <w:numPr>
          <w:ilvl w:val="1"/>
          <w:numId w:val="484"/>
        </w:numPr>
        <w:rPr>
          <w:color w:val="auto"/>
        </w:rPr>
      </w:pPr>
      <w:r>
        <w:rPr>
          <w:rFonts w:hint="eastAsia"/>
          <w:color w:val="auto"/>
        </w:rPr>
        <w:t>在受检中心系统分别执行票箱登记、票箱领用、票箱归还、票箱清点等操作，观察受检中心系统对票箱管理相关操作的处理情况；</w:t>
      </w:r>
    </w:p>
    <w:p>
      <w:pPr>
        <w:pStyle w:val="113"/>
        <w:rPr>
          <w:color w:val="auto"/>
        </w:rPr>
      </w:pPr>
      <w:r>
        <w:rPr>
          <w:rFonts w:hint="eastAsia"/>
          <w:color w:val="auto"/>
        </w:rPr>
        <w:t>通过受检设备的记录检测受检中心系统上传的票箱管理相关数据应正确。</w:t>
      </w:r>
    </w:p>
    <w:p>
      <w:pPr>
        <w:pStyle w:val="98"/>
        <w:spacing w:before="156" w:after="156"/>
        <w:rPr>
          <w:color w:val="auto"/>
        </w:rPr>
      </w:pPr>
      <w:r>
        <w:rPr>
          <w:rFonts w:hint="eastAsia"/>
          <w:color w:val="auto"/>
        </w:rPr>
        <w:t>票卡库存管理检测</w:t>
      </w:r>
    </w:p>
    <w:p>
      <w:pPr>
        <w:pStyle w:val="60"/>
        <w:ind w:firstLine="420"/>
        <w:rPr>
          <w:color w:val="auto"/>
        </w:rPr>
      </w:pPr>
      <w:r>
        <w:rPr>
          <w:rFonts w:hint="eastAsia"/>
          <w:color w:val="auto"/>
        </w:rPr>
        <w:t>票卡库存管理检测要求如下：</w:t>
      </w:r>
    </w:p>
    <w:p>
      <w:pPr>
        <w:pStyle w:val="178"/>
        <w:numPr>
          <w:ilvl w:val="0"/>
          <w:numId w:val="485"/>
        </w:numPr>
        <w:rPr>
          <w:color w:val="auto"/>
        </w:rPr>
      </w:pPr>
      <w:r>
        <w:rPr>
          <w:rFonts w:hint="eastAsia"/>
          <w:color w:val="auto"/>
        </w:rPr>
        <w:t>检测内容应依据DB11/T 1164.1中中心系统功能中的票卡库存管理功能的要求逐项检测；</w:t>
      </w:r>
    </w:p>
    <w:p>
      <w:pPr>
        <w:pStyle w:val="178"/>
        <w:rPr>
          <w:color w:val="auto"/>
        </w:rPr>
      </w:pPr>
      <w:r>
        <w:rPr>
          <w:rFonts w:hint="eastAsia"/>
          <w:color w:val="auto"/>
        </w:rPr>
        <w:t>检测方法要求如下：</w:t>
      </w:r>
    </w:p>
    <w:p>
      <w:pPr>
        <w:pStyle w:val="113"/>
        <w:numPr>
          <w:ilvl w:val="1"/>
          <w:numId w:val="486"/>
        </w:numPr>
        <w:rPr>
          <w:color w:val="auto"/>
        </w:rPr>
      </w:pPr>
      <w:r>
        <w:rPr>
          <w:rFonts w:hint="eastAsia"/>
          <w:color w:val="auto"/>
        </w:rPr>
        <w:t>在受检中心系统上对票卡库存管理相关参数进行编辑、发布，观察受检中心系统的票卡库存处理应正确；</w:t>
      </w:r>
    </w:p>
    <w:p>
      <w:pPr>
        <w:pStyle w:val="113"/>
        <w:rPr>
          <w:color w:val="auto"/>
        </w:rPr>
      </w:pPr>
      <w:r>
        <w:rPr>
          <w:rFonts w:hint="eastAsia"/>
          <w:color w:val="auto"/>
        </w:rPr>
        <w:t>在受检中心系统上进行库存调整操作，观察受检中心系统的票卡库存处理应正确；</w:t>
      </w:r>
    </w:p>
    <w:p>
      <w:pPr>
        <w:pStyle w:val="113"/>
        <w:rPr>
          <w:color w:val="auto"/>
        </w:rPr>
      </w:pPr>
      <w:r>
        <w:rPr>
          <w:rFonts w:hint="eastAsia"/>
          <w:color w:val="auto"/>
        </w:rPr>
        <w:t>通过受检设备的记录检测受检中心系统上传的库存调整数据应正确；</w:t>
      </w:r>
    </w:p>
    <w:p>
      <w:pPr>
        <w:pStyle w:val="113"/>
        <w:rPr>
          <w:color w:val="auto"/>
        </w:rPr>
      </w:pPr>
      <w:r>
        <w:rPr>
          <w:rFonts w:hint="eastAsia"/>
          <w:color w:val="auto"/>
        </w:rPr>
        <w:t>使用受检设备上传交易数据，观察受检中心系统的票卡库存处理应正确；</w:t>
      </w:r>
    </w:p>
    <w:p>
      <w:pPr>
        <w:pStyle w:val="113"/>
        <w:rPr>
          <w:color w:val="auto"/>
        </w:rPr>
      </w:pPr>
      <w:r>
        <w:rPr>
          <w:rFonts w:hint="eastAsia"/>
          <w:color w:val="auto"/>
        </w:rPr>
        <w:t>观察受检中心系统工作站上票卡库存数据的处理应正确；</w:t>
      </w:r>
    </w:p>
    <w:p>
      <w:pPr>
        <w:pStyle w:val="113"/>
        <w:rPr>
          <w:color w:val="auto"/>
        </w:rPr>
      </w:pPr>
      <w:r>
        <w:rPr>
          <w:rFonts w:hint="eastAsia"/>
          <w:color w:val="auto"/>
        </w:rPr>
        <w:t>检测应覆盖DB11/T 1164.2：数据接口格式 定义的所有车票类型。</w:t>
      </w:r>
    </w:p>
    <w:p>
      <w:pPr>
        <w:pStyle w:val="98"/>
        <w:spacing w:before="156" w:after="156"/>
        <w:rPr>
          <w:color w:val="auto"/>
        </w:rPr>
      </w:pPr>
      <w:r>
        <w:rPr>
          <w:rFonts w:hint="eastAsia"/>
          <w:color w:val="auto"/>
        </w:rPr>
        <w:t>票卡调配管理检测</w:t>
      </w:r>
    </w:p>
    <w:p>
      <w:pPr>
        <w:pStyle w:val="60"/>
        <w:ind w:firstLine="420"/>
        <w:rPr>
          <w:color w:val="auto"/>
        </w:rPr>
      </w:pPr>
      <w:r>
        <w:rPr>
          <w:rFonts w:hint="eastAsia"/>
          <w:color w:val="auto"/>
        </w:rPr>
        <w:t>票卡调配管理检测要求如下：</w:t>
      </w:r>
    </w:p>
    <w:p>
      <w:pPr>
        <w:pStyle w:val="178"/>
        <w:numPr>
          <w:ilvl w:val="0"/>
          <w:numId w:val="487"/>
        </w:numPr>
        <w:rPr>
          <w:color w:val="auto"/>
        </w:rPr>
      </w:pPr>
      <w:r>
        <w:rPr>
          <w:rFonts w:hint="eastAsia"/>
          <w:color w:val="auto"/>
        </w:rPr>
        <w:t>检测内容应依据DB11/T 1164.1中中心系统功能中的票卡调配管理功能的要求逐项检测；</w:t>
      </w:r>
    </w:p>
    <w:p>
      <w:pPr>
        <w:pStyle w:val="178"/>
        <w:rPr>
          <w:color w:val="auto"/>
        </w:rPr>
      </w:pPr>
      <w:r>
        <w:rPr>
          <w:rFonts w:hint="eastAsia"/>
          <w:color w:val="auto"/>
        </w:rPr>
        <w:t>检测方法要求如下：</w:t>
      </w:r>
    </w:p>
    <w:p>
      <w:pPr>
        <w:pStyle w:val="113"/>
        <w:numPr>
          <w:ilvl w:val="1"/>
          <w:numId w:val="488"/>
        </w:numPr>
        <w:rPr>
          <w:color w:val="auto"/>
        </w:rPr>
      </w:pPr>
      <w:r>
        <w:rPr>
          <w:rFonts w:hint="eastAsia"/>
          <w:color w:val="auto"/>
        </w:rPr>
        <w:t>在受检中心系统执行票卡调入/调出命令及票卡调入/调出反馈操作，观察受检中心系统对票卡调配管理相关操作的处理情况应正确；</w:t>
      </w:r>
    </w:p>
    <w:p>
      <w:pPr>
        <w:pStyle w:val="113"/>
        <w:rPr>
          <w:color w:val="auto"/>
        </w:rPr>
      </w:pPr>
      <w:r>
        <w:rPr>
          <w:rFonts w:hint="eastAsia"/>
          <w:color w:val="auto"/>
        </w:rPr>
        <w:t>检测受检中心系统下发的票卡调配管理相关数据应正确；</w:t>
      </w:r>
    </w:p>
    <w:p>
      <w:pPr>
        <w:pStyle w:val="113"/>
        <w:rPr>
          <w:color w:val="auto"/>
        </w:rPr>
      </w:pPr>
      <w:r>
        <w:rPr>
          <w:rFonts w:hint="eastAsia"/>
          <w:color w:val="auto"/>
        </w:rPr>
        <w:t>观察受检中心系统工作站上票卡调配相关信息的处理应正确；</w:t>
      </w:r>
    </w:p>
    <w:p>
      <w:pPr>
        <w:pStyle w:val="113"/>
        <w:rPr>
          <w:color w:val="auto"/>
        </w:rPr>
      </w:pPr>
      <w:r>
        <w:rPr>
          <w:rFonts w:hint="eastAsia"/>
          <w:color w:val="auto"/>
        </w:rPr>
        <w:t>检测应覆盖DB11/T 1164.2：数据接口格式 定义的所有车票类型。</w:t>
      </w:r>
    </w:p>
    <w:p>
      <w:pPr>
        <w:pStyle w:val="98"/>
        <w:spacing w:before="156" w:after="156"/>
        <w:rPr>
          <w:color w:val="auto"/>
        </w:rPr>
      </w:pPr>
      <w:r>
        <w:rPr>
          <w:rFonts w:hint="eastAsia"/>
          <w:color w:val="auto"/>
        </w:rPr>
        <w:t>PCA管理检测</w:t>
      </w:r>
    </w:p>
    <w:p>
      <w:pPr>
        <w:pStyle w:val="60"/>
        <w:ind w:firstLine="420"/>
        <w:rPr>
          <w:color w:val="auto"/>
        </w:rPr>
      </w:pPr>
      <w:r>
        <w:rPr>
          <w:rFonts w:hint="eastAsia"/>
          <w:color w:val="auto"/>
        </w:rPr>
        <w:t>PCA管理检测要求如下：</w:t>
      </w:r>
    </w:p>
    <w:p>
      <w:pPr>
        <w:pStyle w:val="178"/>
        <w:numPr>
          <w:ilvl w:val="0"/>
          <w:numId w:val="489"/>
        </w:numPr>
        <w:rPr>
          <w:color w:val="auto"/>
        </w:rPr>
      </w:pPr>
      <w:r>
        <w:rPr>
          <w:rFonts w:hint="eastAsia"/>
          <w:color w:val="auto"/>
        </w:rPr>
        <w:t>检测内容应依据DB11/T 1164.1中中心系统功能中的PCA管理功能的要求逐项检测；</w:t>
      </w:r>
    </w:p>
    <w:p>
      <w:pPr>
        <w:pStyle w:val="178"/>
        <w:rPr>
          <w:color w:val="auto"/>
        </w:rPr>
      </w:pPr>
      <w:r>
        <w:rPr>
          <w:rFonts w:hint="eastAsia"/>
          <w:color w:val="auto"/>
        </w:rPr>
        <w:t>检测方法要求如下：</w:t>
      </w:r>
    </w:p>
    <w:p>
      <w:pPr>
        <w:pStyle w:val="113"/>
        <w:numPr>
          <w:ilvl w:val="1"/>
          <w:numId w:val="490"/>
        </w:numPr>
        <w:rPr>
          <w:color w:val="auto"/>
        </w:rPr>
      </w:pPr>
      <w:r>
        <w:rPr>
          <w:rFonts w:hint="eastAsia"/>
          <w:color w:val="auto"/>
        </w:rPr>
        <w:t>在受检中心系统上对PCA进行注册、注销、领用、归还、数据采集等操作，观察受检中心系统对PCA管理的相关处理应正确；</w:t>
      </w:r>
    </w:p>
    <w:p>
      <w:pPr>
        <w:pStyle w:val="113"/>
        <w:rPr>
          <w:color w:val="auto"/>
        </w:rPr>
      </w:pPr>
      <w:r>
        <w:rPr>
          <w:rFonts w:hint="eastAsia"/>
          <w:color w:val="auto"/>
        </w:rPr>
        <w:t>检测受检中心系统上的PCA管理相关的数据应正确；</w:t>
      </w:r>
    </w:p>
    <w:p>
      <w:pPr>
        <w:pStyle w:val="113"/>
        <w:rPr>
          <w:color w:val="auto"/>
        </w:rPr>
      </w:pPr>
      <w:r>
        <w:rPr>
          <w:rFonts w:hint="eastAsia"/>
          <w:color w:val="auto"/>
        </w:rPr>
        <w:t>使用PCA设备上传交易数据至受检中心系统，通过受检设备的记录检测受检中心系统上的交易数据应正确。</w:t>
      </w:r>
    </w:p>
    <w:p>
      <w:pPr>
        <w:pStyle w:val="98"/>
        <w:spacing w:before="156" w:after="156"/>
        <w:rPr>
          <w:color w:val="auto"/>
        </w:rPr>
      </w:pPr>
      <w:r>
        <w:rPr>
          <w:rFonts w:hint="eastAsia"/>
          <w:color w:val="auto"/>
        </w:rPr>
        <w:t>权限管理检测</w:t>
      </w:r>
    </w:p>
    <w:p>
      <w:pPr>
        <w:pStyle w:val="60"/>
        <w:ind w:firstLine="420"/>
        <w:rPr>
          <w:color w:val="auto"/>
        </w:rPr>
      </w:pPr>
      <w:r>
        <w:rPr>
          <w:rFonts w:hint="eastAsia"/>
          <w:color w:val="auto"/>
        </w:rPr>
        <w:t>权限管理检测要求如下：</w:t>
      </w:r>
    </w:p>
    <w:p>
      <w:pPr>
        <w:pStyle w:val="178"/>
        <w:numPr>
          <w:ilvl w:val="0"/>
          <w:numId w:val="491"/>
        </w:numPr>
        <w:rPr>
          <w:color w:val="auto"/>
        </w:rPr>
      </w:pPr>
      <w:r>
        <w:rPr>
          <w:rFonts w:hint="eastAsia"/>
          <w:color w:val="auto"/>
        </w:rPr>
        <w:t>检测内容应依据DB11/T 1164.1中中心系统功能中的权限管理功能的要求逐项检测；</w:t>
      </w:r>
    </w:p>
    <w:p>
      <w:pPr>
        <w:pStyle w:val="178"/>
        <w:rPr>
          <w:color w:val="auto"/>
        </w:rPr>
      </w:pPr>
      <w:r>
        <w:rPr>
          <w:rFonts w:hint="eastAsia"/>
          <w:color w:val="auto"/>
        </w:rPr>
        <w:t>检测方法要求如下：</w:t>
      </w:r>
    </w:p>
    <w:p>
      <w:pPr>
        <w:pStyle w:val="113"/>
        <w:numPr>
          <w:ilvl w:val="1"/>
          <w:numId w:val="492"/>
        </w:numPr>
        <w:rPr>
          <w:color w:val="auto"/>
        </w:rPr>
      </w:pPr>
      <w:r>
        <w:rPr>
          <w:rFonts w:hint="eastAsia"/>
          <w:color w:val="auto"/>
        </w:rPr>
        <w:t>在受检中心系统上对操作员信息、操作员密码、角色、系统/设备功能、操作员与角色、操作员与工作场所、角色与功能进行编辑、发布操作，观察受检中心系统的权限处理应正确；</w:t>
      </w:r>
    </w:p>
    <w:p>
      <w:pPr>
        <w:pStyle w:val="113"/>
        <w:rPr>
          <w:color w:val="auto"/>
        </w:rPr>
      </w:pPr>
      <w:r>
        <w:rPr>
          <w:rFonts w:hint="eastAsia"/>
          <w:color w:val="auto"/>
        </w:rPr>
        <w:t>以不同的操作员用户ID和密码分别尝试登录仿真中心系统、仿真终端及受检中心系统，检测受检中心系统编辑的权限管理相关数据应正确；</w:t>
      </w:r>
    </w:p>
    <w:p>
      <w:pPr>
        <w:pStyle w:val="113"/>
        <w:rPr>
          <w:color w:val="auto"/>
        </w:rPr>
      </w:pPr>
      <w:r>
        <w:rPr>
          <w:rFonts w:hint="eastAsia"/>
          <w:color w:val="auto"/>
        </w:rPr>
        <w:t>在受检中心系统上进行操作员解锁操作，观察受检中心系统对操作员解锁业务的处理应正确；</w:t>
      </w:r>
    </w:p>
    <w:p>
      <w:pPr>
        <w:pStyle w:val="113"/>
        <w:rPr>
          <w:color w:val="auto"/>
        </w:rPr>
      </w:pPr>
      <w:r>
        <w:rPr>
          <w:rFonts w:hint="eastAsia"/>
          <w:color w:val="auto"/>
        </w:rPr>
        <w:t>在受检中心系统上进行操作员密码修改操作，观察受检中心系统对操作员密码修改业务的处理应正确；</w:t>
      </w:r>
    </w:p>
    <w:p>
      <w:pPr>
        <w:pStyle w:val="113"/>
        <w:rPr>
          <w:color w:val="auto"/>
        </w:rPr>
      </w:pPr>
      <w:r>
        <w:rPr>
          <w:rFonts w:hint="eastAsia"/>
          <w:color w:val="auto"/>
        </w:rPr>
        <w:t>通过登出仿真中心系统、仿真终端及受检中心系统检测受检中心系统对操作员登出业务的处理应正确。</w:t>
      </w:r>
    </w:p>
    <w:p>
      <w:pPr>
        <w:pStyle w:val="98"/>
        <w:spacing w:before="156" w:after="156"/>
        <w:rPr>
          <w:color w:val="auto"/>
        </w:rPr>
      </w:pPr>
      <w:r>
        <w:rPr>
          <w:rFonts w:hint="eastAsia"/>
          <w:color w:val="auto"/>
        </w:rPr>
        <w:t>站区管理检测</w:t>
      </w:r>
    </w:p>
    <w:p>
      <w:pPr>
        <w:pStyle w:val="60"/>
        <w:ind w:firstLine="420"/>
        <w:rPr>
          <w:color w:val="auto"/>
        </w:rPr>
      </w:pPr>
      <w:r>
        <w:rPr>
          <w:rFonts w:hint="eastAsia"/>
          <w:color w:val="auto"/>
        </w:rPr>
        <w:t>站区管理检测要求如下：</w:t>
      </w:r>
    </w:p>
    <w:p>
      <w:pPr>
        <w:pStyle w:val="178"/>
        <w:numPr>
          <w:ilvl w:val="0"/>
          <w:numId w:val="493"/>
        </w:numPr>
        <w:rPr>
          <w:color w:val="auto"/>
        </w:rPr>
      </w:pPr>
      <w:r>
        <w:rPr>
          <w:rFonts w:hint="eastAsia"/>
          <w:color w:val="auto"/>
        </w:rPr>
        <w:t>检测内容应依据DB11/T 1164.1中中心系统功能中的站区管理功能的要求逐项检测；</w:t>
      </w:r>
    </w:p>
    <w:p>
      <w:pPr>
        <w:pStyle w:val="178"/>
        <w:rPr>
          <w:color w:val="auto"/>
        </w:rPr>
      </w:pPr>
      <w:r>
        <w:rPr>
          <w:rFonts w:hint="eastAsia"/>
          <w:color w:val="auto"/>
        </w:rPr>
        <w:t>检测方法要求如下：</w:t>
      </w:r>
    </w:p>
    <w:p>
      <w:pPr>
        <w:pStyle w:val="113"/>
        <w:numPr>
          <w:ilvl w:val="1"/>
          <w:numId w:val="494"/>
        </w:numPr>
        <w:rPr>
          <w:color w:val="auto"/>
        </w:rPr>
      </w:pPr>
      <w:r>
        <w:rPr>
          <w:rFonts w:hint="eastAsia"/>
          <w:color w:val="auto"/>
        </w:rPr>
        <w:t xml:space="preserve">在受检中心系统上进行站区信息编辑，观察受检中心系统的站区管理处理应正确； </w:t>
      </w:r>
    </w:p>
    <w:p>
      <w:pPr>
        <w:pStyle w:val="113"/>
        <w:rPr>
          <w:color w:val="auto"/>
        </w:rPr>
      </w:pPr>
      <w:r>
        <w:rPr>
          <w:rFonts w:hint="eastAsia"/>
          <w:color w:val="auto"/>
        </w:rPr>
        <w:t>使用仿真中心系统上传站区管辖站的终端状态、客流数据和票卡库存数据至受检中心系统；</w:t>
      </w:r>
    </w:p>
    <w:p>
      <w:pPr>
        <w:pStyle w:val="113"/>
        <w:rPr>
          <w:color w:val="auto"/>
        </w:rPr>
      </w:pPr>
      <w:r>
        <w:rPr>
          <w:rFonts w:hint="eastAsia"/>
          <w:color w:val="auto"/>
        </w:rPr>
        <w:t>在受检中心系统上应观察到站区管辖站的设备状态、客流信息、票卡库存信息数据的处理应正确；</w:t>
      </w:r>
    </w:p>
    <w:p>
      <w:pPr>
        <w:pStyle w:val="113"/>
        <w:rPr>
          <w:color w:val="auto"/>
        </w:rPr>
      </w:pPr>
      <w:r>
        <w:rPr>
          <w:rFonts w:hint="eastAsia"/>
          <w:color w:val="auto"/>
        </w:rPr>
        <w:t>观察受检中心系统工作站上的站区设备状态、站区客流信息、站区票卡库存信息数据的处理应正确。</w:t>
      </w:r>
    </w:p>
    <w:p>
      <w:pPr>
        <w:pStyle w:val="98"/>
        <w:spacing w:before="156" w:after="156"/>
        <w:rPr>
          <w:color w:val="auto"/>
        </w:rPr>
      </w:pPr>
      <w:r>
        <w:rPr>
          <w:rFonts w:hint="eastAsia"/>
          <w:color w:val="auto"/>
        </w:rPr>
        <w:t>历史数据管理检测</w:t>
      </w:r>
    </w:p>
    <w:p>
      <w:pPr>
        <w:pStyle w:val="60"/>
        <w:ind w:firstLine="420"/>
        <w:rPr>
          <w:color w:val="auto"/>
        </w:rPr>
      </w:pPr>
      <w:r>
        <w:rPr>
          <w:rFonts w:hint="eastAsia"/>
          <w:color w:val="auto"/>
        </w:rPr>
        <w:t>历史数据管理检测要求如下：</w:t>
      </w:r>
    </w:p>
    <w:p>
      <w:pPr>
        <w:pStyle w:val="178"/>
        <w:numPr>
          <w:ilvl w:val="0"/>
          <w:numId w:val="495"/>
        </w:numPr>
        <w:rPr>
          <w:color w:val="auto"/>
        </w:rPr>
      </w:pPr>
      <w:r>
        <w:rPr>
          <w:rFonts w:hint="eastAsia"/>
          <w:color w:val="auto"/>
        </w:rPr>
        <w:t>检测内容应依据DB11/T 1164.1中中心系统功能中的历史数据管理功能的要求逐项检测；</w:t>
      </w:r>
    </w:p>
    <w:p>
      <w:pPr>
        <w:pStyle w:val="178"/>
        <w:rPr>
          <w:color w:val="auto"/>
        </w:rPr>
      </w:pPr>
      <w:r>
        <w:rPr>
          <w:rFonts w:hint="eastAsia"/>
          <w:color w:val="auto"/>
        </w:rPr>
        <w:t>检测方法为在受检中心系统上进行历史数据导入及相关年同比、月同比、当前数据同期比较、历史数据同期比较等查询操作，观察受检中心系统对历史数据的处理应满足DB11/T 1164.1中历史数据管理业务的要求。</w:t>
      </w:r>
    </w:p>
    <w:p>
      <w:pPr>
        <w:pStyle w:val="98"/>
        <w:spacing w:before="156" w:after="156"/>
        <w:rPr>
          <w:color w:val="auto"/>
        </w:rPr>
      </w:pPr>
      <w:r>
        <w:rPr>
          <w:rFonts w:hint="eastAsia"/>
          <w:color w:val="auto"/>
        </w:rPr>
        <w:t>日志管理检测</w:t>
      </w:r>
    </w:p>
    <w:p>
      <w:pPr>
        <w:pStyle w:val="60"/>
        <w:ind w:firstLine="420"/>
        <w:rPr>
          <w:color w:val="auto"/>
        </w:rPr>
      </w:pPr>
      <w:r>
        <w:rPr>
          <w:rFonts w:hint="eastAsia"/>
          <w:color w:val="auto"/>
        </w:rPr>
        <w:t>日志管理检测要求如下：</w:t>
      </w:r>
    </w:p>
    <w:p>
      <w:pPr>
        <w:pStyle w:val="178"/>
        <w:numPr>
          <w:ilvl w:val="0"/>
          <w:numId w:val="496"/>
        </w:numPr>
        <w:rPr>
          <w:color w:val="auto"/>
        </w:rPr>
      </w:pPr>
      <w:r>
        <w:rPr>
          <w:rFonts w:hint="eastAsia"/>
          <w:color w:val="auto"/>
        </w:rPr>
        <w:t>检测内容应依据DB11/T 1164.1中中心系统功能中的日志管理功能的要求逐项检测；</w:t>
      </w:r>
    </w:p>
    <w:p>
      <w:pPr>
        <w:pStyle w:val="178"/>
        <w:rPr>
          <w:color w:val="auto"/>
        </w:rPr>
      </w:pPr>
      <w:r>
        <w:rPr>
          <w:rFonts w:hint="eastAsia"/>
          <w:color w:val="auto"/>
        </w:rPr>
        <w:t>检测方法要求如下：</w:t>
      </w:r>
    </w:p>
    <w:p>
      <w:pPr>
        <w:pStyle w:val="113"/>
        <w:numPr>
          <w:ilvl w:val="1"/>
          <w:numId w:val="497"/>
        </w:numPr>
        <w:rPr>
          <w:color w:val="auto"/>
        </w:rPr>
      </w:pPr>
      <w:r>
        <w:rPr>
          <w:rFonts w:hint="eastAsia"/>
          <w:color w:val="auto"/>
        </w:rPr>
        <w:t>在受检中心系统上进行业务操作（如：票卡调配操作），观察受检中心系统上的操作日志数据应正确，检测受检中心系统上传的操作日志数据应正确；</w:t>
      </w:r>
    </w:p>
    <w:p>
      <w:pPr>
        <w:pStyle w:val="113"/>
        <w:rPr>
          <w:color w:val="auto"/>
        </w:rPr>
      </w:pPr>
      <w:r>
        <w:rPr>
          <w:rFonts w:hint="eastAsia"/>
          <w:color w:val="auto"/>
        </w:rPr>
        <w:t>使用仿真终端上传日志数据、故障数据至受检中心系统，在受检中心系统上应查询到相关日志信息和故障信息；</w:t>
      </w:r>
    </w:p>
    <w:p>
      <w:pPr>
        <w:pStyle w:val="113"/>
        <w:rPr>
          <w:color w:val="auto"/>
        </w:rPr>
      </w:pPr>
      <w:r>
        <w:rPr>
          <w:rFonts w:hint="eastAsia"/>
          <w:color w:val="auto"/>
        </w:rPr>
        <w:t>检测受检中心系统上传的日志数据和故障数据应正确；</w:t>
      </w:r>
    </w:p>
    <w:p>
      <w:pPr>
        <w:pStyle w:val="113"/>
        <w:rPr>
          <w:color w:val="auto"/>
        </w:rPr>
      </w:pPr>
      <w:r>
        <w:rPr>
          <w:rFonts w:hint="eastAsia"/>
          <w:color w:val="auto"/>
        </w:rPr>
        <w:t>检测应覆盖DB11/T 1164.2：数据接口格式 定义的所有日志类型和故障类型。</w:t>
      </w:r>
    </w:p>
    <w:p>
      <w:pPr>
        <w:pStyle w:val="98"/>
        <w:spacing w:before="156" w:after="156"/>
        <w:rPr>
          <w:color w:val="auto"/>
        </w:rPr>
      </w:pPr>
      <w:r>
        <w:rPr>
          <w:rFonts w:hint="eastAsia"/>
          <w:color w:val="auto"/>
        </w:rPr>
        <w:t>报表管理检测</w:t>
      </w:r>
    </w:p>
    <w:p>
      <w:pPr>
        <w:pStyle w:val="60"/>
        <w:ind w:firstLine="420"/>
        <w:rPr>
          <w:color w:val="auto"/>
        </w:rPr>
      </w:pPr>
      <w:r>
        <w:rPr>
          <w:rFonts w:hint="eastAsia"/>
          <w:color w:val="auto"/>
        </w:rPr>
        <w:t>报表管理检测要求如下：</w:t>
      </w:r>
    </w:p>
    <w:p>
      <w:pPr>
        <w:pStyle w:val="178"/>
        <w:numPr>
          <w:ilvl w:val="0"/>
          <w:numId w:val="498"/>
        </w:numPr>
        <w:rPr>
          <w:color w:val="auto"/>
        </w:rPr>
      </w:pPr>
      <w:r>
        <w:rPr>
          <w:rFonts w:hint="eastAsia"/>
          <w:color w:val="auto"/>
        </w:rPr>
        <w:t>检测内容应根据用户需求检测中心系统的报警管理功能进行逐项检测；</w:t>
      </w:r>
    </w:p>
    <w:p>
      <w:pPr>
        <w:pStyle w:val="178"/>
        <w:rPr>
          <w:color w:val="auto"/>
        </w:rPr>
      </w:pPr>
      <w:r>
        <w:rPr>
          <w:rFonts w:hint="eastAsia"/>
          <w:color w:val="auto"/>
        </w:rPr>
        <w:t>检测方法要求如下：</w:t>
      </w:r>
    </w:p>
    <w:p>
      <w:pPr>
        <w:pStyle w:val="113"/>
        <w:numPr>
          <w:ilvl w:val="1"/>
          <w:numId w:val="499"/>
        </w:numPr>
        <w:rPr>
          <w:color w:val="auto"/>
        </w:rPr>
      </w:pPr>
      <w:r>
        <w:rPr>
          <w:rFonts w:hint="eastAsia"/>
          <w:color w:val="auto"/>
        </w:rPr>
        <w:t>通过仿真工具模拟生成报表所需的数据，观察受检中心系统接收数据的处理应正确；</w:t>
      </w:r>
    </w:p>
    <w:p>
      <w:pPr>
        <w:pStyle w:val="113"/>
        <w:rPr>
          <w:color w:val="auto"/>
        </w:rPr>
      </w:pPr>
      <w:r>
        <w:rPr>
          <w:rFonts w:hint="eastAsia"/>
          <w:color w:val="auto"/>
        </w:rPr>
        <w:t>在受检中心系统上执行报表的汇总与统计，观察受检中心系统的处理应正确；</w:t>
      </w:r>
    </w:p>
    <w:p>
      <w:pPr>
        <w:pStyle w:val="113"/>
        <w:rPr>
          <w:color w:val="auto"/>
        </w:rPr>
      </w:pPr>
      <w:r>
        <w:rPr>
          <w:rFonts w:hint="eastAsia"/>
          <w:color w:val="auto"/>
        </w:rPr>
        <w:t>通过受检中心系统工作站查询报表数据，通过仿真工具检测报表数据应正确。</w:t>
      </w:r>
    </w:p>
    <w:p>
      <w:pPr>
        <w:pStyle w:val="98"/>
        <w:spacing w:before="156" w:after="156"/>
        <w:rPr>
          <w:color w:val="auto"/>
        </w:rPr>
      </w:pPr>
      <w:r>
        <w:rPr>
          <w:rFonts w:hint="eastAsia"/>
          <w:color w:val="auto"/>
        </w:rPr>
        <w:t>紧急模式测试检测</w:t>
      </w:r>
    </w:p>
    <w:p>
      <w:pPr>
        <w:pStyle w:val="60"/>
        <w:ind w:firstLine="420"/>
        <w:rPr>
          <w:color w:val="auto"/>
        </w:rPr>
      </w:pPr>
      <w:r>
        <w:rPr>
          <w:rFonts w:hint="eastAsia"/>
          <w:color w:val="auto"/>
        </w:rPr>
        <w:t>紧急模式测试检测要求如下：</w:t>
      </w:r>
    </w:p>
    <w:p>
      <w:pPr>
        <w:pStyle w:val="178"/>
        <w:numPr>
          <w:ilvl w:val="0"/>
          <w:numId w:val="500"/>
        </w:numPr>
        <w:rPr>
          <w:color w:val="auto"/>
        </w:rPr>
      </w:pPr>
      <w:r>
        <w:rPr>
          <w:rFonts w:hint="eastAsia"/>
          <w:color w:val="auto"/>
        </w:rPr>
        <w:t>检测内容应根据用户需求检测中心系统的紧急模式测试功能进行检测；</w:t>
      </w:r>
    </w:p>
    <w:p>
      <w:pPr>
        <w:pStyle w:val="178"/>
        <w:rPr>
          <w:color w:val="auto"/>
        </w:rPr>
      </w:pPr>
      <w:r>
        <w:rPr>
          <w:rFonts w:hint="eastAsia"/>
          <w:color w:val="auto"/>
        </w:rPr>
        <w:t>检测方法要求如下：</w:t>
      </w:r>
    </w:p>
    <w:p>
      <w:pPr>
        <w:pStyle w:val="113"/>
        <w:numPr>
          <w:ilvl w:val="1"/>
          <w:numId w:val="501"/>
        </w:numPr>
        <w:rPr>
          <w:color w:val="auto"/>
        </w:rPr>
      </w:pPr>
      <w:r>
        <w:rPr>
          <w:rFonts w:hint="eastAsia"/>
          <w:color w:val="auto"/>
        </w:rPr>
        <w:t>在受检中心系统上设置测试模式，下发紧急模式指令；</w:t>
      </w:r>
    </w:p>
    <w:p>
      <w:pPr>
        <w:pStyle w:val="113"/>
        <w:rPr>
          <w:color w:val="auto"/>
        </w:rPr>
      </w:pPr>
      <w:r>
        <w:rPr>
          <w:rFonts w:hint="eastAsia"/>
          <w:color w:val="auto"/>
        </w:rPr>
        <w:t>通过受检设备的记录检测受检中心系统应上传紧急模式；</w:t>
      </w:r>
    </w:p>
    <w:p>
      <w:pPr>
        <w:pStyle w:val="113"/>
        <w:rPr>
          <w:color w:val="auto"/>
        </w:rPr>
      </w:pPr>
      <w:r>
        <w:rPr>
          <w:rFonts w:hint="eastAsia"/>
          <w:color w:val="auto"/>
        </w:rPr>
        <w:t>通过受检设备的记录检测应收到紧急模式指令。</w:t>
      </w:r>
    </w:p>
    <w:p>
      <w:pPr>
        <w:pStyle w:val="98"/>
        <w:spacing w:before="156" w:after="156"/>
        <w:rPr>
          <w:color w:val="auto"/>
        </w:rPr>
      </w:pPr>
      <w:r>
        <w:rPr>
          <w:rFonts w:hint="eastAsia"/>
          <w:color w:val="auto"/>
        </w:rPr>
        <w:t>代码管理检测</w:t>
      </w:r>
    </w:p>
    <w:p>
      <w:pPr>
        <w:pStyle w:val="60"/>
        <w:ind w:firstLine="420"/>
        <w:rPr>
          <w:color w:val="auto"/>
        </w:rPr>
      </w:pPr>
      <w:r>
        <w:rPr>
          <w:rFonts w:hint="eastAsia"/>
          <w:color w:val="auto"/>
        </w:rPr>
        <w:t>代码管理检测要求如下：</w:t>
      </w:r>
    </w:p>
    <w:p>
      <w:pPr>
        <w:pStyle w:val="178"/>
        <w:numPr>
          <w:ilvl w:val="0"/>
          <w:numId w:val="502"/>
        </w:numPr>
        <w:rPr>
          <w:color w:val="auto"/>
        </w:rPr>
      </w:pPr>
      <w:r>
        <w:rPr>
          <w:rFonts w:hint="eastAsia"/>
          <w:color w:val="auto"/>
        </w:rPr>
        <w:t>检测内容应依据DB11/T 1164.1中中心系统功能中的代码管理功能的要求逐项检测；</w:t>
      </w:r>
    </w:p>
    <w:p>
      <w:pPr>
        <w:pStyle w:val="178"/>
        <w:rPr>
          <w:color w:val="auto"/>
        </w:rPr>
      </w:pPr>
      <w:r>
        <w:rPr>
          <w:rFonts w:hint="eastAsia"/>
          <w:color w:val="auto"/>
        </w:rPr>
        <w:t>检测方法要求如下：</w:t>
      </w:r>
    </w:p>
    <w:p>
      <w:pPr>
        <w:pStyle w:val="113"/>
        <w:numPr>
          <w:ilvl w:val="1"/>
          <w:numId w:val="503"/>
        </w:numPr>
        <w:rPr>
          <w:color w:val="auto"/>
        </w:rPr>
      </w:pPr>
      <w:r>
        <w:rPr>
          <w:rFonts w:hint="eastAsia"/>
          <w:color w:val="auto"/>
        </w:rPr>
        <w:t>在受检中心系统上进行维修代码、故障代码的增加、删除、修改等操作，观察受检中心系统的处理应正确；</w:t>
      </w:r>
    </w:p>
    <w:p>
      <w:pPr>
        <w:pStyle w:val="113"/>
        <w:rPr>
          <w:color w:val="auto"/>
        </w:rPr>
      </w:pPr>
      <w:r>
        <w:rPr>
          <w:rFonts w:hint="eastAsia"/>
          <w:color w:val="auto"/>
        </w:rPr>
        <w:t>观察受检中心系统工作站上查询到相关操作日志信息的处理应正确。</w:t>
      </w:r>
    </w:p>
    <w:p>
      <w:pPr>
        <w:pStyle w:val="98"/>
        <w:spacing w:before="156" w:after="156"/>
        <w:rPr>
          <w:color w:val="auto"/>
        </w:rPr>
      </w:pPr>
      <w:r>
        <w:rPr>
          <w:rFonts w:hint="eastAsia"/>
          <w:color w:val="auto"/>
        </w:rPr>
        <w:t>设备部署管理检测</w:t>
      </w:r>
    </w:p>
    <w:p>
      <w:pPr>
        <w:pStyle w:val="60"/>
        <w:ind w:firstLine="420"/>
        <w:rPr>
          <w:color w:val="auto"/>
        </w:rPr>
      </w:pPr>
      <w:r>
        <w:rPr>
          <w:rFonts w:hint="eastAsia"/>
          <w:color w:val="auto"/>
        </w:rPr>
        <w:t>设备部署管理检测要求如下：</w:t>
      </w:r>
    </w:p>
    <w:p>
      <w:pPr>
        <w:pStyle w:val="178"/>
        <w:numPr>
          <w:ilvl w:val="0"/>
          <w:numId w:val="504"/>
        </w:numPr>
        <w:rPr>
          <w:color w:val="auto"/>
        </w:rPr>
      </w:pPr>
      <w:r>
        <w:rPr>
          <w:rFonts w:hint="eastAsia"/>
          <w:color w:val="auto"/>
        </w:rPr>
        <w:t>检测内容应依据DB11/T 1164.1中中心系统功能中的设备部署管理功能的要求逐项检测；</w:t>
      </w:r>
    </w:p>
    <w:p>
      <w:pPr>
        <w:pStyle w:val="178"/>
        <w:rPr>
          <w:color w:val="auto"/>
        </w:rPr>
      </w:pPr>
      <w:r>
        <w:rPr>
          <w:rFonts w:hint="eastAsia"/>
          <w:color w:val="auto"/>
        </w:rPr>
        <w:t>检测方法要求如下：</w:t>
      </w:r>
    </w:p>
    <w:p>
      <w:pPr>
        <w:pStyle w:val="113"/>
        <w:numPr>
          <w:ilvl w:val="1"/>
          <w:numId w:val="505"/>
        </w:numPr>
        <w:rPr>
          <w:color w:val="auto"/>
        </w:rPr>
      </w:pPr>
      <w:r>
        <w:rPr>
          <w:rFonts w:hint="eastAsia"/>
          <w:color w:val="auto"/>
        </w:rPr>
        <w:t>在受检中心系统上进行增加设备、启用/停用设备、修改设备属性等操作，观察受检中心系统的处理应正确；</w:t>
      </w:r>
    </w:p>
    <w:p>
      <w:pPr>
        <w:pStyle w:val="113"/>
        <w:rPr>
          <w:color w:val="auto"/>
        </w:rPr>
      </w:pPr>
      <w:r>
        <w:rPr>
          <w:rFonts w:hint="eastAsia"/>
          <w:color w:val="auto"/>
        </w:rPr>
        <w:t>观察受检中心系统工作站上查询到相关信息的处理应正确；</w:t>
      </w:r>
    </w:p>
    <w:p>
      <w:pPr>
        <w:pStyle w:val="113"/>
        <w:rPr>
          <w:color w:val="auto"/>
        </w:rPr>
      </w:pPr>
      <w:r>
        <w:rPr>
          <w:rFonts w:hint="eastAsia"/>
          <w:color w:val="auto"/>
        </w:rPr>
        <w:t>在受检中心系统上执行参数同步的方式将设备部署数据下发至仿真中心系统；</w:t>
      </w:r>
    </w:p>
    <w:p>
      <w:pPr>
        <w:pStyle w:val="113"/>
        <w:rPr>
          <w:color w:val="auto"/>
        </w:rPr>
      </w:pPr>
      <w:r>
        <w:rPr>
          <w:rFonts w:hint="eastAsia"/>
          <w:color w:val="auto"/>
        </w:rPr>
        <w:t>通过仿真中心系统的记录检测受检中心系统下发的设备部署数据应正确。</w:t>
      </w:r>
    </w:p>
    <w:p>
      <w:pPr>
        <w:pStyle w:val="98"/>
        <w:spacing w:before="156" w:after="156"/>
        <w:rPr>
          <w:color w:val="auto"/>
        </w:rPr>
      </w:pPr>
      <w:r>
        <w:rPr>
          <w:rFonts w:hint="eastAsia"/>
          <w:color w:val="auto"/>
        </w:rPr>
        <w:t>部件信息管理检测</w:t>
      </w:r>
    </w:p>
    <w:p>
      <w:pPr>
        <w:pStyle w:val="60"/>
        <w:ind w:firstLine="420"/>
        <w:rPr>
          <w:color w:val="auto"/>
        </w:rPr>
      </w:pPr>
      <w:r>
        <w:rPr>
          <w:rFonts w:hint="eastAsia"/>
          <w:color w:val="auto"/>
        </w:rPr>
        <w:t>部件信息管理检测要求如下：</w:t>
      </w:r>
    </w:p>
    <w:p>
      <w:pPr>
        <w:pStyle w:val="178"/>
        <w:numPr>
          <w:ilvl w:val="0"/>
          <w:numId w:val="506"/>
        </w:numPr>
        <w:rPr>
          <w:color w:val="auto"/>
        </w:rPr>
      </w:pPr>
      <w:r>
        <w:rPr>
          <w:rFonts w:hint="eastAsia"/>
          <w:color w:val="auto"/>
        </w:rPr>
        <w:t>检测内容应依据DB11/T 1164.1中中心系统功能中的部件管理功能的要求逐项检测；</w:t>
      </w:r>
    </w:p>
    <w:p>
      <w:pPr>
        <w:pStyle w:val="178"/>
        <w:rPr>
          <w:color w:val="auto"/>
        </w:rPr>
      </w:pPr>
      <w:r>
        <w:rPr>
          <w:rFonts w:hint="eastAsia"/>
          <w:color w:val="auto"/>
        </w:rPr>
        <w:t>检测方法要求如下：</w:t>
      </w:r>
    </w:p>
    <w:p>
      <w:pPr>
        <w:pStyle w:val="113"/>
        <w:numPr>
          <w:ilvl w:val="1"/>
          <w:numId w:val="507"/>
        </w:numPr>
        <w:rPr>
          <w:color w:val="auto"/>
        </w:rPr>
      </w:pPr>
      <w:r>
        <w:rPr>
          <w:rFonts w:hint="eastAsia"/>
          <w:color w:val="auto"/>
        </w:rPr>
        <w:t>在受检中心系统上进行登记厂商部件信息、登记部件唯一编号操作，观察受检中心系统的处理应正确；</w:t>
      </w:r>
    </w:p>
    <w:p>
      <w:pPr>
        <w:pStyle w:val="113"/>
        <w:rPr>
          <w:color w:val="auto"/>
        </w:rPr>
      </w:pPr>
      <w:r>
        <w:rPr>
          <w:rFonts w:hint="eastAsia"/>
          <w:color w:val="auto"/>
        </w:rPr>
        <w:t>在受检中心系统上进行部件更换登记操作，受检中心系统的处理应正确；</w:t>
      </w:r>
    </w:p>
    <w:p>
      <w:pPr>
        <w:pStyle w:val="113"/>
        <w:rPr>
          <w:color w:val="auto"/>
        </w:rPr>
      </w:pPr>
      <w:r>
        <w:rPr>
          <w:rFonts w:hint="eastAsia"/>
          <w:color w:val="auto"/>
        </w:rPr>
        <w:t>使用仿真中心系统上传部件更换数据，观察受检中心系统的处理应正确；</w:t>
      </w:r>
    </w:p>
    <w:p>
      <w:pPr>
        <w:pStyle w:val="113"/>
        <w:rPr>
          <w:color w:val="auto"/>
        </w:rPr>
      </w:pPr>
      <w:r>
        <w:rPr>
          <w:rFonts w:hint="eastAsia"/>
          <w:color w:val="auto"/>
        </w:rPr>
        <w:t>观察受检中心系统工作站上查询到部件更换信息数据的处理应正确。</w:t>
      </w:r>
    </w:p>
    <w:p>
      <w:pPr>
        <w:pStyle w:val="98"/>
        <w:spacing w:before="156" w:after="156"/>
        <w:rPr>
          <w:color w:val="auto"/>
        </w:rPr>
      </w:pPr>
      <w:r>
        <w:rPr>
          <w:rFonts w:hint="eastAsia"/>
          <w:color w:val="auto"/>
        </w:rPr>
        <w:t>部件入库/出库检测</w:t>
      </w:r>
    </w:p>
    <w:p>
      <w:pPr>
        <w:pStyle w:val="60"/>
        <w:ind w:firstLine="420"/>
        <w:rPr>
          <w:color w:val="auto"/>
        </w:rPr>
      </w:pPr>
      <w:r>
        <w:rPr>
          <w:rFonts w:hint="eastAsia"/>
          <w:color w:val="auto"/>
        </w:rPr>
        <w:t>部件入库/出库检测要求如下：</w:t>
      </w:r>
    </w:p>
    <w:p>
      <w:pPr>
        <w:pStyle w:val="178"/>
        <w:numPr>
          <w:ilvl w:val="0"/>
          <w:numId w:val="508"/>
        </w:numPr>
        <w:rPr>
          <w:color w:val="auto"/>
        </w:rPr>
      </w:pPr>
      <w:r>
        <w:rPr>
          <w:rFonts w:hint="eastAsia"/>
          <w:color w:val="auto"/>
        </w:rPr>
        <w:t>检测内容应依据DB11/T 1164.1中中心系统功能中的部件入库/出库功能的要求逐项检测；</w:t>
      </w:r>
    </w:p>
    <w:p>
      <w:pPr>
        <w:pStyle w:val="178"/>
        <w:rPr>
          <w:color w:val="auto"/>
        </w:rPr>
      </w:pPr>
      <w:r>
        <w:rPr>
          <w:rFonts w:hint="eastAsia"/>
          <w:color w:val="auto"/>
        </w:rPr>
        <w:t>检测方法要求如下：</w:t>
      </w:r>
    </w:p>
    <w:p>
      <w:pPr>
        <w:pStyle w:val="113"/>
        <w:numPr>
          <w:ilvl w:val="1"/>
          <w:numId w:val="509"/>
        </w:numPr>
        <w:rPr>
          <w:color w:val="auto"/>
        </w:rPr>
      </w:pPr>
      <w:r>
        <w:rPr>
          <w:rFonts w:hint="eastAsia"/>
          <w:color w:val="auto"/>
        </w:rPr>
        <w:t>在受检中心系统进行部件入库/出库操作，观察受检中心系统的处理应正确；</w:t>
      </w:r>
    </w:p>
    <w:p>
      <w:pPr>
        <w:pStyle w:val="113"/>
        <w:rPr>
          <w:color w:val="auto"/>
        </w:rPr>
      </w:pPr>
      <w:r>
        <w:rPr>
          <w:rFonts w:hint="eastAsia"/>
          <w:color w:val="auto"/>
        </w:rPr>
        <w:t>观察受检中心系统工作站上的信息查询处理应正确。</w:t>
      </w:r>
    </w:p>
    <w:p>
      <w:pPr>
        <w:pStyle w:val="98"/>
        <w:spacing w:before="156" w:after="156"/>
        <w:rPr>
          <w:color w:val="auto"/>
        </w:rPr>
      </w:pPr>
      <w:r>
        <w:rPr>
          <w:rFonts w:hint="eastAsia"/>
          <w:color w:val="auto"/>
        </w:rPr>
        <w:t>部件领用/归还管理检测</w:t>
      </w:r>
    </w:p>
    <w:p>
      <w:pPr>
        <w:pStyle w:val="60"/>
        <w:ind w:firstLine="420"/>
        <w:rPr>
          <w:color w:val="auto"/>
        </w:rPr>
      </w:pPr>
      <w:r>
        <w:rPr>
          <w:rFonts w:hint="eastAsia"/>
          <w:color w:val="auto"/>
        </w:rPr>
        <w:t>部件领用/归还管理检测要求如下：</w:t>
      </w:r>
    </w:p>
    <w:p>
      <w:pPr>
        <w:pStyle w:val="178"/>
        <w:numPr>
          <w:ilvl w:val="0"/>
          <w:numId w:val="510"/>
        </w:numPr>
        <w:rPr>
          <w:color w:val="auto"/>
        </w:rPr>
      </w:pPr>
      <w:r>
        <w:rPr>
          <w:rFonts w:hint="eastAsia"/>
          <w:color w:val="auto"/>
        </w:rPr>
        <w:t>检测内容应依据DB11/T 1164.1中中心系统功能中的部件领用/归还功能的要求逐项检测；</w:t>
      </w:r>
    </w:p>
    <w:p>
      <w:pPr>
        <w:pStyle w:val="178"/>
        <w:rPr>
          <w:color w:val="auto"/>
        </w:rPr>
      </w:pPr>
      <w:r>
        <w:rPr>
          <w:rFonts w:hint="eastAsia"/>
          <w:color w:val="auto"/>
        </w:rPr>
        <w:t>检测方法要求如下：</w:t>
      </w:r>
    </w:p>
    <w:p>
      <w:pPr>
        <w:pStyle w:val="113"/>
        <w:numPr>
          <w:ilvl w:val="1"/>
          <w:numId w:val="511"/>
        </w:numPr>
        <w:rPr>
          <w:color w:val="auto"/>
        </w:rPr>
      </w:pPr>
      <w:r>
        <w:rPr>
          <w:rFonts w:hint="eastAsia"/>
          <w:color w:val="auto"/>
        </w:rPr>
        <w:t>在受检中心系统进行部件领用/归还操作，观察受检中心系统的处理应正确；</w:t>
      </w:r>
    </w:p>
    <w:p>
      <w:pPr>
        <w:pStyle w:val="113"/>
        <w:rPr>
          <w:color w:val="auto"/>
        </w:rPr>
      </w:pPr>
      <w:r>
        <w:rPr>
          <w:rFonts w:hint="eastAsia"/>
          <w:color w:val="auto"/>
        </w:rPr>
        <w:t>观察受检中心系统工作站上的信息查询处理应正确。</w:t>
      </w:r>
    </w:p>
    <w:p>
      <w:pPr>
        <w:pStyle w:val="98"/>
        <w:spacing w:before="156" w:after="156"/>
        <w:rPr>
          <w:color w:val="auto"/>
        </w:rPr>
      </w:pPr>
      <w:r>
        <w:rPr>
          <w:rFonts w:hint="eastAsia"/>
          <w:color w:val="auto"/>
        </w:rPr>
        <w:t>部件库存检测</w:t>
      </w:r>
    </w:p>
    <w:p>
      <w:pPr>
        <w:pStyle w:val="60"/>
        <w:ind w:firstLine="420"/>
        <w:rPr>
          <w:color w:val="auto"/>
        </w:rPr>
      </w:pPr>
      <w:r>
        <w:rPr>
          <w:rFonts w:hint="eastAsia"/>
          <w:color w:val="auto"/>
        </w:rPr>
        <w:t>部件库存检测要求如下：</w:t>
      </w:r>
    </w:p>
    <w:p>
      <w:pPr>
        <w:pStyle w:val="178"/>
        <w:numPr>
          <w:ilvl w:val="0"/>
          <w:numId w:val="512"/>
        </w:numPr>
        <w:rPr>
          <w:color w:val="auto"/>
        </w:rPr>
      </w:pPr>
      <w:r>
        <w:rPr>
          <w:rFonts w:hint="eastAsia"/>
          <w:color w:val="auto"/>
        </w:rPr>
        <w:t>检测内容应依据DB11/T 1164.1中中心系统功能中的部件库存/部件库存阀值管理功能的要求逐项检测；</w:t>
      </w:r>
    </w:p>
    <w:p>
      <w:pPr>
        <w:pStyle w:val="178"/>
        <w:rPr>
          <w:color w:val="auto"/>
        </w:rPr>
      </w:pPr>
      <w:r>
        <w:rPr>
          <w:rFonts w:hint="eastAsia"/>
          <w:color w:val="auto"/>
        </w:rPr>
        <w:t>检测方法要求如下：</w:t>
      </w:r>
    </w:p>
    <w:p>
      <w:pPr>
        <w:pStyle w:val="113"/>
        <w:numPr>
          <w:ilvl w:val="1"/>
          <w:numId w:val="513"/>
        </w:numPr>
        <w:rPr>
          <w:color w:val="auto"/>
        </w:rPr>
      </w:pPr>
      <w:r>
        <w:rPr>
          <w:rFonts w:hint="eastAsia"/>
          <w:color w:val="auto"/>
        </w:rPr>
        <w:t>在受检中心系统上设置各类部件最低报警值和最高报警值，观察受检中心系统的处理应正确；</w:t>
      </w:r>
    </w:p>
    <w:p>
      <w:pPr>
        <w:pStyle w:val="113"/>
        <w:rPr>
          <w:color w:val="auto"/>
        </w:rPr>
      </w:pPr>
      <w:r>
        <w:rPr>
          <w:rFonts w:hint="eastAsia"/>
          <w:color w:val="auto"/>
        </w:rPr>
        <w:t>使用仿真工具导入超出最高报警值的部件库存数据，观察受检中心系统应报警提示；</w:t>
      </w:r>
    </w:p>
    <w:p>
      <w:pPr>
        <w:pStyle w:val="113"/>
        <w:rPr>
          <w:color w:val="auto"/>
        </w:rPr>
      </w:pPr>
      <w:r>
        <w:rPr>
          <w:rFonts w:hint="eastAsia"/>
          <w:color w:val="auto"/>
        </w:rPr>
        <w:t>使用仿真工具导入低于最低报警值的部件库存数据，观察受检中心系统应报警提示；</w:t>
      </w:r>
    </w:p>
    <w:p>
      <w:pPr>
        <w:pStyle w:val="113"/>
        <w:rPr>
          <w:color w:val="auto"/>
        </w:rPr>
      </w:pPr>
      <w:r>
        <w:rPr>
          <w:rFonts w:hint="eastAsia"/>
          <w:color w:val="auto"/>
        </w:rPr>
        <w:t>观察受检中心系统工作站上查询到各类部件库存的处理应正确。</w:t>
      </w:r>
    </w:p>
    <w:p>
      <w:pPr>
        <w:pStyle w:val="98"/>
        <w:spacing w:before="156" w:after="156"/>
        <w:rPr>
          <w:color w:val="auto"/>
        </w:rPr>
      </w:pPr>
      <w:r>
        <w:rPr>
          <w:rFonts w:hint="eastAsia"/>
          <w:color w:val="auto"/>
        </w:rPr>
        <w:t>维修管理检测</w:t>
      </w:r>
    </w:p>
    <w:p>
      <w:pPr>
        <w:pStyle w:val="60"/>
        <w:ind w:firstLine="420"/>
        <w:rPr>
          <w:color w:val="auto"/>
        </w:rPr>
      </w:pPr>
      <w:r>
        <w:rPr>
          <w:rFonts w:hint="eastAsia"/>
          <w:color w:val="auto"/>
        </w:rPr>
        <w:t>维修管理检测要求如下：</w:t>
      </w:r>
    </w:p>
    <w:p>
      <w:pPr>
        <w:pStyle w:val="178"/>
        <w:numPr>
          <w:ilvl w:val="0"/>
          <w:numId w:val="514"/>
        </w:numPr>
        <w:rPr>
          <w:color w:val="auto"/>
        </w:rPr>
      </w:pPr>
      <w:r>
        <w:rPr>
          <w:rFonts w:hint="eastAsia"/>
          <w:color w:val="auto"/>
        </w:rPr>
        <w:t>检测内容应依据DB11/T 1164.1中中心系统功能中的维修管理功能的要求逐项检测；</w:t>
      </w:r>
    </w:p>
    <w:p>
      <w:pPr>
        <w:pStyle w:val="178"/>
        <w:rPr>
          <w:color w:val="auto"/>
        </w:rPr>
      </w:pPr>
      <w:r>
        <w:rPr>
          <w:rFonts w:hint="eastAsia"/>
          <w:color w:val="auto"/>
        </w:rPr>
        <w:t>检测方法要求如下：</w:t>
      </w:r>
    </w:p>
    <w:p>
      <w:pPr>
        <w:pStyle w:val="113"/>
        <w:numPr>
          <w:ilvl w:val="1"/>
          <w:numId w:val="515"/>
        </w:numPr>
        <w:rPr>
          <w:color w:val="auto"/>
        </w:rPr>
      </w:pPr>
      <w:r>
        <w:rPr>
          <w:rFonts w:hint="eastAsia"/>
          <w:color w:val="auto"/>
        </w:rPr>
        <w:t>在受检中心系统上进行设备故障录入、产生维修工单、记录维修结果等操作，观察受检中心系统的处理应正确；</w:t>
      </w:r>
    </w:p>
    <w:p>
      <w:pPr>
        <w:pStyle w:val="113"/>
        <w:rPr>
          <w:color w:val="auto"/>
        </w:rPr>
      </w:pPr>
      <w:r>
        <w:rPr>
          <w:rFonts w:hint="eastAsia"/>
          <w:color w:val="auto"/>
        </w:rPr>
        <w:t>观察受检中心系统工作站上查询设备故障信息、维修档案信息、系统任务报告等数据应正确。</w:t>
      </w:r>
    </w:p>
    <w:p>
      <w:pPr>
        <w:pStyle w:val="98"/>
        <w:spacing w:before="156" w:after="156"/>
        <w:rPr>
          <w:color w:val="auto"/>
        </w:rPr>
      </w:pPr>
      <w:r>
        <w:rPr>
          <w:rFonts w:hint="eastAsia"/>
          <w:color w:val="auto"/>
        </w:rPr>
        <w:t>维护管理检测</w:t>
      </w:r>
    </w:p>
    <w:p>
      <w:pPr>
        <w:pStyle w:val="60"/>
        <w:ind w:firstLine="420"/>
        <w:rPr>
          <w:color w:val="auto"/>
        </w:rPr>
      </w:pPr>
      <w:r>
        <w:rPr>
          <w:rFonts w:hint="eastAsia"/>
          <w:color w:val="auto"/>
        </w:rPr>
        <w:t>维护管理检测要求如下：</w:t>
      </w:r>
    </w:p>
    <w:p>
      <w:pPr>
        <w:pStyle w:val="178"/>
        <w:numPr>
          <w:ilvl w:val="0"/>
          <w:numId w:val="516"/>
        </w:numPr>
        <w:rPr>
          <w:color w:val="auto"/>
        </w:rPr>
      </w:pPr>
      <w:r>
        <w:rPr>
          <w:rFonts w:hint="eastAsia"/>
          <w:color w:val="auto"/>
        </w:rPr>
        <w:t>检测内容应依据DB11/T 1164.1中中心系统功能中的维护管理功能的要求逐项检测；</w:t>
      </w:r>
    </w:p>
    <w:p>
      <w:pPr>
        <w:pStyle w:val="178"/>
        <w:rPr>
          <w:color w:val="auto"/>
        </w:rPr>
      </w:pPr>
      <w:r>
        <w:rPr>
          <w:rFonts w:hint="eastAsia"/>
          <w:color w:val="auto"/>
        </w:rPr>
        <w:t>检测方法要求如下：</w:t>
      </w:r>
    </w:p>
    <w:p>
      <w:pPr>
        <w:pStyle w:val="113"/>
        <w:numPr>
          <w:ilvl w:val="1"/>
          <w:numId w:val="517"/>
        </w:numPr>
        <w:rPr>
          <w:color w:val="auto"/>
        </w:rPr>
      </w:pPr>
      <w:r>
        <w:rPr>
          <w:rFonts w:hint="eastAsia"/>
          <w:color w:val="auto"/>
        </w:rPr>
        <w:t>在受检中心系统上编辑、修改设备维护计划，观察受检中心系统的操作应正确；</w:t>
      </w:r>
    </w:p>
    <w:p>
      <w:pPr>
        <w:pStyle w:val="113"/>
        <w:rPr>
          <w:color w:val="auto"/>
        </w:rPr>
      </w:pPr>
      <w:r>
        <w:rPr>
          <w:rFonts w:hint="eastAsia"/>
          <w:color w:val="auto"/>
        </w:rPr>
        <w:t>在受检中心系统上录入维修工单、维修报告，观察受检中心系统的操作应正确；</w:t>
      </w:r>
    </w:p>
    <w:p>
      <w:pPr>
        <w:pStyle w:val="113"/>
        <w:rPr>
          <w:color w:val="auto"/>
        </w:rPr>
      </w:pPr>
      <w:r>
        <w:rPr>
          <w:rFonts w:hint="eastAsia"/>
          <w:color w:val="auto"/>
        </w:rPr>
        <w:t>观察受检中心系统工作站上查询到的维护管理数据应正确。</w:t>
      </w:r>
    </w:p>
    <w:p>
      <w:pPr>
        <w:pStyle w:val="98"/>
        <w:spacing w:before="156" w:after="156"/>
        <w:rPr>
          <w:color w:val="auto"/>
        </w:rPr>
      </w:pPr>
      <w:r>
        <w:rPr>
          <w:rFonts w:hint="eastAsia"/>
          <w:color w:val="auto"/>
        </w:rPr>
        <w:t>维修工区管理检测</w:t>
      </w:r>
    </w:p>
    <w:p>
      <w:pPr>
        <w:pStyle w:val="60"/>
        <w:ind w:firstLine="420"/>
        <w:rPr>
          <w:color w:val="auto"/>
        </w:rPr>
      </w:pPr>
      <w:r>
        <w:rPr>
          <w:rFonts w:hint="eastAsia"/>
          <w:color w:val="auto"/>
        </w:rPr>
        <w:t>维修工区管理检测要求如下：</w:t>
      </w:r>
    </w:p>
    <w:p>
      <w:pPr>
        <w:pStyle w:val="178"/>
        <w:numPr>
          <w:ilvl w:val="0"/>
          <w:numId w:val="518"/>
        </w:numPr>
        <w:rPr>
          <w:color w:val="auto"/>
        </w:rPr>
      </w:pPr>
      <w:r>
        <w:rPr>
          <w:rFonts w:hint="eastAsia"/>
          <w:color w:val="auto"/>
        </w:rPr>
        <w:t>检测内容应依据DB11/T 1164.1中中心系统功能中的维修工区管理功能的要求逐项检测；</w:t>
      </w:r>
    </w:p>
    <w:p>
      <w:pPr>
        <w:pStyle w:val="178"/>
        <w:rPr>
          <w:color w:val="auto"/>
        </w:rPr>
      </w:pPr>
      <w:r>
        <w:rPr>
          <w:rFonts w:hint="eastAsia"/>
          <w:color w:val="auto"/>
        </w:rPr>
        <w:t>检测方法要求如下：</w:t>
      </w:r>
    </w:p>
    <w:p>
      <w:pPr>
        <w:pStyle w:val="113"/>
        <w:numPr>
          <w:ilvl w:val="1"/>
          <w:numId w:val="519"/>
        </w:numPr>
        <w:rPr>
          <w:color w:val="auto"/>
        </w:rPr>
      </w:pPr>
      <w:r>
        <w:rPr>
          <w:rFonts w:hint="eastAsia"/>
          <w:color w:val="auto"/>
        </w:rPr>
        <w:t>在受检中心系统上进行维修工区增加、删除、修改的操作，观察受检中心系统的操作结果应正确；</w:t>
      </w:r>
    </w:p>
    <w:p>
      <w:pPr>
        <w:pStyle w:val="113"/>
        <w:rPr>
          <w:color w:val="auto"/>
        </w:rPr>
      </w:pPr>
      <w:r>
        <w:rPr>
          <w:rFonts w:hint="eastAsia"/>
          <w:color w:val="auto"/>
        </w:rPr>
        <w:t>观察受检中心系统工作站上查询信息的处理应正确。</w:t>
      </w:r>
    </w:p>
    <w:p>
      <w:pPr>
        <w:pStyle w:val="98"/>
        <w:spacing w:before="156" w:after="156"/>
        <w:rPr>
          <w:color w:val="auto"/>
        </w:rPr>
      </w:pPr>
      <w:r>
        <w:rPr>
          <w:rFonts w:hint="eastAsia"/>
          <w:color w:val="auto"/>
        </w:rPr>
        <w:t>部件初始化管理检测</w:t>
      </w:r>
    </w:p>
    <w:p>
      <w:pPr>
        <w:pStyle w:val="60"/>
        <w:ind w:firstLine="420"/>
        <w:rPr>
          <w:color w:val="auto"/>
        </w:rPr>
      </w:pPr>
      <w:r>
        <w:rPr>
          <w:rFonts w:hint="eastAsia"/>
          <w:color w:val="auto"/>
        </w:rPr>
        <w:t>部件初始化管理检测要求如下：</w:t>
      </w:r>
    </w:p>
    <w:p>
      <w:pPr>
        <w:pStyle w:val="178"/>
        <w:numPr>
          <w:ilvl w:val="0"/>
          <w:numId w:val="520"/>
        </w:numPr>
        <w:rPr>
          <w:color w:val="auto"/>
        </w:rPr>
      </w:pPr>
      <w:r>
        <w:rPr>
          <w:rFonts w:hint="eastAsia"/>
          <w:color w:val="auto"/>
        </w:rPr>
        <w:t>检测内容应依据DB11/T 1164.1中中心系统功能中的部件初始化管理功能的要求逐项检测；</w:t>
      </w:r>
    </w:p>
    <w:p>
      <w:pPr>
        <w:pStyle w:val="178"/>
        <w:rPr>
          <w:color w:val="auto"/>
        </w:rPr>
      </w:pPr>
      <w:r>
        <w:rPr>
          <w:rFonts w:hint="eastAsia"/>
          <w:color w:val="auto"/>
        </w:rPr>
        <w:t>检测方法要求如下：</w:t>
      </w:r>
    </w:p>
    <w:p>
      <w:pPr>
        <w:pStyle w:val="113"/>
        <w:numPr>
          <w:ilvl w:val="1"/>
          <w:numId w:val="521"/>
        </w:numPr>
        <w:rPr>
          <w:color w:val="auto"/>
        </w:rPr>
      </w:pPr>
      <w:r>
        <w:rPr>
          <w:rFonts w:hint="eastAsia"/>
          <w:color w:val="auto"/>
        </w:rPr>
        <w:t>在受检中心系统上对移动存储设备、票箱、钱箱进行初始化操作，观察受检中心系统的处理应正确；</w:t>
      </w:r>
    </w:p>
    <w:p>
      <w:pPr>
        <w:pStyle w:val="113"/>
        <w:rPr>
          <w:color w:val="auto"/>
        </w:rPr>
      </w:pPr>
      <w:r>
        <w:rPr>
          <w:rFonts w:hint="eastAsia"/>
          <w:color w:val="auto"/>
        </w:rPr>
        <w:t>通过仿真终端读取初始化后的移动存储设备、票箱、钱箱的信息，检测受检中心系统初始化处理应正确。</w:t>
      </w:r>
    </w:p>
    <w:p>
      <w:pPr>
        <w:pStyle w:val="98"/>
        <w:spacing w:before="156" w:after="156"/>
        <w:rPr>
          <w:color w:val="auto"/>
        </w:rPr>
      </w:pPr>
      <w:r>
        <w:rPr>
          <w:rFonts w:hint="eastAsia"/>
          <w:color w:val="auto"/>
        </w:rPr>
        <w:t>系统维护检测</w:t>
      </w:r>
    </w:p>
    <w:p>
      <w:pPr>
        <w:pStyle w:val="60"/>
        <w:ind w:firstLine="420"/>
        <w:rPr>
          <w:color w:val="auto"/>
        </w:rPr>
      </w:pPr>
      <w:r>
        <w:rPr>
          <w:rFonts w:hint="eastAsia"/>
          <w:color w:val="auto"/>
        </w:rPr>
        <w:t>系统维护检测要求如下：</w:t>
      </w:r>
    </w:p>
    <w:p>
      <w:pPr>
        <w:pStyle w:val="178"/>
        <w:numPr>
          <w:ilvl w:val="0"/>
          <w:numId w:val="522"/>
        </w:numPr>
        <w:rPr>
          <w:color w:val="auto"/>
        </w:rPr>
      </w:pPr>
      <w:r>
        <w:rPr>
          <w:rFonts w:hint="eastAsia"/>
          <w:color w:val="auto"/>
        </w:rPr>
        <w:t>检测内容应依据DB11/T 1164.1中中心系统功能中的系统维护功能的要求逐项检测；</w:t>
      </w:r>
    </w:p>
    <w:p>
      <w:pPr>
        <w:pStyle w:val="178"/>
        <w:rPr>
          <w:color w:val="auto"/>
        </w:rPr>
      </w:pPr>
      <w:r>
        <w:rPr>
          <w:rFonts w:hint="eastAsia"/>
          <w:color w:val="auto"/>
        </w:rPr>
        <w:t>检测方法为在受检中心系统上查询到服务器软/硬件的状态、数据库状态、网络状态、数据备份信息、病毒防火墙信息、UPS状态等信息，观察其状态信息的正确性。</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数据查询时间检测</w:t>
      </w:r>
    </w:p>
    <w:p>
      <w:pPr>
        <w:pStyle w:val="60"/>
        <w:ind w:firstLine="420"/>
        <w:rPr>
          <w:color w:val="auto"/>
        </w:rPr>
      </w:pPr>
      <w:r>
        <w:rPr>
          <w:rFonts w:hint="eastAsia"/>
          <w:color w:val="auto"/>
        </w:rPr>
        <w:t>数据查询时间检测要求如下：</w:t>
      </w:r>
    </w:p>
    <w:p>
      <w:pPr>
        <w:pStyle w:val="178"/>
        <w:numPr>
          <w:ilvl w:val="0"/>
          <w:numId w:val="523"/>
        </w:numPr>
        <w:rPr>
          <w:color w:val="auto"/>
        </w:rPr>
      </w:pPr>
      <w:r>
        <w:rPr>
          <w:rFonts w:hint="eastAsia"/>
          <w:color w:val="auto"/>
        </w:rPr>
        <w:t>检测内容应根据用户需求检测中心系统数据查询响应时间进行逐项检测；</w:t>
      </w:r>
    </w:p>
    <w:p>
      <w:pPr>
        <w:pStyle w:val="178"/>
        <w:rPr>
          <w:color w:val="auto"/>
        </w:rPr>
      </w:pPr>
      <w:r>
        <w:rPr>
          <w:rFonts w:hint="eastAsia"/>
          <w:color w:val="auto"/>
        </w:rPr>
        <w:t>检测方法要求如下：</w:t>
      </w:r>
    </w:p>
    <w:p>
      <w:pPr>
        <w:pStyle w:val="113"/>
        <w:numPr>
          <w:ilvl w:val="1"/>
          <w:numId w:val="524"/>
        </w:numPr>
        <w:rPr>
          <w:color w:val="auto"/>
        </w:rPr>
      </w:pPr>
      <w:r>
        <w:rPr>
          <w:rFonts w:hint="eastAsia"/>
          <w:color w:val="auto"/>
        </w:rPr>
        <w:t>在受检中心系统上查询本系统所保存的数据，记录从查询命令确认开始到监控界面显示查询结果的时间；</w:t>
      </w:r>
    </w:p>
    <w:p>
      <w:pPr>
        <w:pStyle w:val="113"/>
        <w:rPr>
          <w:color w:val="auto"/>
        </w:rPr>
      </w:pPr>
      <w:r>
        <w:rPr>
          <w:rFonts w:hint="eastAsia"/>
          <w:color w:val="auto"/>
        </w:rPr>
        <w:t>对于同一查询的操作应不少于5 次，取查询所需时间的平均值；</w:t>
      </w:r>
    </w:p>
    <w:p>
      <w:pPr>
        <w:pStyle w:val="113"/>
        <w:rPr>
          <w:color w:val="auto"/>
        </w:rPr>
      </w:pPr>
      <w:r>
        <w:rPr>
          <w:rFonts w:hint="eastAsia"/>
          <w:color w:val="auto"/>
        </w:rPr>
        <w:t>所有查询操作完成后，应选取最大值为检测结果。</w:t>
      </w:r>
    </w:p>
    <w:p>
      <w:pPr>
        <w:pStyle w:val="98"/>
        <w:spacing w:before="156" w:after="156"/>
        <w:rPr>
          <w:color w:val="auto"/>
        </w:rPr>
      </w:pPr>
      <w:r>
        <w:rPr>
          <w:rFonts w:hint="eastAsia"/>
          <w:color w:val="auto"/>
        </w:rPr>
        <w:t>数据准确率检测</w:t>
      </w:r>
    </w:p>
    <w:p>
      <w:pPr>
        <w:pStyle w:val="60"/>
        <w:ind w:firstLine="420"/>
        <w:rPr>
          <w:color w:val="auto"/>
        </w:rPr>
      </w:pPr>
      <w:r>
        <w:rPr>
          <w:rFonts w:hint="eastAsia"/>
          <w:color w:val="auto"/>
        </w:rPr>
        <w:t>数据准确率检测要求如下：</w:t>
      </w:r>
    </w:p>
    <w:p>
      <w:pPr>
        <w:pStyle w:val="178"/>
        <w:numPr>
          <w:ilvl w:val="0"/>
          <w:numId w:val="525"/>
        </w:numPr>
        <w:rPr>
          <w:color w:val="auto"/>
        </w:rPr>
      </w:pPr>
      <w:r>
        <w:rPr>
          <w:rFonts w:hint="eastAsia"/>
          <w:color w:val="auto"/>
        </w:rPr>
        <w:t>检测内容应根据用户需求检测中心系统对数据处理准确率进行逐项检测；</w:t>
      </w:r>
    </w:p>
    <w:p>
      <w:pPr>
        <w:pStyle w:val="178"/>
        <w:rPr>
          <w:color w:val="auto"/>
        </w:rPr>
      </w:pPr>
      <w:r>
        <w:rPr>
          <w:rFonts w:hint="eastAsia"/>
          <w:color w:val="auto"/>
        </w:rPr>
        <w:t>检测方法要求如下：</w:t>
      </w:r>
    </w:p>
    <w:p>
      <w:pPr>
        <w:pStyle w:val="113"/>
        <w:numPr>
          <w:ilvl w:val="1"/>
          <w:numId w:val="526"/>
        </w:numPr>
        <w:rPr>
          <w:color w:val="auto"/>
        </w:rPr>
      </w:pPr>
      <w:r>
        <w:rPr>
          <w:rFonts w:hint="eastAsia"/>
          <w:color w:val="auto"/>
        </w:rPr>
        <w:t>使用受检设备向受检中心系统发送交易数据、业务数据、事件数据，观察受检中心系统接收并处理；</w:t>
      </w:r>
    </w:p>
    <w:p>
      <w:pPr>
        <w:pStyle w:val="113"/>
        <w:rPr>
          <w:color w:val="auto"/>
        </w:rPr>
      </w:pPr>
      <w:r>
        <w:rPr>
          <w:rFonts w:hint="eastAsia"/>
          <w:color w:val="auto"/>
        </w:rPr>
        <w:t>在受检中心系统查询交易数据、业务数据、事件数据的数据信息；</w:t>
      </w:r>
    </w:p>
    <w:p>
      <w:pPr>
        <w:pStyle w:val="113"/>
        <w:rPr>
          <w:color w:val="auto"/>
        </w:rPr>
      </w:pPr>
      <w:r>
        <w:rPr>
          <w:rFonts w:hint="eastAsia"/>
          <w:color w:val="auto"/>
        </w:rPr>
        <w:t>计算受检中心系统正确处理数据的数量与数据总数量的比值；</w:t>
      </w:r>
    </w:p>
    <w:p>
      <w:pPr>
        <w:pStyle w:val="113"/>
        <w:rPr>
          <w:color w:val="auto"/>
        </w:rPr>
      </w:pPr>
      <w:r>
        <w:rPr>
          <w:rFonts w:hint="eastAsia"/>
          <w:color w:val="auto"/>
        </w:rPr>
        <w:t>检测所需的数据总量应不少于1000万；</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数据处理能力检测</w:t>
      </w:r>
    </w:p>
    <w:p>
      <w:pPr>
        <w:pStyle w:val="60"/>
        <w:ind w:firstLine="420"/>
        <w:rPr>
          <w:color w:val="auto"/>
        </w:rPr>
      </w:pPr>
      <w:r>
        <w:rPr>
          <w:rFonts w:hint="eastAsia"/>
          <w:color w:val="auto"/>
        </w:rPr>
        <w:t>数据处理能力检测要求如下：</w:t>
      </w:r>
    </w:p>
    <w:p>
      <w:pPr>
        <w:pStyle w:val="178"/>
        <w:numPr>
          <w:ilvl w:val="0"/>
          <w:numId w:val="527"/>
        </w:numPr>
        <w:rPr>
          <w:color w:val="auto"/>
        </w:rPr>
      </w:pPr>
      <w:r>
        <w:rPr>
          <w:rFonts w:hint="eastAsia"/>
          <w:color w:val="auto"/>
        </w:rPr>
        <w:t>检测内容为受检中心系统日数据的处理能力、服务器的资源使用情况应满足需求的规定；</w:t>
      </w:r>
    </w:p>
    <w:p>
      <w:pPr>
        <w:pStyle w:val="178"/>
        <w:rPr>
          <w:color w:val="auto"/>
        </w:rPr>
      </w:pPr>
      <w:r>
        <w:rPr>
          <w:rFonts w:hint="eastAsia"/>
          <w:color w:val="auto"/>
        </w:rPr>
        <w:t>检测方法要求如下：</w:t>
      </w:r>
    </w:p>
    <w:p>
      <w:pPr>
        <w:pStyle w:val="113"/>
        <w:numPr>
          <w:ilvl w:val="1"/>
          <w:numId w:val="528"/>
        </w:numPr>
        <w:rPr>
          <w:color w:val="auto"/>
        </w:rPr>
      </w:pPr>
      <w:r>
        <w:rPr>
          <w:rFonts w:hint="eastAsia"/>
          <w:color w:val="auto"/>
        </w:rPr>
        <w:t>使用仿真一卡通系统下发一卡通参数数据至受检中心系统；</w:t>
      </w:r>
    </w:p>
    <w:p>
      <w:pPr>
        <w:pStyle w:val="113"/>
        <w:rPr>
          <w:color w:val="auto"/>
        </w:rPr>
      </w:pPr>
      <w:r>
        <w:rPr>
          <w:rFonts w:hint="eastAsia"/>
          <w:color w:val="auto"/>
        </w:rPr>
        <w:t>使用受检设备上传交易数据、业务数据、事件数据至受检中心系统；</w:t>
      </w:r>
    </w:p>
    <w:p>
      <w:pPr>
        <w:pStyle w:val="113"/>
        <w:rPr>
          <w:color w:val="auto"/>
        </w:rPr>
      </w:pPr>
      <w:r>
        <w:rPr>
          <w:rFonts w:hint="eastAsia"/>
          <w:color w:val="auto"/>
        </w:rPr>
        <w:t>受检设备的数量应不低于受检中心系统最大设计接入设备总数的三分之一；</w:t>
      </w:r>
    </w:p>
    <w:p>
      <w:pPr>
        <w:pStyle w:val="113"/>
        <w:rPr>
          <w:color w:val="auto"/>
        </w:rPr>
      </w:pPr>
      <w:r>
        <w:rPr>
          <w:rFonts w:hint="eastAsia"/>
          <w:color w:val="auto"/>
        </w:rPr>
        <w:t>检测所需的参数数据不低于受检中心系统最大设计信息的1.5倍；</w:t>
      </w:r>
    </w:p>
    <w:p>
      <w:pPr>
        <w:pStyle w:val="113"/>
        <w:rPr>
          <w:color w:val="auto"/>
        </w:rPr>
      </w:pPr>
      <w:r>
        <w:rPr>
          <w:rFonts w:hint="eastAsia"/>
          <w:color w:val="auto"/>
        </w:rPr>
        <w:t>检测所需交易数据、业务数据、事件数据、状态数据总量就不低于受检中心系统最大设计处理数据总量的1.5倍；</w:t>
      </w:r>
    </w:p>
    <w:p>
      <w:pPr>
        <w:pStyle w:val="113"/>
        <w:rPr>
          <w:color w:val="auto"/>
        </w:rPr>
      </w:pPr>
      <w:r>
        <w:rPr>
          <w:rFonts w:hint="eastAsia"/>
          <w:color w:val="auto"/>
        </w:rPr>
        <w:t>观察受检中心系统服务器资源使用情况应符合要求；</w:t>
      </w:r>
    </w:p>
    <w:p>
      <w:pPr>
        <w:pStyle w:val="113"/>
        <w:rPr>
          <w:color w:val="auto"/>
        </w:rPr>
      </w:pPr>
      <w:r>
        <w:rPr>
          <w:rFonts w:hint="eastAsia"/>
          <w:color w:val="auto"/>
        </w:rPr>
        <w:t>通过仿真工具计算规定时间内受检中心系统数据处理数量，计算系统数据处理能力。</w:t>
      </w:r>
    </w:p>
    <w:p>
      <w:pPr>
        <w:pStyle w:val="98"/>
        <w:spacing w:before="156" w:after="156"/>
        <w:rPr>
          <w:color w:val="auto"/>
        </w:rPr>
      </w:pPr>
      <w:r>
        <w:rPr>
          <w:rFonts w:hint="eastAsia"/>
          <w:color w:val="auto"/>
        </w:rPr>
        <w:t>并发处理能力检测</w:t>
      </w:r>
    </w:p>
    <w:p>
      <w:pPr>
        <w:pStyle w:val="60"/>
        <w:ind w:firstLine="420"/>
        <w:rPr>
          <w:color w:val="auto"/>
        </w:rPr>
      </w:pPr>
      <w:r>
        <w:rPr>
          <w:rFonts w:hint="eastAsia"/>
          <w:color w:val="auto"/>
        </w:rPr>
        <w:t>并发处理能力检测要求如下：</w:t>
      </w:r>
    </w:p>
    <w:p>
      <w:pPr>
        <w:pStyle w:val="178"/>
        <w:numPr>
          <w:ilvl w:val="0"/>
          <w:numId w:val="529"/>
        </w:numPr>
        <w:rPr>
          <w:color w:val="auto"/>
        </w:rPr>
      </w:pPr>
      <w:r>
        <w:rPr>
          <w:rFonts w:hint="eastAsia"/>
          <w:color w:val="auto"/>
        </w:rPr>
        <w:t>检测内容应根据用户需求检测中心系统的并发处理能力；</w:t>
      </w:r>
    </w:p>
    <w:p>
      <w:pPr>
        <w:pStyle w:val="178"/>
        <w:rPr>
          <w:color w:val="auto"/>
        </w:rPr>
      </w:pPr>
      <w:r>
        <w:rPr>
          <w:rFonts w:hint="eastAsia"/>
          <w:color w:val="auto"/>
        </w:rPr>
        <w:t>检测方法要求如下：</w:t>
      </w:r>
    </w:p>
    <w:p>
      <w:pPr>
        <w:pStyle w:val="113"/>
        <w:numPr>
          <w:ilvl w:val="1"/>
          <w:numId w:val="530"/>
        </w:numPr>
        <w:rPr>
          <w:color w:val="auto"/>
        </w:rPr>
      </w:pPr>
      <w:r>
        <w:rPr>
          <w:rFonts w:hint="eastAsia"/>
          <w:color w:val="auto"/>
        </w:rPr>
        <w:t>受检设备的数量应不低于受检中心系统最大设计接入设备总数的1.5倍；</w:t>
      </w:r>
    </w:p>
    <w:p>
      <w:pPr>
        <w:pStyle w:val="113"/>
        <w:rPr>
          <w:color w:val="auto"/>
        </w:rPr>
      </w:pPr>
      <w:r>
        <w:rPr>
          <w:rFonts w:hint="eastAsia"/>
          <w:color w:val="auto"/>
        </w:rPr>
        <w:t>通过受检设备同时发送通信连接请求，记录仿真中心系统完成开机序列业务所需的时间；</w:t>
      </w:r>
    </w:p>
    <w:p>
      <w:pPr>
        <w:pStyle w:val="113"/>
        <w:rPr>
          <w:color w:val="auto"/>
        </w:rPr>
      </w:pPr>
      <w:r>
        <w:rPr>
          <w:rFonts w:hint="eastAsia"/>
          <w:color w:val="auto"/>
        </w:rPr>
        <w:t>观察受检中心系统服务器资源使用情况应符合要求；</w:t>
      </w:r>
    </w:p>
    <w:p>
      <w:pPr>
        <w:pStyle w:val="113"/>
        <w:rPr>
          <w:color w:val="auto"/>
        </w:rPr>
      </w:pPr>
      <w:r>
        <w:rPr>
          <w:rFonts w:hint="eastAsia"/>
          <w:color w:val="auto"/>
        </w:rPr>
        <w:t>计算规定时间内完成开机序列的受检设备的数量；</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数据存储能力检测</w:t>
      </w:r>
    </w:p>
    <w:p>
      <w:pPr>
        <w:pStyle w:val="60"/>
        <w:ind w:firstLine="420"/>
        <w:rPr>
          <w:color w:val="auto"/>
        </w:rPr>
      </w:pPr>
      <w:r>
        <w:rPr>
          <w:rFonts w:hint="eastAsia"/>
          <w:color w:val="auto"/>
        </w:rPr>
        <w:t>数据存储能力检测要求如下：</w:t>
      </w:r>
    </w:p>
    <w:p>
      <w:pPr>
        <w:pStyle w:val="178"/>
        <w:numPr>
          <w:ilvl w:val="0"/>
          <w:numId w:val="531"/>
        </w:numPr>
        <w:rPr>
          <w:color w:val="auto"/>
        </w:rPr>
      </w:pPr>
      <w:r>
        <w:rPr>
          <w:rFonts w:hint="eastAsia"/>
          <w:color w:val="auto"/>
        </w:rPr>
        <w:t>检测内容应根据用户需求对中心系统的交易数据、业务数据、事件数据和统计数据的保存力能进行检测；</w:t>
      </w:r>
    </w:p>
    <w:p>
      <w:pPr>
        <w:pStyle w:val="178"/>
        <w:rPr>
          <w:color w:val="auto"/>
        </w:rPr>
      </w:pPr>
      <w:r>
        <w:rPr>
          <w:rFonts w:hint="eastAsia"/>
          <w:color w:val="auto"/>
        </w:rPr>
        <w:t>检测方法要求如下：</w:t>
      </w:r>
    </w:p>
    <w:p>
      <w:pPr>
        <w:pStyle w:val="113"/>
        <w:numPr>
          <w:ilvl w:val="1"/>
          <w:numId w:val="532"/>
        </w:numPr>
        <w:rPr>
          <w:color w:val="auto"/>
        </w:rPr>
      </w:pPr>
      <w:r>
        <w:rPr>
          <w:rFonts w:hint="eastAsia"/>
          <w:color w:val="auto"/>
        </w:rPr>
        <w:t>使用受检设备向受检中心系统发送需求规定天数的交易/业务/事件数据；</w:t>
      </w:r>
    </w:p>
    <w:p>
      <w:pPr>
        <w:pStyle w:val="113"/>
        <w:rPr>
          <w:color w:val="auto"/>
        </w:rPr>
      </w:pPr>
      <w:r>
        <w:rPr>
          <w:rFonts w:hint="eastAsia"/>
          <w:color w:val="auto"/>
        </w:rPr>
        <w:t>每日交易数据/业务/事件数量应不低于需求规定的远期客流数值；</w:t>
      </w:r>
    </w:p>
    <w:p>
      <w:pPr>
        <w:pStyle w:val="113"/>
        <w:rPr>
          <w:color w:val="auto"/>
        </w:rPr>
      </w:pPr>
      <w:r>
        <w:rPr>
          <w:rFonts w:hint="eastAsia"/>
          <w:color w:val="auto"/>
        </w:rPr>
        <w:t>在受检中心系统上完成每日的数据统计处理；</w:t>
      </w:r>
    </w:p>
    <w:p>
      <w:pPr>
        <w:pStyle w:val="113"/>
        <w:rPr>
          <w:color w:val="auto"/>
        </w:rPr>
      </w:pPr>
      <w:r>
        <w:rPr>
          <w:rFonts w:hint="eastAsia"/>
          <w:color w:val="auto"/>
        </w:rPr>
        <w:t>观察受检中心系统资源使用情况应符合要求。</w:t>
      </w:r>
    </w:p>
    <w:p>
      <w:pPr>
        <w:pStyle w:val="98"/>
        <w:spacing w:before="156" w:after="156"/>
        <w:rPr>
          <w:color w:val="auto"/>
        </w:rPr>
      </w:pPr>
      <w:r>
        <w:rPr>
          <w:rFonts w:hint="eastAsia"/>
          <w:color w:val="auto"/>
        </w:rPr>
        <w:t>业务响应时间检测</w:t>
      </w:r>
    </w:p>
    <w:p>
      <w:pPr>
        <w:pStyle w:val="60"/>
        <w:ind w:firstLine="420"/>
        <w:rPr>
          <w:color w:val="auto"/>
        </w:rPr>
      </w:pPr>
      <w:r>
        <w:rPr>
          <w:rFonts w:hint="eastAsia"/>
          <w:color w:val="auto"/>
        </w:rPr>
        <w:t>业务响应时间检测要求如下：</w:t>
      </w:r>
    </w:p>
    <w:p>
      <w:pPr>
        <w:pStyle w:val="178"/>
        <w:numPr>
          <w:ilvl w:val="0"/>
          <w:numId w:val="533"/>
        </w:numPr>
        <w:rPr>
          <w:color w:val="auto"/>
        </w:rPr>
      </w:pPr>
      <w:r>
        <w:rPr>
          <w:rFonts w:hint="eastAsia"/>
          <w:color w:val="auto"/>
        </w:rPr>
        <w:t>检测内容应根据用户需求对中心系统的业务响应时间进行检测；</w:t>
      </w:r>
    </w:p>
    <w:p>
      <w:pPr>
        <w:pStyle w:val="178"/>
        <w:rPr>
          <w:color w:val="auto"/>
        </w:rPr>
      </w:pPr>
      <w:r>
        <w:rPr>
          <w:rFonts w:hint="eastAsia"/>
          <w:color w:val="auto"/>
        </w:rPr>
        <w:t>检测方法要求如下：</w:t>
      </w:r>
    </w:p>
    <w:p>
      <w:pPr>
        <w:pStyle w:val="113"/>
        <w:numPr>
          <w:ilvl w:val="1"/>
          <w:numId w:val="534"/>
        </w:numPr>
        <w:rPr>
          <w:color w:val="auto"/>
        </w:rPr>
      </w:pPr>
      <w:r>
        <w:rPr>
          <w:rFonts w:hint="eastAsia"/>
          <w:color w:val="auto"/>
        </w:rPr>
        <w:t>在受检中心系统工作站上执行与中心系统相关的业务操作，通过受检设备的记录统计从命令下发开始到收到命令的时间间隔；</w:t>
      </w:r>
    </w:p>
    <w:p>
      <w:pPr>
        <w:pStyle w:val="113"/>
        <w:rPr>
          <w:color w:val="auto"/>
        </w:rPr>
      </w:pPr>
      <w:r>
        <w:rPr>
          <w:rFonts w:hint="eastAsia"/>
          <w:color w:val="auto"/>
        </w:rPr>
        <w:t>检测应在受检中心系统达到最大处理能力的条件下进行；</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参数下达时间检测</w:t>
      </w:r>
    </w:p>
    <w:p>
      <w:pPr>
        <w:pStyle w:val="60"/>
        <w:ind w:firstLine="420"/>
        <w:rPr>
          <w:color w:val="auto"/>
        </w:rPr>
      </w:pPr>
      <w:r>
        <w:rPr>
          <w:rFonts w:hint="eastAsia"/>
          <w:color w:val="auto"/>
        </w:rPr>
        <w:t>参数下达时间检测要求如下：</w:t>
      </w:r>
    </w:p>
    <w:p>
      <w:pPr>
        <w:pStyle w:val="178"/>
        <w:numPr>
          <w:ilvl w:val="0"/>
          <w:numId w:val="535"/>
        </w:numPr>
        <w:rPr>
          <w:color w:val="auto"/>
        </w:rPr>
      </w:pPr>
      <w:r>
        <w:rPr>
          <w:rFonts w:hint="eastAsia"/>
          <w:color w:val="auto"/>
        </w:rPr>
        <w:t>检测内容应根据用户需求对中心系统的参数下达时间进行检测；</w:t>
      </w:r>
    </w:p>
    <w:p>
      <w:pPr>
        <w:pStyle w:val="178"/>
        <w:rPr>
          <w:color w:val="auto"/>
        </w:rPr>
      </w:pPr>
      <w:r>
        <w:rPr>
          <w:rFonts w:hint="eastAsia"/>
          <w:color w:val="auto"/>
        </w:rPr>
        <w:t>检测方法要求如下：</w:t>
      </w:r>
    </w:p>
    <w:p>
      <w:pPr>
        <w:pStyle w:val="113"/>
        <w:numPr>
          <w:ilvl w:val="1"/>
          <w:numId w:val="536"/>
        </w:numPr>
        <w:rPr>
          <w:color w:val="auto"/>
        </w:rPr>
      </w:pPr>
      <w:r>
        <w:rPr>
          <w:rFonts w:hint="eastAsia"/>
          <w:color w:val="auto"/>
        </w:rPr>
        <w:t>在受检中心系统中触发参数同步操作，使用受检设备接收并完成参数同步的过程；</w:t>
      </w:r>
    </w:p>
    <w:p>
      <w:pPr>
        <w:pStyle w:val="113"/>
        <w:rPr>
          <w:color w:val="auto"/>
        </w:rPr>
      </w:pPr>
      <w:r>
        <w:rPr>
          <w:rFonts w:hint="eastAsia"/>
          <w:color w:val="auto"/>
        </w:rPr>
        <w:t>通过受检设备的记录计算受检中心系统参数下达的时间；</w:t>
      </w:r>
    </w:p>
    <w:p>
      <w:pPr>
        <w:pStyle w:val="113"/>
        <w:rPr>
          <w:color w:val="auto"/>
        </w:rPr>
      </w:pPr>
      <w:r>
        <w:rPr>
          <w:rFonts w:hint="eastAsia"/>
          <w:color w:val="auto"/>
        </w:rPr>
        <w:t>检测应在受检中心系统达到最大处理能力的条件下进行；</w:t>
      </w:r>
    </w:p>
    <w:p>
      <w:pPr>
        <w:pStyle w:val="113"/>
        <w:rPr>
          <w:color w:val="auto"/>
        </w:rPr>
      </w:pPr>
      <w:r>
        <w:rPr>
          <w:rFonts w:hint="eastAsia"/>
          <w:color w:val="auto"/>
        </w:rPr>
        <w:t>应对不同的参数重复测试，取时间间隔的平均值。</w:t>
      </w:r>
    </w:p>
    <w:p>
      <w:pPr>
        <w:pStyle w:val="98"/>
        <w:spacing w:before="156" w:after="156"/>
        <w:rPr>
          <w:color w:val="auto"/>
        </w:rPr>
      </w:pPr>
      <w:r>
        <w:rPr>
          <w:rFonts w:hint="eastAsia"/>
          <w:color w:val="auto"/>
        </w:rPr>
        <w:t>数据备份/恢复能力检测</w:t>
      </w:r>
    </w:p>
    <w:p>
      <w:pPr>
        <w:pStyle w:val="60"/>
        <w:ind w:firstLine="420"/>
        <w:rPr>
          <w:color w:val="auto"/>
        </w:rPr>
      </w:pPr>
      <w:r>
        <w:rPr>
          <w:rFonts w:hint="eastAsia"/>
          <w:color w:val="auto"/>
        </w:rPr>
        <w:t>数据备份/恢复能力检测要求如下：</w:t>
      </w:r>
    </w:p>
    <w:p>
      <w:pPr>
        <w:pStyle w:val="178"/>
        <w:numPr>
          <w:ilvl w:val="0"/>
          <w:numId w:val="537"/>
        </w:numPr>
        <w:rPr>
          <w:color w:val="auto"/>
        </w:rPr>
      </w:pPr>
      <w:r>
        <w:rPr>
          <w:rFonts w:hint="eastAsia"/>
          <w:color w:val="auto"/>
        </w:rPr>
        <w:t>检测内容应根据用户需求对中心系统的数据备份/恢复进行检测；</w:t>
      </w:r>
    </w:p>
    <w:p>
      <w:pPr>
        <w:pStyle w:val="178"/>
        <w:rPr>
          <w:color w:val="auto"/>
        </w:rPr>
      </w:pPr>
      <w:r>
        <w:rPr>
          <w:rFonts w:hint="eastAsia"/>
          <w:color w:val="auto"/>
        </w:rPr>
        <w:t>检测方法要求如下：</w:t>
      </w:r>
    </w:p>
    <w:p>
      <w:pPr>
        <w:pStyle w:val="113"/>
        <w:numPr>
          <w:ilvl w:val="1"/>
          <w:numId w:val="538"/>
        </w:numPr>
        <w:rPr>
          <w:color w:val="auto"/>
        </w:rPr>
      </w:pPr>
      <w:r>
        <w:rPr>
          <w:rFonts w:hint="eastAsia"/>
          <w:color w:val="auto"/>
        </w:rPr>
        <w:t>使用受检设备向受检中心系统发送交易数据、业务数据、事件数据；</w:t>
      </w:r>
    </w:p>
    <w:p>
      <w:pPr>
        <w:pStyle w:val="113"/>
        <w:rPr>
          <w:color w:val="auto"/>
        </w:rPr>
      </w:pPr>
      <w:r>
        <w:rPr>
          <w:rFonts w:hint="eastAsia"/>
          <w:color w:val="auto"/>
        </w:rPr>
        <w:t>在受检中心系统中完成数据的汇总与统计，并生成相应的统计数据；</w:t>
      </w:r>
    </w:p>
    <w:p>
      <w:pPr>
        <w:pStyle w:val="113"/>
        <w:rPr>
          <w:color w:val="auto"/>
        </w:rPr>
      </w:pPr>
      <w:r>
        <w:rPr>
          <w:rFonts w:hint="eastAsia"/>
          <w:color w:val="auto"/>
        </w:rPr>
        <w:t>检测所需的交易数据、业务数据、事件数据的数量，应不低于受检中心系统设计的最大数据存储的要求；</w:t>
      </w:r>
    </w:p>
    <w:p>
      <w:pPr>
        <w:pStyle w:val="113"/>
        <w:rPr>
          <w:color w:val="auto"/>
        </w:rPr>
      </w:pPr>
      <w:r>
        <w:rPr>
          <w:rFonts w:hint="eastAsia"/>
          <w:color w:val="auto"/>
        </w:rPr>
        <w:t>检测所需的统计数据的数量，应不低于受检中心系统设计的最大存储天数的要求；</w:t>
      </w:r>
    </w:p>
    <w:p>
      <w:pPr>
        <w:pStyle w:val="113"/>
        <w:rPr>
          <w:color w:val="auto"/>
        </w:rPr>
      </w:pPr>
      <w:r>
        <w:rPr>
          <w:rFonts w:hint="eastAsia"/>
          <w:color w:val="auto"/>
        </w:rPr>
        <w:t>在受检中心系统中设置数据备份的操作，计算受检中心系统的处理时间；</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数据统计响应时间检测</w:t>
      </w:r>
    </w:p>
    <w:p>
      <w:pPr>
        <w:pStyle w:val="60"/>
        <w:ind w:firstLine="420"/>
        <w:rPr>
          <w:color w:val="auto"/>
        </w:rPr>
      </w:pPr>
      <w:r>
        <w:rPr>
          <w:rFonts w:hint="eastAsia"/>
          <w:color w:val="auto"/>
        </w:rPr>
        <w:t>数据统计响应时间检测要求如下：</w:t>
      </w:r>
    </w:p>
    <w:p>
      <w:pPr>
        <w:pStyle w:val="178"/>
        <w:numPr>
          <w:ilvl w:val="0"/>
          <w:numId w:val="539"/>
        </w:numPr>
        <w:rPr>
          <w:color w:val="auto"/>
        </w:rPr>
      </w:pPr>
      <w:r>
        <w:rPr>
          <w:rFonts w:hint="eastAsia"/>
          <w:color w:val="auto"/>
        </w:rPr>
        <w:t>检测内容应根据用户需求对中心系统的数据统计响应时间进行检测；</w:t>
      </w:r>
    </w:p>
    <w:p>
      <w:pPr>
        <w:pStyle w:val="178"/>
        <w:rPr>
          <w:color w:val="auto"/>
        </w:rPr>
      </w:pPr>
      <w:r>
        <w:rPr>
          <w:rFonts w:hint="eastAsia"/>
          <w:color w:val="auto"/>
        </w:rPr>
        <w:t>检测方法要求如下：</w:t>
      </w:r>
    </w:p>
    <w:p>
      <w:pPr>
        <w:pStyle w:val="113"/>
        <w:numPr>
          <w:ilvl w:val="1"/>
          <w:numId w:val="540"/>
        </w:numPr>
        <w:rPr>
          <w:color w:val="auto"/>
        </w:rPr>
      </w:pPr>
      <w:r>
        <w:rPr>
          <w:rFonts w:hint="eastAsia"/>
          <w:color w:val="auto"/>
        </w:rPr>
        <w:t>使用受检设备上传交易数据、业务数据、事件数据至受检中心系统；</w:t>
      </w:r>
    </w:p>
    <w:p>
      <w:pPr>
        <w:pStyle w:val="113"/>
        <w:rPr>
          <w:color w:val="auto"/>
        </w:rPr>
      </w:pPr>
      <w:r>
        <w:rPr>
          <w:rFonts w:hint="eastAsia"/>
          <w:color w:val="auto"/>
        </w:rPr>
        <w:t xml:space="preserve">检测所需的交易数据、业务数据、事件数据的数量应不低于受检中心系统的设计要求； </w:t>
      </w:r>
    </w:p>
    <w:p>
      <w:pPr>
        <w:pStyle w:val="113"/>
        <w:rPr>
          <w:color w:val="auto"/>
        </w:rPr>
      </w:pPr>
      <w:r>
        <w:rPr>
          <w:rFonts w:hint="eastAsia"/>
          <w:color w:val="auto"/>
        </w:rPr>
        <w:t>在受检中心系统工作站上执行数据统计或报表查询等操作，计算从命令下达到结果显示的时间间隔；</w:t>
      </w:r>
    </w:p>
    <w:p>
      <w:pPr>
        <w:pStyle w:val="113"/>
        <w:rPr>
          <w:color w:val="auto"/>
        </w:rPr>
      </w:pPr>
      <w:r>
        <w:rPr>
          <w:rFonts w:hint="eastAsia"/>
          <w:color w:val="auto"/>
        </w:rPr>
        <w:t>检测应在受检中心系统达到最大处理能力的条件下进行；</w:t>
      </w:r>
    </w:p>
    <w:p>
      <w:pPr>
        <w:pStyle w:val="113"/>
        <w:rPr>
          <w:color w:val="auto"/>
        </w:rPr>
      </w:pPr>
      <w:r>
        <w:rPr>
          <w:rFonts w:hint="eastAsia"/>
          <w:color w:val="auto"/>
        </w:rPr>
        <w:t>应对不同统计要求的数据重复测试，取平均时间间隔值。</w:t>
      </w:r>
    </w:p>
    <w:p>
      <w:pPr>
        <w:pStyle w:val="98"/>
        <w:spacing w:before="156" w:after="156"/>
        <w:rPr>
          <w:color w:val="auto"/>
        </w:rPr>
      </w:pPr>
      <w:r>
        <w:rPr>
          <w:rFonts w:hint="eastAsia"/>
          <w:color w:val="auto"/>
        </w:rPr>
        <w:t>运营结束处理时间检测</w:t>
      </w:r>
    </w:p>
    <w:p>
      <w:pPr>
        <w:pStyle w:val="60"/>
        <w:ind w:firstLine="420"/>
        <w:rPr>
          <w:color w:val="auto"/>
        </w:rPr>
      </w:pPr>
      <w:r>
        <w:rPr>
          <w:rFonts w:hint="eastAsia"/>
          <w:color w:val="auto"/>
        </w:rPr>
        <w:t>运营结束处理时间检测要求如下：</w:t>
      </w:r>
    </w:p>
    <w:p>
      <w:pPr>
        <w:pStyle w:val="178"/>
        <w:numPr>
          <w:ilvl w:val="0"/>
          <w:numId w:val="541"/>
        </w:numPr>
        <w:rPr>
          <w:color w:val="auto"/>
        </w:rPr>
      </w:pPr>
      <w:r>
        <w:rPr>
          <w:rFonts w:hint="eastAsia"/>
          <w:color w:val="auto"/>
        </w:rPr>
        <w:t>检测内容应根据用户需求对中心系统的运营结束处理时间进行检测；</w:t>
      </w:r>
    </w:p>
    <w:p>
      <w:pPr>
        <w:pStyle w:val="178"/>
        <w:rPr>
          <w:color w:val="auto"/>
        </w:rPr>
      </w:pPr>
      <w:r>
        <w:rPr>
          <w:rFonts w:hint="eastAsia"/>
          <w:color w:val="auto"/>
        </w:rPr>
        <w:t>检测方法要求如下：</w:t>
      </w:r>
    </w:p>
    <w:p>
      <w:pPr>
        <w:pStyle w:val="113"/>
        <w:numPr>
          <w:ilvl w:val="1"/>
          <w:numId w:val="542"/>
        </w:numPr>
        <w:rPr>
          <w:color w:val="auto"/>
        </w:rPr>
      </w:pPr>
      <w:r>
        <w:rPr>
          <w:rFonts w:hint="eastAsia"/>
          <w:color w:val="auto"/>
        </w:rPr>
        <w:t>使用受检设备上传交易数据、业务数据、事件数据至受检中心系统；</w:t>
      </w:r>
    </w:p>
    <w:p>
      <w:pPr>
        <w:pStyle w:val="113"/>
        <w:rPr>
          <w:color w:val="auto"/>
        </w:rPr>
      </w:pPr>
      <w:r>
        <w:rPr>
          <w:rFonts w:hint="eastAsia"/>
          <w:color w:val="auto"/>
        </w:rPr>
        <w:t>检测所需的交易数据、业务数据、事件数据的数量应不低于受检中心系统的设计要求；</w:t>
      </w:r>
    </w:p>
    <w:p>
      <w:pPr>
        <w:pStyle w:val="113"/>
        <w:rPr>
          <w:color w:val="auto"/>
        </w:rPr>
      </w:pPr>
      <w:r>
        <w:rPr>
          <w:rFonts w:hint="eastAsia"/>
          <w:color w:val="auto"/>
        </w:rPr>
        <w:t>在受检中心系统上执行运营结束操作，计划从确认运营结束开始到运营结束完成的时间间隔；</w:t>
      </w:r>
    </w:p>
    <w:p>
      <w:pPr>
        <w:pStyle w:val="113"/>
        <w:rPr>
          <w:color w:val="auto"/>
        </w:rPr>
      </w:pPr>
      <w:r>
        <w:rPr>
          <w:rFonts w:hint="eastAsia"/>
          <w:color w:val="auto"/>
        </w:rPr>
        <w:t>检测应在受检中心系统达到最大处理能力的条件下进行；</w:t>
      </w:r>
    </w:p>
    <w:p>
      <w:pPr>
        <w:pStyle w:val="113"/>
        <w:rPr>
          <w:color w:val="auto"/>
        </w:rPr>
      </w:pPr>
      <w:r>
        <w:rPr>
          <w:rFonts w:hint="eastAsia"/>
          <w:color w:val="auto"/>
        </w:rPr>
        <w:t>检测所需的次数应不低于3次，并计算选取测试平均值。</w:t>
      </w:r>
    </w:p>
    <w:p>
      <w:pPr>
        <w:pStyle w:val="108"/>
        <w:spacing w:before="312" w:after="312"/>
        <w:rPr>
          <w:color w:val="auto"/>
        </w:rPr>
      </w:pPr>
      <w:bookmarkStart w:id="519" w:name="_Toc15839"/>
      <w:r>
        <w:rPr>
          <w:rFonts w:hint="eastAsia"/>
          <w:color w:val="auto"/>
        </w:rPr>
        <w:t>接入联网检测</w:t>
      </w:r>
      <w:bookmarkEnd w:id="519"/>
    </w:p>
    <w:p>
      <w:pPr>
        <w:pStyle w:val="109"/>
        <w:spacing w:before="156" w:after="156"/>
        <w:rPr>
          <w:color w:val="auto"/>
        </w:rPr>
      </w:pPr>
      <w:bookmarkStart w:id="520" w:name="_Toc18267"/>
      <w:r>
        <w:rPr>
          <w:rFonts w:hint="eastAsia"/>
          <w:color w:val="auto"/>
        </w:rPr>
        <w:t>检测环境条件</w:t>
      </w:r>
      <w:bookmarkEnd w:id="520"/>
    </w:p>
    <w:p>
      <w:pPr>
        <w:pStyle w:val="60"/>
        <w:ind w:firstLine="420"/>
        <w:rPr>
          <w:rFonts w:hint="eastAsia"/>
          <w:color w:val="auto"/>
        </w:rPr>
      </w:pPr>
      <w:r>
        <w:rPr>
          <w:rFonts w:hint="eastAsia"/>
          <w:color w:val="auto"/>
        </w:rPr>
        <w:t>检测环境应具备应用软件系统的目标环境，或高度一致（除位置、结构、接口等部分外其他环境与目标环境一致）的仿真环境。</w:t>
      </w:r>
    </w:p>
    <w:p>
      <w:pPr>
        <w:pStyle w:val="109"/>
        <w:spacing w:before="156" w:after="156"/>
        <w:rPr>
          <w:color w:val="auto"/>
        </w:rPr>
      </w:pPr>
      <w:bookmarkStart w:id="521" w:name="_Toc21680"/>
      <w:r>
        <w:rPr>
          <w:rFonts w:hint="eastAsia"/>
          <w:color w:val="auto"/>
        </w:rPr>
        <w:t>通信功能检测</w:t>
      </w:r>
      <w:bookmarkEnd w:id="521"/>
    </w:p>
    <w:p>
      <w:pPr>
        <w:pStyle w:val="60"/>
        <w:ind w:firstLine="420"/>
        <w:rPr>
          <w:color w:val="auto"/>
        </w:rPr>
      </w:pPr>
      <w:r>
        <w:rPr>
          <w:rFonts w:hint="eastAsia"/>
          <w:color w:val="auto"/>
        </w:rPr>
        <w:t>通信功能检测要求如下：</w:t>
      </w:r>
    </w:p>
    <w:p>
      <w:pPr>
        <w:pStyle w:val="178"/>
        <w:numPr>
          <w:ilvl w:val="0"/>
          <w:numId w:val="543"/>
        </w:numPr>
        <w:rPr>
          <w:color w:val="auto"/>
        </w:rPr>
      </w:pPr>
      <w:r>
        <w:rPr>
          <w:rFonts w:hint="eastAsia"/>
          <w:color w:val="auto"/>
        </w:rPr>
        <w:t>检测内容为受测SLE与受测中心系统间；</w:t>
      </w:r>
    </w:p>
    <w:p>
      <w:pPr>
        <w:pStyle w:val="178"/>
        <w:rPr>
          <w:rFonts w:hint="eastAsia"/>
          <w:color w:val="auto"/>
        </w:rPr>
      </w:pPr>
      <w:r>
        <w:rPr>
          <w:rFonts w:hint="eastAsia"/>
          <w:color w:val="auto"/>
        </w:rPr>
        <w:t>检测方法应依据DB11/T 1164.3查看受测SLE与受测中心系统间发送、接收的数据。</w:t>
      </w:r>
    </w:p>
    <w:p>
      <w:pPr>
        <w:pStyle w:val="109"/>
        <w:spacing w:before="156" w:after="156"/>
        <w:rPr>
          <w:color w:val="auto"/>
        </w:rPr>
      </w:pPr>
      <w:bookmarkStart w:id="522" w:name="_Toc24327"/>
      <w:r>
        <w:rPr>
          <w:rFonts w:hint="eastAsia"/>
          <w:color w:val="auto"/>
        </w:rPr>
        <w:t>终端与中心系统联网检测</w:t>
      </w:r>
      <w:bookmarkEnd w:id="522"/>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运营开始检测</w:t>
      </w:r>
    </w:p>
    <w:p>
      <w:pPr>
        <w:pStyle w:val="60"/>
        <w:ind w:firstLine="420"/>
        <w:rPr>
          <w:color w:val="auto"/>
        </w:rPr>
      </w:pPr>
      <w:r>
        <w:rPr>
          <w:rFonts w:hint="eastAsia"/>
          <w:color w:val="auto"/>
        </w:rPr>
        <w:t>运营开始检测要求如下：</w:t>
      </w:r>
    </w:p>
    <w:p>
      <w:pPr>
        <w:pStyle w:val="178"/>
        <w:numPr>
          <w:ilvl w:val="0"/>
          <w:numId w:val="544"/>
        </w:numPr>
        <w:rPr>
          <w:color w:val="auto"/>
        </w:rPr>
      </w:pPr>
      <w:r>
        <w:rPr>
          <w:rFonts w:hint="eastAsia"/>
          <w:color w:val="auto"/>
        </w:rPr>
        <w:t>检测内容应依据DB11/T 1164.1中AG、BOM、TVM、TSM、ITVM、中心系统运营开始功能的要求逐项检测；</w:t>
      </w:r>
    </w:p>
    <w:p>
      <w:pPr>
        <w:pStyle w:val="178"/>
        <w:rPr>
          <w:color w:val="auto"/>
        </w:rPr>
      </w:pPr>
      <w:r>
        <w:rPr>
          <w:rFonts w:hint="eastAsia"/>
          <w:color w:val="auto"/>
        </w:rPr>
        <w:t>检测方法要求如下：</w:t>
      </w:r>
    </w:p>
    <w:p>
      <w:pPr>
        <w:pStyle w:val="113"/>
        <w:numPr>
          <w:ilvl w:val="1"/>
          <w:numId w:val="545"/>
        </w:numPr>
        <w:rPr>
          <w:color w:val="auto"/>
        </w:rPr>
      </w:pPr>
      <w:r>
        <w:rPr>
          <w:rFonts w:hint="eastAsia"/>
          <w:color w:val="auto"/>
        </w:rPr>
        <w:t>使用受检中心系统向受检设备发送运营开始指令或在受检设备上手动进行运营开始操作或受检设备依据运行时间参数的规定自动执行；</w:t>
      </w:r>
    </w:p>
    <w:p>
      <w:pPr>
        <w:pStyle w:val="113"/>
        <w:rPr>
          <w:color w:val="auto"/>
        </w:rPr>
      </w:pPr>
      <w:r>
        <w:rPr>
          <w:rFonts w:hint="eastAsia"/>
          <w:color w:val="auto"/>
        </w:rPr>
        <w:t>观察受检设备的处理应符合DB11/T 1164.1、DB11/T 1164.2和DB11/T 1164.3有关运营开始的规定；</w:t>
      </w:r>
    </w:p>
    <w:p>
      <w:pPr>
        <w:pStyle w:val="113"/>
        <w:rPr>
          <w:color w:val="auto"/>
        </w:rPr>
      </w:pPr>
      <w:r>
        <w:rPr>
          <w:rFonts w:hint="eastAsia"/>
          <w:color w:val="auto"/>
        </w:rPr>
        <w:t>在受检中心系统上应观察到受检设备运营开始的状态。</w:t>
      </w:r>
    </w:p>
    <w:p>
      <w:pPr>
        <w:pStyle w:val="98"/>
        <w:spacing w:before="156" w:after="156"/>
        <w:rPr>
          <w:color w:val="auto"/>
        </w:rPr>
      </w:pPr>
      <w:r>
        <w:rPr>
          <w:rFonts w:hint="eastAsia"/>
          <w:color w:val="auto"/>
        </w:rPr>
        <w:t>运营结束检测</w:t>
      </w:r>
    </w:p>
    <w:p>
      <w:pPr>
        <w:pStyle w:val="60"/>
        <w:ind w:firstLine="420"/>
        <w:rPr>
          <w:color w:val="auto"/>
        </w:rPr>
      </w:pPr>
      <w:r>
        <w:rPr>
          <w:rFonts w:hint="eastAsia"/>
          <w:color w:val="auto"/>
        </w:rPr>
        <w:t>运营结束检测要求如下：</w:t>
      </w:r>
    </w:p>
    <w:p>
      <w:pPr>
        <w:pStyle w:val="178"/>
        <w:numPr>
          <w:ilvl w:val="0"/>
          <w:numId w:val="546"/>
        </w:numPr>
        <w:rPr>
          <w:color w:val="auto"/>
        </w:rPr>
      </w:pPr>
      <w:r>
        <w:rPr>
          <w:rFonts w:hint="eastAsia"/>
          <w:color w:val="auto"/>
        </w:rPr>
        <w:t>检测内容应依据DB11/T 1164.1中AG、BOM、TVM、TSM、ITVM、中心系统运营结束功能的要求逐项检测；</w:t>
      </w:r>
    </w:p>
    <w:p>
      <w:pPr>
        <w:pStyle w:val="178"/>
        <w:rPr>
          <w:color w:val="auto"/>
        </w:rPr>
      </w:pPr>
      <w:r>
        <w:rPr>
          <w:rFonts w:hint="eastAsia"/>
          <w:color w:val="auto"/>
        </w:rPr>
        <w:t>检测方法要求如下：</w:t>
      </w:r>
    </w:p>
    <w:p>
      <w:pPr>
        <w:pStyle w:val="113"/>
        <w:numPr>
          <w:ilvl w:val="1"/>
          <w:numId w:val="547"/>
        </w:numPr>
        <w:rPr>
          <w:color w:val="auto"/>
        </w:rPr>
      </w:pPr>
      <w:r>
        <w:rPr>
          <w:rFonts w:hint="eastAsia"/>
          <w:color w:val="auto"/>
        </w:rPr>
        <w:t>使用受检中心系统向受检设备发送运营结束指令或在受检设备上手动进行运营结束操作或受检设备依据运行时间参数的规定自动执行；</w:t>
      </w:r>
    </w:p>
    <w:p>
      <w:pPr>
        <w:pStyle w:val="113"/>
        <w:rPr>
          <w:color w:val="auto"/>
        </w:rPr>
      </w:pPr>
      <w:r>
        <w:rPr>
          <w:rFonts w:hint="eastAsia"/>
          <w:color w:val="auto"/>
        </w:rPr>
        <w:t>观察受检设备的处理应符合DB11/T 1164.1、DB11/T 1164.2和DB11/T 1164.3有关运营结束的规定；</w:t>
      </w:r>
    </w:p>
    <w:p>
      <w:pPr>
        <w:pStyle w:val="113"/>
        <w:rPr>
          <w:color w:val="auto"/>
        </w:rPr>
      </w:pPr>
      <w:r>
        <w:rPr>
          <w:rFonts w:hint="eastAsia"/>
          <w:color w:val="auto"/>
        </w:rPr>
        <w:t>在受检中心系统上应观察到受检设备运营结束的状态。</w:t>
      </w:r>
    </w:p>
    <w:p>
      <w:pPr>
        <w:pStyle w:val="98"/>
        <w:spacing w:before="156" w:after="156"/>
        <w:rPr>
          <w:color w:val="auto"/>
        </w:rPr>
      </w:pPr>
      <w:r>
        <w:rPr>
          <w:rFonts w:hint="eastAsia"/>
          <w:color w:val="auto"/>
        </w:rPr>
        <w:t>执行运行时间表检测</w:t>
      </w:r>
    </w:p>
    <w:p>
      <w:pPr>
        <w:pStyle w:val="60"/>
        <w:ind w:firstLine="420"/>
        <w:rPr>
          <w:color w:val="auto"/>
        </w:rPr>
      </w:pPr>
      <w:r>
        <w:rPr>
          <w:rFonts w:hint="eastAsia"/>
          <w:color w:val="auto"/>
        </w:rPr>
        <w:t>执行运行时间表检测要求如下：</w:t>
      </w:r>
    </w:p>
    <w:p>
      <w:pPr>
        <w:pStyle w:val="178"/>
        <w:numPr>
          <w:ilvl w:val="0"/>
          <w:numId w:val="548"/>
        </w:numPr>
        <w:rPr>
          <w:color w:val="auto"/>
        </w:rPr>
      </w:pPr>
      <w:r>
        <w:rPr>
          <w:rFonts w:hint="eastAsia"/>
          <w:color w:val="auto"/>
        </w:rPr>
        <w:t>检测内容应依据DB11/T 1164.1中AG、BOM、TVM、TSM、ITVM、中心系统执行运行时间表功能的要求逐项检测；</w:t>
      </w:r>
    </w:p>
    <w:p>
      <w:pPr>
        <w:pStyle w:val="178"/>
        <w:rPr>
          <w:color w:val="auto"/>
        </w:rPr>
      </w:pPr>
      <w:r>
        <w:rPr>
          <w:rFonts w:hint="eastAsia"/>
          <w:color w:val="auto"/>
        </w:rPr>
        <w:t>检测方法要求如下：</w:t>
      </w:r>
    </w:p>
    <w:p>
      <w:pPr>
        <w:pStyle w:val="113"/>
        <w:numPr>
          <w:ilvl w:val="1"/>
          <w:numId w:val="549"/>
        </w:numPr>
        <w:rPr>
          <w:color w:val="auto"/>
        </w:rPr>
      </w:pPr>
      <w:r>
        <w:rPr>
          <w:rFonts w:hint="eastAsia"/>
          <w:color w:val="auto"/>
        </w:rPr>
        <w:t>使用受检中心系统下发运行时间表参数，通过受检中心系统的记录检测受检中心系统的处理应正确；</w:t>
      </w:r>
    </w:p>
    <w:p>
      <w:pPr>
        <w:pStyle w:val="113"/>
        <w:rPr>
          <w:color w:val="auto"/>
        </w:rPr>
      </w:pPr>
      <w:r>
        <w:rPr>
          <w:rFonts w:hint="eastAsia"/>
          <w:color w:val="auto"/>
        </w:rPr>
        <w:t>在受检中心系统应观察到下发的运行时间表参数版本和参数内容；</w:t>
      </w:r>
    </w:p>
    <w:p>
      <w:pPr>
        <w:pStyle w:val="113"/>
        <w:rPr>
          <w:color w:val="auto"/>
        </w:rPr>
      </w:pPr>
      <w:r>
        <w:rPr>
          <w:rFonts w:hint="eastAsia"/>
          <w:color w:val="auto"/>
        </w:rPr>
        <w:t>在受检终端应观察到受检中心系统下发的运行时间表参数版本；</w:t>
      </w:r>
    </w:p>
    <w:p>
      <w:pPr>
        <w:pStyle w:val="113"/>
        <w:rPr>
          <w:color w:val="auto"/>
        </w:rPr>
      </w:pPr>
      <w:r>
        <w:rPr>
          <w:rFonts w:hint="eastAsia"/>
          <w:color w:val="auto"/>
        </w:rPr>
        <w:t>观察受检中心系统和受检设备的处理应符合DB11/T 1164.1、DB11/T 1164.2和DB11/T 1164.3有关运行时间表的规定；</w:t>
      </w:r>
    </w:p>
    <w:p>
      <w:pPr>
        <w:pStyle w:val="113"/>
        <w:rPr>
          <w:color w:val="auto"/>
        </w:rPr>
      </w:pPr>
      <w:r>
        <w:rPr>
          <w:rFonts w:hint="eastAsia"/>
          <w:color w:val="auto"/>
        </w:rPr>
        <w:t>在受检中心系统应观察到受检设备执行运行时间表定义的任务结果；</w:t>
      </w:r>
    </w:p>
    <w:p>
      <w:pPr>
        <w:pStyle w:val="113"/>
        <w:rPr>
          <w:color w:val="auto"/>
        </w:rPr>
      </w:pPr>
      <w:r>
        <w:rPr>
          <w:rFonts w:hint="eastAsia"/>
          <w:color w:val="auto"/>
        </w:rPr>
        <w:t>通过受检中心系统的记录检测受检中心系统执行运行时间表定义的任务结果。</w:t>
      </w:r>
    </w:p>
    <w:p>
      <w:pPr>
        <w:pStyle w:val="98"/>
        <w:spacing w:before="156" w:after="156"/>
        <w:rPr>
          <w:color w:val="auto"/>
        </w:rPr>
      </w:pPr>
      <w:r>
        <w:rPr>
          <w:rFonts w:hint="eastAsia"/>
          <w:color w:val="auto"/>
        </w:rPr>
        <w:t>车站停售时间表检测</w:t>
      </w:r>
    </w:p>
    <w:p>
      <w:pPr>
        <w:pStyle w:val="60"/>
        <w:ind w:firstLine="420"/>
        <w:rPr>
          <w:color w:val="auto"/>
        </w:rPr>
      </w:pPr>
      <w:r>
        <w:rPr>
          <w:rFonts w:hint="eastAsia"/>
          <w:color w:val="auto"/>
        </w:rPr>
        <w:t>车站停售时间表检测要求如下：</w:t>
      </w:r>
    </w:p>
    <w:p>
      <w:pPr>
        <w:pStyle w:val="178"/>
        <w:numPr>
          <w:ilvl w:val="0"/>
          <w:numId w:val="550"/>
        </w:numPr>
        <w:rPr>
          <w:color w:val="auto"/>
        </w:rPr>
      </w:pPr>
      <w:r>
        <w:rPr>
          <w:rFonts w:hint="eastAsia"/>
          <w:color w:val="auto"/>
        </w:rPr>
        <w:t>检测内容应依据DB11/T 1164.1中BOM、TVM、TSM、ITVM、中心系统运行时间管理中停售车站功能的要求逐项检测；</w:t>
      </w:r>
    </w:p>
    <w:p>
      <w:pPr>
        <w:pStyle w:val="178"/>
        <w:rPr>
          <w:color w:val="auto"/>
        </w:rPr>
      </w:pPr>
      <w:r>
        <w:rPr>
          <w:rFonts w:hint="eastAsia"/>
          <w:color w:val="auto"/>
        </w:rPr>
        <w:t>检测方法要求如下：</w:t>
      </w:r>
    </w:p>
    <w:p>
      <w:pPr>
        <w:pStyle w:val="113"/>
        <w:numPr>
          <w:ilvl w:val="1"/>
          <w:numId w:val="551"/>
        </w:numPr>
        <w:rPr>
          <w:color w:val="auto"/>
        </w:rPr>
      </w:pPr>
      <w:r>
        <w:rPr>
          <w:rFonts w:hint="eastAsia"/>
          <w:color w:val="auto"/>
        </w:rPr>
        <w:t>使用受检中心系统手动下发停售车站指令至受检终端；</w:t>
      </w:r>
    </w:p>
    <w:p>
      <w:pPr>
        <w:pStyle w:val="113"/>
        <w:rPr>
          <w:color w:val="auto"/>
        </w:rPr>
      </w:pPr>
      <w:r>
        <w:rPr>
          <w:rFonts w:hint="eastAsia"/>
          <w:color w:val="auto"/>
        </w:rPr>
        <w:t>受检终端应提示停售信息；</w:t>
      </w:r>
    </w:p>
    <w:p>
      <w:pPr>
        <w:pStyle w:val="113"/>
        <w:rPr>
          <w:color w:val="auto"/>
        </w:rPr>
      </w:pPr>
      <w:r>
        <w:rPr>
          <w:rFonts w:hint="eastAsia"/>
          <w:color w:val="auto"/>
        </w:rPr>
        <w:t>受检终端进行运营日切换操作；</w:t>
      </w:r>
    </w:p>
    <w:p>
      <w:pPr>
        <w:pStyle w:val="113"/>
        <w:rPr>
          <w:color w:val="auto"/>
        </w:rPr>
      </w:pPr>
      <w:r>
        <w:rPr>
          <w:rFonts w:hint="eastAsia"/>
          <w:color w:val="auto"/>
        </w:rPr>
        <w:t>受检终端应仍提示停售信息。</w:t>
      </w:r>
    </w:p>
    <w:p>
      <w:pPr>
        <w:pStyle w:val="98"/>
        <w:spacing w:before="156" w:after="156"/>
        <w:rPr>
          <w:color w:val="auto"/>
        </w:rPr>
      </w:pPr>
      <w:r>
        <w:rPr>
          <w:rFonts w:hint="eastAsia"/>
          <w:color w:val="auto"/>
        </w:rPr>
        <w:t>延长运营时间检测</w:t>
      </w:r>
    </w:p>
    <w:p>
      <w:pPr>
        <w:pStyle w:val="60"/>
        <w:ind w:firstLine="420"/>
        <w:rPr>
          <w:color w:val="auto"/>
        </w:rPr>
      </w:pPr>
      <w:r>
        <w:rPr>
          <w:rFonts w:hint="eastAsia"/>
          <w:color w:val="auto"/>
        </w:rPr>
        <w:t>延长运营时间检测要求如下：</w:t>
      </w:r>
    </w:p>
    <w:p>
      <w:pPr>
        <w:pStyle w:val="178"/>
        <w:numPr>
          <w:ilvl w:val="0"/>
          <w:numId w:val="552"/>
        </w:numPr>
        <w:rPr>
          <w:color w:val="auto"/>
        </w:rPr>
      </w:pPr>
      <w:r>
        <w:rPr>
          <w:rFonts w:hint="eastAsia"/>
          <w:color w:val="auto"/>
        </w:rPr>
        <w:t>检测内容应依据DB11/T 1164.1中AG、BOM、TVM、TSM、ITVM、中心系统运行时间管理中延长运营时间功能的要求逐项检测；</w:t>
      </w:r>
    </w:p>
    <w:p>
      <w:pPr>
        <w:pStyle w:val="178"/>
        <w:rPr>
          <w:color w:val="auto"/>
        </w:rPr>
      </w:pPr>
      <w:r>
        <w:rPr>
          <w:rFonts w:hint="eastAsia"/>
          <w:color w:val="auto"/>
        </w:rPr>
        <w:t>检测方法要求如下：</w:t>
      </w:r>
    </w:p>
    <w:p>
      <w:pPr>
        <w:pStyle w:val="113"/>
        <w:numPr>
          <w:ilvl w:val="1"/>
          <w:numId w:val="553"/>
        </w:numPr>
        <w:rPr>
          <w:color w:val="auto"/>
        </w:rPr>
      </w:pPr>
      <w:r>
        <w:rPr>
          <w:rFonts w:hint="eastAsia"/>
          <w:color w:val="auto"/>
        </w:rPr>
        <w:t>使用受检中心系统下发延长运营时间/取消延长运营时间命令；</w:t>
      </w:r>
    </w:p>
    <w:p>
      <w:pPr>
        <w:pStyle w:val="113"/>
        <w:rPr>
          <w:color w:val="auto"/>
        </w:rPr>
      </w:pPr>
      <w:r>
        <w:rPr>
          <w:rFonts w:hint="eastAsia"/>
          <w:color w:val="auto"/>
        </w:rPr>
        <w:t>通过受检中心系统的记录检测受检中心系统的处理应正确；</w:t>
      </w:r>
    </w:p>
    <w:p>
      <w:pPr>
        <w:pStyle w:val="113"/>
        <w:rPr>
          <w:color w:val="auto"/>
        </w:rPr>
      </w:pPr>
      <w:r>
        <w:rPr>
          <w:rFonts w:hint="eastAsia"/>
          <w:color w:val="auto"/>
        </w:rPr>
        <w:t>受检中心系统应观察到受检终端延长运营时间/取消延长运营时间的状态；</w:t>
      </w:r>
    </w:p>
    <w:p>
      <w:pPr>
        <w:pStyle w:val="113"/>
        <w:rPr>
          <w:color w:val="auto"/>
        </w:rPr>
      </w:pPr>
      <w:r>
        <w:rPr>
          <w:rFonts w:hint="eastAsia"/>
          <w:color w:val="auto"/>
        </w:rPr>
        <w:t>观察受检中心系统和受检终端运营结束的处理应符合DB11/T 1164.1和DB11/T 1164.2中AG、BOM、TVM、TSM、ITVM、中心系统延长运营时间的要求；</w:t>
      </w:r>
    </w:p>
    <w:p>
      <w:pPr>
        <w:pStyle w:val="113"/>
        <w:rPr>
          <w:color w:val="auto"/>
        </w:rPr>
      </w:pPr>
      <w:r>
        <w:rPr>
          <w:rFonts w:hint="eastAsia"/>
          <w:color w:val="auto"/>
        </w:rPr>
        <w:t>观察受检设备对票卡的处理应符合DB11/T 1164.1中AG、BOM、TVM、TSM、ITVM延长运营时间的要求。</w:t>
      </w:r>
    </w:p>
    <w:p>
      <w:pPr>
        <w:pStyle w:val="98"/>
        <w:spacing w:before="156" w:after="156"/>
        <w:rPr>
          <w:color w:val="auto"/>
        </w:rPr>
      </w:pPr>
      <w:r>
        <w:rPr>
          <w:rFonts w:hint="eastAsia"/>
          <w:color w:val="auto"/>
          <w:lang w:val="en-US" w:eastAsia="zh-CN"/>
        </w:rPr>
        <w:t>24小时</w:t>
      </w:r>
      <w:r>
        <w:rPr>
          <w:rFonts w:hint="eastAsia"/>
          <w:color w:val="auto"/>
        </w:rPr>
        <w:t>运营时间检测</w:t>
      </w:r>
    </w:p>
    <w:p>
      <w:pPr>
        <w:pStyle w:val="60"/>
        <w:numPr>
          <w:ilvl w:val="-1"/>
          <w:numId w:val="0"/>
        </w:numPr>
        <w:ind w:leftChars="200" w:firstLine="0" w:firstLineChars="0"/>
        <w:rPr>
          <w:color w:val="auto"/>
        </w:rPr>
      </w:pPr>
      <w:r>
        <w:rPr>
          <w:rFonts w:hint="eastAsia"/>
          <w:color w:val="auto"/>
        </w:rPr>
        <w:t>24小时运营检测要求如下：</w:t>
      </w:r>
    </w:p>
    <w:p>
      <w:pPr>
        <w:pStyle w:val="178"/>
        <w:rPr>
          <w:color w:val="auto"/>
        </w:rPr>
      </w:pPr>
      <w:r>
        <w:rPr>
          <w:rFonts w:hint="eastAsia"/>
          <w:color w:val="auto"/>
        </w:rPr>
        <w:t>检测内容应依据DB11/T 1164.1中AG、BOM、TVM、TSM、ITVM、中心系统 24小时运营功能的要求逐项检测；</w:t>
      </w:r>
    </w:p>
    <w:p>
      <w:pPr>
        <w:pStyle w:val="178"/>
        <w:rPr>
          <w:color w:val="auto"/>
        </w:rPr>
      </w:pPr>
      <w:r>
        <w:rPr>
          <w:rFonts w:hint="eastAsia"/>
          <w:color w:val="auto"/>
        </w:rPr>
        <w:t>检测方法要求如下：</w:t>
      </w:r>
    </w:p>
    <w:p>
      <w:pPr>
        <w:pStyle w:val="113"/>
        <w:numPr>
          <w:ilvl w:val="1"/>
          <w:numId w:val="554"/>
        </w:numPr>
        <w:rPr>
          <w:color w:val="auto"/>
        </w:rPr>
      </w:pPr>
      <w:r>
        <w:rPr>
          <w:rFonts w:hint="eastAsia"/>
          <w:color w:val="auto"/>
        </w:rPr>
        <w:t>使用受检中心系统下发24小时运营/取消24小时运营命令；</w:t>
      </w:r>
    </w:p>
    <w:p>
      <w:pPr>
        <w:pStyle w:val="113"/>
        <w:rPr>
          <w:color w:val="auto"/>
        </w:rPr>
      </w:pPr>
      <w:r>
        <w:rPr>
          <w:rFonts w:hint="eastAsia"/>
          <w:color w:val="auto"/>
        </w:rPr>
        <w:t>通过受检中心系统的记录检测受检中心系统的处理应正确；</w:t>
      </w:r>
    </w:p>
    <w:p>
      <w:pPr>
        <w:pStyle w:val="113"/>
        <w:rPr>
          <w:color w:val="auto"/>
        </w:rPr>
      </w:pPr>
      <w:r>
        <w:rPr>
          <w:rFonts w:hint="eastAsia"/>
          <w:color w:val="auto"/>
        </w:rPr>
        <w:t>受检中心系统应观察到受检终端24小时运营/取消24小时运营间的状态；</w:t>
      </w:r>
    </w:p>
    <w:p>
      <w:pPr>
        <w:pStyle w:val="113"/>
        <w:rPr>
          <w:color w:val="auto"/>
        </w:rPr>
      </w:pPr>
      <w:r>
        <w:rPr>
          <w:rFonts w:hint="eastAsia"/>
          <w:color w:val="auto"/>
        </w:rPr>
        <w:t>观察受检中心系统和受检终端运营结束的处理应符合DB11/T 1164.1和DB11/T 1164.2中AG、BOM、TVM、TSM、ITVM、中心系统24小时运营的要求；</w:t>
      </w:r>
    </w:p>
    <w:p>
      <w:pPr>
        <w:pStyle w:val="113"/>
        <w:rPr>
          <w:color w:val="auto"/>
        </w:rPr>
      </w:pPr>
      <w:r>
        <w:rPr>
          <w:rFonts w:hint="eastAsia"/>
          <w:color w:val="auto"/>
        </w:rPr>
        <w:t>观察受检设备对票卡的处理应符合DB11/T 1164.1中AG、BOM、TVM、TSM、ITVM 24小时运营的要求。</w:t>
      </w:r>
    </w:p>
    <w:p>
      <w:pPr>
        <w:pStyle w:val="98"/>
        <w:spacing w:before="156" w:after="156"/>
        <w:rPr>
          <w:color w:val="auto"/>
        </w:rPr>
      </w:pPr>
      <w:r>
        <w:rPr>
          <w:rFonts w:hint="eastAsia"/>
          <w:color w:val="auto"/>
        </w:rPr>
        <w:t>客流监视检测</w:t>
      </w:r>
    </w:p>
    <w:p>
      <w:pPr>
        <w:pStyle w:val="60"/>
        <w:ind w:firstLine="420"/>
        <w:rPr>
          <w:color w:val="auto"/>
        </w:rPr>
      </w:pPr>
      <w:r>
        <w:rPr>
          <w:rFonts w:hint="eastAsia"/>
          <w:color w:val="auto"/>
        </w:rPr>
        <w:t>客流监视检测要求如下：</w:t>
      </w:r>
    </w:p>
    <w:p>
      <w:pPr>
        <w:pStyle w:val="178"/>
        <w:numPr>
          <w:ilvl w:val="0"/>
          <w:numId w:val="555"/>
        </w:numPr>
        <w:rPr>
          <w:color w:val="auto"/>
        </w:rPr>
      </w:pPr>
      <w:r>
        <w:rPr>
          <w:rFonts w:hint="eastAsia"/>
          <w:color w:val="auto"/>
        </w:rPr>
        <w:t>检测内容应依据DB11/T 1164.1中中心系统客流监视功能的要求逐项检测；</w:t>
      </w:r>
    </w:p>
    <w:p>
      <w:pPr>
        <w:pStyle w:val="178"/>
        <w:rPr>
          <w:color w:val="auto"/>
        </w:rPr>
      </w:pPr>
      <w:r>
        <w:rPr>
          <w:rFonts w:hint="eastAsia"/>
          <w:color w:val="auto"/>
        </w:rPr>
        <w:t>检测方法要求如下：</w:t>
      </w:r>
    </w:p>
    <w:p>
      <w:pPr>
        <w:pStyle w:val="113"/>
        <w:numPr>
          <w:ilvl w:val="1"/>
          <w:numId w:val="556"/>
        </w:numPr>
        <w:rPr>
          <w:color w:val="auto"/>
        </w:rPr>
      </w:pPr>
      <w:r>
        <w:rPr>
          <w:rFonts w:hint="eastAsia"/>
          <w:color w:val="auto"/>
        </w:rPr>
        <w:t>在受检终端上进行相关票卡业务操作；</w:t>
      </w:r>
    </w:p>
    <w:p>
      <w:pPr>
        <w:pStyle w:val="113"/>
        <w:rPr>
          <w:color w:val="auto"/>
        </w:rPr>
      </w:pPr>
      <w:r>
        <w:rPr>
          <w:rFonts w:hint="eastAsia"/>
          <w:color w:val="auto"/>
        </w:rPr>
        <w:t>在受检中心系统应观察到受检终端上传的交易数据；</w:t>
      </w:r>
    </w:p>
    <w:p>
      <w:pPr>
        <w:pStyle w:val="113"/>
        <w:rPr>
          <w:color w:val="auto"/>
        </w:rPr>
      </w:pPr>
      <w:r>
        <w:rPr>
          <w:rFonts w:hint="eastAsia"/>
          <w:color w:val="auto"/>
        </w:rPr>
        <w:t>在受检中心系统应观察到客流数据；</w:t>
      </w:r>
    </w:p>
    <w:p>
      <w:pPr>
        <w:pStyle w:val="113"/>
        <w:rPr>
          <w:color w:val="auto"/>
        </w:rPr>
      </w:pPr>
      <w:r>
        <w:rPr>
          <w:rFonts w:hint="eastAsia"/>
          <w:color w:val="auto"/>
        </w:rPr>
        <w:t>通过受检中心系统的记录检测受检中心系统上传的客流数据应正确。</w:t>
      </w:r>
    </w:p>
    <w:p>
      <w:pPr>
        <w:pStyle w:val="98"/>
        <w:spacing w:before="156" w:after="156"/>
        <w:rPr>
          <w:color w:val="auto"/>
        </w:rPr>
      </w:pPr>
      <w:r>
        <w:rPr>
          <w:rFonts w:hint="eastAsia"/>
          <w:color w:val="auto"/>
        </w:rPr>
        <w:t>设备监视检测</w:t>
      </w:r>
    </w:p>
    <w:p>
      <w:pPr>
        <w:pStyle w:val="60"/>
        <w:ind w:firstLine="420"/>
        <w:rPr>
          <w:color w:val="auto"/>
        </w:rPr>
      </w:pPr>
      <w:r>
        <w:rPr>
          <w:rFonts w:hint="eastAsia"/>
          <w:color w:val="auto"/>
        </w:rPr>
        <w:t>设备监视检测要求如下：</w:t>
      </w:r>
    </w:p>
    <w:p>
      <w:pPr>
        <w:pStyle w:val="178"/>
        <w:numPr>
          <w:ilvl w:val="0"/>
          <w:numId w:val="557"/>
        </w:numPr>
        <w:rPr>
          <w:color w:val="auto"/>
        </w:rPr>
      </w:pPr>
      <w:r>
        <w:rPr>
          <w:rFonts w:hint="eastAsia"/>
          <w:color w:val="auto"/>
        </w:rPr>
        <w:t>检测内容应依据DB11/T 1164.1中中心系统设备监视功能的要求逐项检测；</w:t>
      </w:r>
    </w:p>
    <w:p>
      <w:pPr>
        <w:pStyle w:val="178"/>
        <w:rPr>
          <w:color w:val="auto"/>
        </w:rPr>
      </w:pPr>
      <w:r>
        <w:rPr>
          <w:rFonts w:hint="eastAsia"/>
          <w:color w:val="auto"/>
        </w:rPr>
        <w:t>检测方法要求如下：</w:t>
      </w:r>
    </w:p>
    <w:p>
      <w:pPr>
        <w:pStyle w:val="113"/>
        <w:numPr>
          <w:ilvl w:val="1"/>
          <w:numId w:val="558"/>
        </w:numPr>
        <w:rPr>
          <w:color w:val="auto"/>
        </w:rPr>
      </w:pPr>
      <w:r>
        <w:rPr>
          <w:rFonts w:hint="eastAsia"/>
          <w:color w:val="auto"/>
        </w:rPr>
        <w:t>改变受检终端状态，在受检中心系统应观察到受检终端状态信息；</w:t>
      </w:r>
    </w:p>
    <w:p>
      <w:pPr>
        <w:pStyle w:val="113"/>
        <w:rPr>
          <w:color w:val="auto"/>
        </w:rPr>
      </w:pPr>
      <w:r>
        <w:rPr>
          <w:rFonts w:hint="eastAsia"/>
          <w:color w:val="auto"/>
        </w:rPr>
        <w:t>通过受检中心系统的记录检测受检中心系统上传的设备状态数据应正确。</w:t>
      </w:r>
    </w:p>
    <w:p>
      <w:pPr>
        <w:pStyle w:val="98"/>
        <w:spacing w:before="156" w:after="156"/>
        <w:rPr>
          <w:color w:val="auto"/>
        </w:rPr>
      </w:pPr>
      <w:r>
        <w:rPr>
          <w:rFonts w:hint="eastAsia"/>
          <w:color w:val="auto"/>
        </w:rPr>
        <w:t>运营模式设置检测</w:t>
      </w:r>
    </w:p>
    <w:p>
      <w:pPr>
        <w:pStyle w:val="60"/>
        <w:ind w:firstLine="420"/>
        <w:rPr>
          <w:color w:val="auto"/>
        </w:rPr>
      </w:pPr>
      <w:r>
        <w:rPr>
          <w:rFonts w:hint="eastAsia"/>
          <w:color w:val="auto"/>
        </w:rPr>
        <w:t>运营模式设置检测要求如下：</w:t>
      </w:r>
    </w:p>
    <w:p>
      <w:pPr>
        <w:pStyle w:val="178"/>
        <w:numPr>
          <w:ilvl w:val="0"/>
          <w:numId w:val="559"/>
        </w:numPr>
        <w:rPr>
          <w:color w:val="auto"/>
        </w:rPr>
      </w:pPr>
      <w:r>
        <w:rPr>
          <w:rFonts w:hint="eastAsia"/>
          <w:color w:val="auto"/>
        </w:rPr>
        <w:t>检测内容应依据DB11/T 1164.1中中心系统运营模式设置功能的要求逐项检测；</w:t>
      </w:r>
    </w:p>
    <w:p>
      <w:pPr>
        <w:pStyle w:val="178"/>
        <w:rPr>
          <w:color w:val="auto"/>
        </w:rPr>
      </w:pPr>
      <w:r>
        <w:rPr>
          <w:rFonts w:hint="eastAsia"/>
          <w:color w:val="auto"/>
        </w:rPr>
        <w:t>检测方法要求如下：</w:t>
      </w:r>
    </w:p>
    <w:p>
      <w:pPr>
        <w:pStyle w:val="113"/>
        <w:numPr>
          <w:ilvl w:val="1"/>
          <w:numId w:val="560"/>
        </w:numPr>
        <w:rPr>
          <w:color w:val="auto"/>
        </w:rPr>
      </w:pPr>
      <w:r>
        <w:rPr>
          <w:rFonts w:hint="eastAsia"/>
          <w:color w:val="auto"/>
        </w:rPr>
        <w:t>使用受检中心系统设置运营模式，在受检终端上应观察到运营模式状态；</w:t>
      </w:r>
    </w:p>
    <w:p>
      <w:pPr>
        <w:pStyle w:val="113"/>
        <w:rPr>
          <w:color w:val="auto"/>
        </w:rPr>
      </w:pPr>
      <w:r>
        <w:rPr>
          <w:rFonts w:hint="eastAsia"/>
          <w:color w:val="auto"/>
        </w:rPr>
        <w:t>在受检中心系统应观察到受检终端运营模式状态。</w:t>
      </w:r>
    </w:p>
    <w:p>
      <w:pPr>
        <w:pStyle w:val="98"/>
        <w:spacing w:before="156" w:after="156"/>
        <w:rPr>
          <w:color w:val="auto"/>
        </w:rPr>
      </w:pPr>
      <w:r>
        <w:rPr>
          <w:rFonts w:hint="eastAsia"/>
          <w:color w:val="auto"/>
        </w:rPr>
        <w:t>模式履历设置检测</w:t>
      </w:r>
    </w:p>
    <w:p>
      <w:pPr>
        <w:pStyle w:val="60"/>
        <w:ind w:firstLine="420"/>
        <w:rPr>
          <w:color w:val="auto"/>
        </w:rPr>
      </w:pPr>
      <w:r>
        <w:rPr>
          <w:rFonts w:hint="eastAsia"/>
          <w:color w:val="auto"/>
        </w:rPr>
        <w:t>模式履历设置检测要求如下：</w:t>
      </w:r>
    </w:p>
    <w:p>
      <w:pPr>
        <w:pStyle w:val="178"/>
        <w:numPr>
          <w:ilvl w:val="0"/>
          <w:numId w:val="561"/>
        </w:numPr>
        <w:rPr>
          <w:color w:val="auto"/>
        </w:rPr>
      </w:pPr>
      <w:r>
        <w:rPr>
          <w:rFonts w:hint="eastAsia"/>
          <w:color w:val="auto"/>
        </w:rPr>
        <w:t>检测内容应依据DB11/T 1164.1中AG、BOM、TVM、TSM、ITVM、中心系统模式履历设置功能的要求逐项检测；</w:t>
      </w:r>
    </w:p>
    <w:p>
      <w:pPr>
        <w:pStyle w:val="178"/>
        <w:rPr>
          <w:color w:val="auto"/>
        </w:rPr>
      </w:pPr>
      <w:r>
        <w:rPr>
          <w:rFonts w:hint="eastAsia"/>
          <w:color w:val="auto"/>
        </w:rPr>
        <w:t>检测方法要求如下：</w:t>
      </w:r>
    </w:p>
    <w:p>
      <w:pPr>
        <w:pStyle w:val="113"/>
        <w:numPr>
          <w:ilvl w:val="1"/>
          <w:numId w:val="562"/>
        </w:numPr>
        <w:rPr>
          <w:color w:val="auto"/>
        </w:rPr>
      </w:pPr>
      <w:r>
        <w:rPr>
          <w:rFonts w:hint="eastAsia"/>
          <w:color w:val="auto"/>
        </w:rPr>
        <w:t>使用受检中心系统设置模式履历，在受检终端上应观察到模式履历版本；</w:t>
      </w:r>
    </w:p>
    <w:p>
      <w:pPr>
        <w:pStyle w:val="113"/>
        <w:rPr>
          <w:color w:val="auto"/>
        </w:rPr>
      </w:pPr>
      <w:r>
        <w:rPr>
          <w:rFonts w:hint="eastAsia"/>
          <w:color w:val="auto"/>
        </w:rPr>
        <w:t>在受检中心系统应观察到受检终端上模式履历版本信息。</w:t>
      </w:r>
    </w:p>
    <w:p>
      <w:pPr>
        <w:pStyle w:val="98"/>
        <w:spacing w:before="156" w:after="156"/>
        <w:rPr>
          <w:color w:val="auto"/>
        </w:rPr>
      </w:pPr>
      <w:r>
        <w:rPr>
          <w:rFonts w:hint="eastAsia"/>
          <w:color w:val="auto"/>
        </w:rPr>
        <w:t>设备控制检测</w:t>
      </w:r>
    </w:p>
    <w:p>
      <w:pPr>
        <w:pStyle w:val="60"/>
        <w:ind w:firstLine="420"/>
        <w:rPr>
          <w:color w:val="auto"/>
        </w:rPr>
      </w:pPr>
      <w:r>
        <w:rPr>
          <w:rFonts w:hint="eastAsia"/>
          <w:color w:val="auto"/>
        </w:rPr>
        <w:t>设备控制检测要求如下：</w:t>
      </w:r>
    </w:p>
    <w:p>
      <w:pPr>
        <w:pStyle w:val="178"/>
        <w:numPr>
          <w:ilvl w:val="0"/>
          <w:numId w:val="563"/>
        </w:numPr>
        <w:rPr>
          <w:color w:val="auto"/>
        </w:rPr>
      </w:pPr>
      <w:r>
        <w:rPr>
          <w:rFonts w:hint="eastAsia"/>
          <w:color w:val="auto"/>
        </w:rPr>
        <w:t>检测内容应依据DB11/T 1164.1中中心系统设备控制功能的要求逐项检测；</w:t>
      </w:r>
    </w:p>
    <w:p>
      <w:pPr>
        <w:pStyle w:val="178"/>
        <w:rPr>
          <w:color w:val="auto"/>
        </w:rPr>
      </w:pPr>
      <w:r>
        <w:rPr>
          <w:rFonts w:hint="eastAsia"/>
          <w:color w:val="auto"/>
        </w:rPr>
        <w:t>检测方法要求如下：</w:t>
      </w:r>
    </w:p>
    <w:p>
      <w:pPr>
        <w:pStyle w:val="113"/>
        <w:numPr>
          <w:ilvl w:val="1"/>
          <w:numId w:val="564"/>
        </w:numPr>
        <w:rPr>
          <w:color w:val="auto"/>
        </w:rPr>
      </w:pPr>
      <w:r>
        <w:rPr>
          <w:rFonts w:hint="eastAsia"/>
          <w:color w:val="auto"/>
        </w:rPr>
        <w:t>使用受检中心系统向受检终端（单台、单组、单站口、全部）下发控制指令；</w:t>
      </w:r>
    </w:p>
    <w:p>
      <w:pPr>
        <w:pStyle w:val="113"/>
        <w:rPr>
          <w:color w:val="auto"/>
        </w:rPr>
      </w:pPr>
      <w:r>
        <w:rPr>
          <w:rFonts w:hint="eastAsia"/>
          <w:color w:val="auto"/>
        </w:rPr>
        <w:t>观察受检终端的状态变化；</w:t>
      </w:r>
    </w:p>
    <w:p>
      <w:pPr>
        <w:pStyle w:val="113"/>
        <w:rPr>
          <w:color w:val="auto"/>
        </w:rPr>
      </w:pPr>
      <w:r>
        <w:rPr>
          <w:rFonts w:hint="eastAsia"/>
          <w:color w:val="auto"/>
        </w:rPr>
        <w:t>在受检中心系统应观察到受检终端的状态信息。</w:t>
      </w:r>
    </w:p>
    <w:p>
      <w:pPr>
        <w:pStyle w:val="98"/>
        <w:spacing w:before="156" w:after="156"/>
        <w:rPr>
          <w:color w:val="auto"/>
        </w:rPr>
      </w:pPr>
      <w:r>
        <w:rPr>
          <w:rFonts w:hint="eastAsia"/>
          <w:color w:val="auto"/>
        </w:rPr>
        <w:t>参数/软件版本同步检测</w:t>
      </w:r>
    </w:p>
    <w:p>
      <w:pPr>
        <w:pStyle w:val="60"/>
        <w:ind w:firstLine="420"/>
        <w:rPr>
          <w:color w:val="auto"/>
        </w:rPr>
      </w:pPr>
      <w:r>
        <w:rPr>
          <w:rFonts w:hint="eastAsia"/>
          <w:color w:val="auto"/>
        </w:rPr>
        <w:t>参数/软件版本同步检测要求如下：</w:t>
      </w:r>
    </w:p>
    <w:p>
      <w:pPr>
        <w:pStyle w:val="178"/>
        <w:numPr>
          <w:ilvl w:val="0"/>
          <w:numId w:val="565"/>
        </w:numPr>
        <w:rPr>
          <w:color w:val="auto"/>
        </w:rPr>
      </w:pPr>
      <w:r>
        <w:rPr>
          <w:rFonts w:hint="eastAsia"/>
          <w:color w:val="auto"/>
        </w:rPr>
        <w:t>检测内容应依据DB11/T 1164.1中AG、BOM、TVM、TSM、ITVM、PCA、中心系统参数/软件同步功能的要求逐项检测；</w:t>
      </w:r>
    </w:p>
    <w:p>
      <w:pPr>
        <w:pStyle w:val="178"/>
        <w:rPr>
          <w:color w:val="auto"/>
        </w:rPr>
      </w:pPr>
      <w:r>
        <w:rPr>
          <w:rFonts w:hint="eastAsia"/>
          <w:color w:val="auto"/>
        </w:rPr>
        <w:t>检测方法要求如下：</w:t>
      </w:r>
    </w:p>
    <w:p>
      <w:pPr>
        <w:pStyle w:val="113"/>
        <w:numPr>
          <w:ilvl w:val="1"/>
          <w:numId w:val="566"/>
        </w:numPr>
        <w:rPr>
          <w:color w:val="auto"/>
        </w:rPr>
      </w:pPr>
      <w:r>
        <w:rPr>
          <w:rFonts w:hint="eastAsia"/>
          <w:color w:val="auto"/>
        </w:rPr>
        <w:t>使用受检中心系统进行参数/软件同步操作，在受检中心系统应观察到同步的参数/软件信息和参数/软件版本；</w:t>
      </w:r>
    </w:p>
    <w:p>
      <w:pPr>
        <w:pStyle w:val="113"/>
        <w:rPr>
          <w:color w:val="auto"/>
        </w:rPr>
      </w:pPr>
      <w:r>
        <w:rPr>
          <w:rFonts w:hint="eastAsia"/>
          <w:color w:val="auto"/>
        </w:rPr>
        <w:t>使受检中心系统与受检终端进行参数/软件同步；</w:t>
      </w:r>
    </w:p>
    <w:p>
      <w:pPr>
        <w:pStyle w:val="113"/>
        <w:rPr>
          <w:color w:val="auto"/>
        </w:rPr>
      </w:pPr>
      <w:r>
        <w:rPr>
          <w:rFonts w:hint="eastAsia"/>
          <w:color w:val="auto"/>
        </w:rPr>
        <w:t>在受检终端应观察到同步后的参数/软件版本信息；</w:t>
      </w:r>
    </w:p>
    <w:p>
      <w:pPr>
        <w:pStyle w:val="113"/>
        <w:rPr>
          <w:color w:val="auto"/>
        </w:rPr>
      </w:pPr>
      <w:r>
        <w:rPr>
          <w:rFonts w:hint="eastAsia"/>
          <w:color w:val="auto"/>
        </w:rPr>
        <w:t>在受检中心系统应观察到受检终端同步后的参数/软件版本信息；</w:t>
      </w:r>
    </w:p>
    <w:p>
      <w:pPr>
        <w:pStyle w:val="113"/>
        <w:rPr>
          <w:color w:val="auto"/>
        </w:rPr>
      </w:pPr>
      <w:r>
        <w:rPr>
          <w:rFonts w:hint="eastAsia"/>
          <w:color w:val="auto"/>
        </w:rPr>
        <w:t>通过受检中心系统的记录检测受检中心系统上传的参数/软件版本信息应正确。</w:t>
      </w:r>
    </w:p>
    <w:p>
      <w:pPr>
        <w:pStyle w:val="98"/>
        <w:spacing w:before="156" w:after="156"/>
        <w:rPr>
          <w:color w:val="auto"/>
        </w:rPr>
      </w:pPr>
      <w:r>
        <w:rPr>
          <w:rFonts w:hint="eastAsia"/>
          <w:color w:val="auto"/>
        </w:rPr>
        <w:t>参数/软件版本查询检测</w:t>
      </w:r>
    </w:p>
    <w:p>
      <w:pPr>
        <w:pStyle w:val="60"/>
        <w:ind w:firstLine="420"/>
        <w:rPr>
          <w:color w:val="auto"/>
        </w:rPr>
      </w:pPr>
      <w:r>
        <w:rPr>
          <w:rFonts w:hint="eastAsia"/>
          <w:color w:val="auto"/>
        </w:rPr>
        <w:t>参数/软件版本查询检测要求如下：</w:t>
      </w:r>
    </w:p>
    <w:p>
      <w:pPr>
        <w:pStyle w:val="178"/>
        <w:numPr>
          <w:ilvl w:val="0"/>
          <w:numId w:val="567"/>
        </w:numPr>
        <w:rPr>
          <w:color w:val="auto"/>
        </w:rPr>
      </w:pPr>
      <w:r>
        <w:rPr>
          <w:rFonts w:hint="eastAsia"/>
          <w:color w:val="auto"/>
        </w:rPr>
        <w:t>检测内容应依据DB11/T 1164.1中AG、BOM、TVM、TSM、ITVM、PCA、中心系统参数/软件同步功能的要求逐项检测；</w:t>
      </w:r>
    </w:p>
    <w:p>
      <w:pPr>
        <w:pStyle w:val="178"/>
        <w:rPr>
          <w:color w:val="auto"/>
        </w:rPr>
      </w:pPr>
      <w:r>
        <w:rPr>
          <w:rFonts w:hint="eastAsia"/>
          <w:color w:val="auto"/>
        </w:rPr>
        <w:t>检测方法要求如下：</w:t>
      </w:r>
    </w:p>
    <w:p>
      <w:pPr>
        <w:pStyle w:val="113"/>
        <w:numPr>
          <w:ilvl w:val="1"/>
          <w:numId w:val="568"/>
        </w:numPr>
        <w:rPr>
          <w:color w:val="auto"/>
        </w:rPr>
      </w:pPr>
      <w:r>
        <w:rPr>
          <w:rFonts w:hint="eastAsia"/>
          <w:color w:val="auto"/>
        </w:rPr>
        <w:t>在受检中心系统应观察到参数/软件版本信息数据（根据需求的规定保存一定数量的版本）；</w:t>
      </w:r>
    </w:p>
    <w:p>
      <w:pPr>
        <w:pStyle w:val="113"/>
        <w:rPr>
          <w:color w:val="auto"/>
        </w:rPr>
      </w:pPr>
      <w:r>
        <w:rPr>
          <w:rFonts w:hint="eastAsia"/>
          <w:color w:val="auto"/>
        </w:rPr>
        <w:t>在受检终端应观察到参数/软件版本信息数据（当前版和将来版）。</w:t>
      </w:r>
    </w:p>
    <w:p>
      <w:pPr>
        <w:pStyle w:val="98"/>
        <w:spacing w:before="156" w:after="156"/>
        <w:rPr>
          <w:color w:val="auto"/>
        </w:rPr>
      </w:pPr>
      <w:r>
        <w:rPr>
          <w:rFonts w:hint="eastAsia"/>
          <w:color w:val="auto"/>
        </w:rPr>
        <w:t>自动时钟同步检测</w:t>
      </w:r>
    </w:p>
    <w:p>
      <w:pPr>
        <w:pStyle w:val="60"/>
        <w:ind w:firstLine="420"/>
        <w:rPr>
          <w:color w:val="auto"/>
        </w:rPr>
      </w:pPr>
      <w:r>
        <w:rPr>
          <w:rFonts w:hint="eastAsia"/>
          <w:color w:val="auto"/>
        </w:rPr>
        <w:t>自动时钟同步检测要求如下：</w:t>
      </w:r>
    </w:p>
    <w:p>
      <w:pPr>
        <w:pStyle w:val="178"/>
        <w:numPr>
          <w:ilvl w:val="0"/>
          <w:numId w:val="569"/>
        </w:numPr>
        <w:rPr>
          <w:color w:val="auto"/>
        </w:rPr>
      </w:pPr>
      <w:r>
        <w:rPr>
          <w:rFonts w:hint="eastAsia"/>
          <w:color w:val="auto"/>
        </w:rPr>
        <w:t>检测内容应依据DB11/T 1164.1中AG、BOM、TVM、TSM、ITVM、中心系统时钟同步功能的要求逐项检测；</w:t>
      </w:r>
    </w:p>
    <w:p>
      <w:pPr>
        <w:pStyle w:val="178"/>
        <w:rPr>
          <w:color w:val="auto"/>
        </w:rPr>
      </w:pPr>
      <w:r>
        <w:rPr>
          <w:rFonts w:hint="eastAsia"/>
          <w:color w:val="auto"/>
        </w:rPr>
        <w:t>检测方法要求如下：</w:t>
      </w:r>
    </w:p>
    <w:p>
      <w:pPr>
        <w:pStyle w:val="113"/>
        <w:numPr>
          <w:ilvl w:val="1"/>
          <w:numId w:val="570"/>
        </w:numPr>
        <w:rPr>
          <w:color w:val="auto"/>
        </w:rPr>
      </w:pPr>
      <w:r>
        <w:rPr>
          <w:rFonts w:hint="eastAsia"/>
          <w:color w:val="auto"/>
        </w:rPr>
        <w:t>设置受检中心系统与受检终端自动时钟同步的时间间隔；</w:t>
      </w:r>
    </w:p>
    <w:p>
      <w:pPr>
        <w:pStyle w:val="113"/>
        <w:rPr>
          <w:color w:val="auto"/>
        </w:rPr>
      </w:pPr>
      <w:r>
        <w:rPr>
          <w:rFonts w:hint="eastAsia"/>
          <w:color w:val="auto"/>
        </w:rPr>
        <w:t>使受检中心系统的时钟与仿真中心系统的时钟存在差异；</w:t>
      </w:r>
    </w:p>
    <w:p>
      <w:pPr>
        <w:pStyle w:val="113"/>
        <w:rPr>
          <w:color w:val="auto"/>
        </w:rPr>
      </w:pPr>
      <w:r>
        <w:rPr>
          <w:rFonts w:hint="eastAsia"/>
          <w:color w:val="auto"/>
        </w:rPr>
        <w:t>观察受检中心系统在到达同步时间间隔后，同步应成功；</w:t>
      </w:r>
    </w:p>
    <w:p>
      <w:pPr>
        <w:pStyle w:val="113"/>
        <w:rPr>
          <w:color w:val="auto"/>
        </w:rPr>
      </w:pPr>
      <w:r>
        <w:rPr>
          <w:rFonts w:hint="eastAsia"/>
          <w:color w:val="auto"/>
        </w:rPr>
        <w:t>观察受检终端在到达同步时间间隔后，同步应成功；</w:t>
      </w:r>
    </w:p>
    <w:p>
      <w:pPr>
        <w:pStyle w:val="113"/>
        <w:rPr>
          <w:color w:val="auto"/>
        </w:rPr>
      </w:pPr>
      <w:r>
        <w:rPr>
          <w:rFonts w:hint="eastAsia"/>
          <w:color w:val="auto"/>
        </w:rPr>
        <w:t>在受检中心系统应观察到受检终端时钟差异超过报警值时的报警信息；</w:t>
      </w:r>
    </w:p>
    <w:p>
      <w:pPr>
        <w:pStyle w:val="113"/>
        <w:rPr>
          <w:color w:val="auto"/>
        </w:rPr>
      </w:pPr>
      <w:r>
        <w:rPr>
          <w:rFonts w:hint="eastAsia"/>
          <w:color w:val="auto"/>
        </w:rPr>
        <w:t>当受检终端时钟与受检中心系统时钟差异超过允许同步值时，观察受检终端时钟同步是否失败。</w:t>
      </w:r>
    </w:p>
    <w:p>
      <w:pPr>
        <w:pStyle w:val="98"/>
        <w:spacing w:before="156" w:after="156"/>
        <w:rPr>
          <w:color w:val="auto"/>
        </w:rPr>
      </w:pPr>
      <w:r>
        <w:rPr>
          <w:rFonts w:hint="eastAsia"/>
          <w:color w:val="auto"/>
        </w:rPr>
        <w:t>强制时钟同步检测</w:t>
      </w:r>
    </w:p>
    <w:p>
      <w:pPr>
        <w:pStyle w:val="60"/>
        <w:ind w:firstLine="420"/>
        <w:rPr>
          <w:color w:val="auto"/>
        </w:rPr>
      </w:pPr>
      <w:r>
        <w:rPr>
          <w:rFonts w:hint="eastAsia"/>
          <w:color w:val="auto"/>
        </w:rPr>
        <w:t>强制时钟同步检测要求如下：</w:t>
      </w:r>
    </w:p>
    <w:p>
      <w:pPr>
        <w:pStyle w:val="178"/>
        <w:numPr>
          <w:ilvl w:val="0"/>
          <w:numId w:val="571"/>
        </w:numPr>
        <w:rPr>
          <w:color w:val="auto"/>
        </w:rPr>
      </w:pPr>
      <w:r>
        <w:rPr>
          <w:rFonts w:hint="eastAsia"/>
          <w:color w:val="auto"/>
        </w:rPr>
        <w:t>检测内容应依据DB11/T 1164.1中AG、BOM、TVM、TSM、ITVM、PCA、中心系统时钟同步功能的要求逐项检测；</w:t>
      </w:r>
    </w:p>
    <w:p>
      <w:pPr>
        <w:pStyle w:val="178"/>
        <w:rPr>
          <w:color w:val="auto"/>
        </w:rPr>
      </w:pPr>
      <w:r>
        <w:rPr>
          <w:rFonts w:hint="eastAsia"/>
          <w:color w:val="auto"/>
        </w:rPr>
        <w:t>检测方法要求如下：</w:t>
      </w:r>
    </w:p>
    <w:p>
      <w:pPr>
        <w:pStyle w:val="113"/>
        <w:numPr>
          <w:ilvl w:val="1"/>
          <w:numId w:val="572"/>
        </w:numPr>
        <w:rPr>
          <w:color w:val="auto"/>
        </w:rPr>
      </w:pPr>
      <w:r>
        <w:rPr>
          <w:rFonts w:hint="eastAsia"/>
          <w:color w:val="auto"/>
        </w:rPr>
        <w:t>在受检中心系统执行强制时钟同步操作，观察受检终端的时钟应被修改；</w:t>
      </w:r>
    </w:p>
    <w:p>
      <w:pPr>
        <w:pStyle w:val="113"/>
        <w:rPr>
          <w:color w:val="auto"/>
        </w:rPr>
      </w:pPr>
      <w:r>
        <w:rPr>
          <w:rFonts w:hint="eastAsia"/>
          <w:color w:val="auto"/>
        </w:rPr>
        <w:t>在受检中心系统应观察到相关操作日志。</w:t>
      </w:r>
    </w:p>
    <w:p>
      <w:pPr>
        <w:pStyle w:val="98"/>
        <w:spacing w:before="156" w:after="156"/>
        <w:rPr>
          <w:color w:val="auto"/>
        </w:rPr>
      </w:pPr>
      <w:r>
        <w:rPr>
          <w:rFonts w:hint="eastAsia"/>
          <w:color w:val="auto"/>
        </w:rPr>
        <w:t>钱箱管理检测</w:t>
      </w:r>
    </w:p>
    <w:p>
      <w:pPr>
        <w:pStyle w:val="60"/>
        <w:ind w:firstLine="420"/>
        <w:rPr>
          <w:color w:val="auto"/>
        </w:rPr>
      </w:pPr>
      <w:r>
        <w:rPr>
          <w:rFonts w:hint="eastAsia"/>
          <w:color w:val="auto"/>
        </w:rPr>
        <w:t>钱箱管理检测要求如下：</w:t>
      </w:r>
    </w:p>
    <w:p>
      <w:pPr>
        <w:pStyle w:val="178"/>
        <w:numPr>
          <w:ilvl w:val="0"/>
          <w:numId w:val="573"/>
        </w:numPr>
        <w:rPr>
          <w:color w:val="auto"/>
        </w:rPr>
      </w:pPr>
      <w:r>
        <w:rPr>
          <w:rFonts w:hint="eastAsia"/>
          <w:color w:val="auto"/>
        </w:rPr>
        <w:t>检测内容应依据DB11/T 1164.1中TVM钱箱管理功能的要求逐项检测；</w:t>
      </w:r>
    </w:p>
    <w:p>
      <w:pPr>
        <w:pStyle w:val="178"/>
        <w:rPr>
          <w:color w:val="auto"/>
        </w:rPr>
      </w:pPr>
      <w:r>
        <w:rPr>
          <w:rFonts w:hint="eastAsia"/>
          <w:color w:val="auto"/>
        </w:rPr>
        <w:t>检测方法要求如下：</w:t>
      </w:r>
    </w:p>
    <w:p>
      <w:pPr>
        <w:pStyle w:val="113"/>
        <w:numPr>
          <w:ilvl w:val="1"/>
          <w:numId w:val="574"/>
        </w:numPr>
        <w:rPr>
          <w:color w:val="auto"/>
        </w:rPr>
      </w:pPr>
      <w:r>
        <w:rPr>
          <w:rFonts w:hint="eastAsia"/>
          <w:color w:val="auto"/>
        </w:rPr>
        <w:t>在受检TVM上进行钱箱安装/卸下操作；</w:t>
      </w:r>
    </w:p>
    <w:p>
      <w:pPr>
        <w:pStyle w:val="113"/>
        <w:rPr>
          <w:color w:val="auto"/>
        </w:rPr>
      </w:pPr>
      <w:r>
        <w:rPr>
          <w:rFonts w:hint="eastAsia"/>
          <w:color w:val="auto"/>
        </w:rPr>
        <w:t>在受检中心系统应观察到受检TVM钱箱安装/卸下状态数据、钱箱更换数据。</w:t>
      </w:r>
    </w:p>
    <w:p>
      <w:pPr>
        <w:pStyle w:val="98"/>
        <w:spacing w:before="156" w:after="156"/>
        <w:rPr>
          <w:color w:val="auto"/>
        </w:rPr>
      </w:pPr>
      <w:r>
        <w:rPr>
          <w:rFonts w:hint="eastAsia"/>
          <w:color w:val="auto"/>
        </w:rPr>
        <w:t>班次结算检测</w:t>
      </w:r>
    </w:p>
    <w:p>
      <w:pPr>
        <w:pStyle w:val="60"/>
        <w:ind w:firstLine="420"/>
        <w:rPr>
          <w:color w:val="auto"/>
        </w:rPr>
      </w:pPr>
      <w:r>
        <w:rPr>
          <w:rFonts w:hint="eastAsia"/>
          <w:color w:val="auto"/>
        </w:rPr>
        <w:t>班次结算检测要求如下：</w:t>
      </w:r>
    </w:p>
    <w:p>
      <w:pPr>
        <w:pStyle w:val="178"/>
        <w:numPr>
          <w:ilvl w:val="0"/>
          <w:numId w:val="575"/>
        </w:numPr>
        <w:rPr>
          <w:color w:val="auto"/>
        </w:rPr>
      </w:pPr>
      <w:r>
        <w:rPr>
          <w:rFonts w:hint="eastAsia"/>
          <w:color w:val="auto"/>
        </w:rPr>
        <w:t>检测内容应依据DB11/T 1164.1中中心系统班次结算功能的要求逐项检测；</w:t>
      </w:r>
    </w:p>
    <w:p>
      <w:pPr>
        <w:pStyle w:val="178"/>
        <w:rPr>
          <w:color w:val="auto"/>
        </w:rPr>
      </w:pPr>
      <w:r>
        <w:rPr>
          <w:rFonts w:hint="eastAsia"/>
          <w:color w:val="auto"/>
        </w:rPr>
        <w:t>检测方法要求如下：</w:t>
      </w:r>
    </w:p>
    <w:p>
      <w:pPr>
        <w:pStyle w:val="113"/>
        <w:numPr>
          <w:ilvl w:val="1"/>
          <w:numId w:val="576"/>
        </w:numPr>
        <w:rPr>
          <w:color w:val="auto"/>
        </w:rPr>
      </w:pPr>
      <w:r>
        <w:rPr>
          <w:rFonts w:hint="eastAsia"/>
          <w:color w:val="auto"/>
        </w:rPr>
        <w:t>在受检BOM上进行售票、充值、退票、补票、替换等操作；</w:t>
      </w:r>
    </w:p>
    <w:p>
      <w:pPr>
        <w:pStyle w:val="113"/>
        <w:rPr>
          <w:color w:val="auto"/>
        </w:rPr>
      </w:pPr>
      <w:r>
        <w:rPr>
          <w:rFonts w:hint="eastAsia"/>
          <w:color w:val="auto"/>
        </w:rPr>
        <w:t>在受检中心系统上进行班次结算，受检BOM应上传BOM审计数据至受检中心系统；</w:t>
      </w:r>
    </w:p>
    <w:p>
      <w:pPr>
        <w:pStyle w:val="113"/>
        <w:rPr>
          <w:color w:val="auto"/>
        </w:rPr>
      </w:pPr>
      <w:r>
        <w:rPr>
          <w:rFonts w:hint="eastAsia"/>
          <w:color w:val="auto"/>
        </w:rPr>
        <w:t>在受检中心系统观察到BOM审计数据、班次现金核算数据。</w:t>
      </w:r>
    </w:p>
    <w:p>
      <w:pPr>
        <w:pStyle w:val="98"/>
        <w:spacing w:before="156" w:after="156"/>
        <w:rPr>
          <w:color w:val="auto"/>
        </w:rPr>
      </w:pPr>
      <w:r>
        <w:rPr>
          <w:rFonts w:hint="eastAsia"/>
          <w:color w:val="auto"/>
        </w:rPr>
        <w:t>操作员登录检测</w:t>
      </w:r>
    </w:p>
    <w:p>
      <w:pPr>
        <w:pStyle w:val="60"/>
        <w:ind w:firstLine="420"/>
        <w:rPr>
          <w:color w:val="auto"/>
        </w:rPr>
      </w:pPr>
      <w:r>
        <w:rPr>
          <w:rFonts w:hint="eastAsia"/>
          <w:color w:val="auto"/>
        </w:rPr>
        <w:t>操作员登录检测要求如下：</w:t>
      </w:r>
    </w:p>
    <w:p>
      <w:pPr>
        <w:pStyle w:val="178"/>
        <w:numPr>
          <w:ilvl w:val="0"/>
          <w:numId w:val="577"/>
        </w:numPr>
        <w:rPr>
          <w:color w:val="auto"/>
        </w:rPr>
      </w:pPr>
      <w:r>
        <w:rPr>
          <w:rFonts w:hint="eastAsia"/>
          <w:color w:val="auto"/>
        </w:rPr>
        <w:t>检测内容应依据DB11/T 1164.1中AG、BOM、TVM、TSM、ITVM、中心系统操作员登录/登出的要求逐项检测；</w:t>
      </w:r>
    </w:p>
    <w:p>
      <w:pPr>
        <w:pStyle w:val="178"/>
        <w:rPr>
          <w:color w:val="auto"/>
        </w:rPr>
      </w:pPr>
      <w:r>
        <w:rPr>
          <w:rFonts w:hint="eastAsia"/>
          <w:color w:val="auto"/>
        </w:rPr>
        <w:t>检测方法要求如下：</w:t>
      </w:r>
    </w:p>
    <w:p>
      <w:pPr>
        <w:pStyle w:val="113"/>
        <w:numPr>
          <w:ilvl w:val="1"/>
          <w:numId w:val="578"/>
        </w:numPr>
        <w:rPr>
          <w:color w:val="auto"/>
        </w:rPr>
      </w:pPr>
      <w:r>
        <w:rPr>
          <w:rFonts w:hint="eastAsia"/>
          <w:color w:val="auto"/>
        </w:rPr>
        <w:t>通过受检中心系统下发操作员权限相关参数；</w:t>
      </w:r>
    </w:p>
    <w:p>
      <w:pPr>
        <w:pStyle w:val="113"/>
        <w:rPr>
          <w:color w:val="auto"/>
        </w:rPr>
      </w:pPr>
      <w:r>
        <w:rPr>
          <w:rFonts w:hint="eastAsia"/>
          <w:color w:val="auto"/>
        </w:rPr>
        <w:t>使受检中心系统与受检终端进行参数同步；</w:t>
      </w:r>
    </w:p>
    <w:p>
      <w:pPr>
        <w:pStyle w:val="113"/>
        <w:rPr>
          <w:color w:val="auto"/>
        </w:rPr>
      </w:pPr>
      <w:r>
        <w:rPr>
          <w:rFonts w:hint="eastAsia"/>
          <w:color w:val="auto"/>
        </w:rPr>
        <w:t>在受检终端上进行操作员登录/登出操作，受检终端应上传操作员登录登出数据至受检中心系统；</w:t>
      </w:r>
    </w:p>
    <w:p>
      <w:pPr>
        <w:pStyle w:val="113"/>
        <w:rPr>
          <w:color w:val="auto"/>
        </w:rPr>
      </w:pPr>
      <w:r>
        <w:rPr>
          <w:rFonts w:hint="eastAsia"/>
          <w:color w:val="auto"/>
        </w:rPr>
        <w:t>受检中心系统反馈允许或拒绝登录/登出信息至受检终端；</w:t>
      </w:r>
    </w:p>
    <w:p>
      <w:pPr>
        <w:pStyle w:val="113"/>
        <w:rPr>
          <w:color w:val="auto"/>
        </w:rPr>
      </w:pPr>
      <w:r>
        <w:rPr>
          <w:rFonts w:hint="eastAsia"/>
          <w:color w:val="auto"/>
        </w:rPr>
        <w:t>受检终端应允许进入/退出操作界面或拒绝进入操作界面；</w:t>
      </w:r>
    </w:p>
    <w:p>
      <w:pPr>
        <w:pStyle w:val="113"/>
        <w:rPr>
          <w:color w:val="auto"/>
        </w:rPr>
      </w:pPr>
      <w:r>
        <w:rPr>
          <w:rFonts w:hint="eastAsia"/>
          <w:color w:val="auto"/>
        </w:rPr>
        <w:t>在受检中心系统应观察到操作员登录/登出信息数据；</w:t>
      </w:r>
    </w:p>
    <w:p>
      <w:pPr>
        <w:pStyle w:val="113"/>
        <w:rPr>
          <w:color w:val="auto"/>
        </w:rPr>
      </w:pPr>
      <w:r>
        <w:rPr>
          <w:rFonts w:hint="eastAsia"/>
          <w:color w:val="auto"/>
        </w:rPr>
        <w:t>观察受检终端对登录操作员权限的处理应符合参数定义的要求；</w:t>
      </w:r>
    </w:p>
    <w:p>
      <w:pPr>
        <w:pStyle w:val="113"/>
        <w:rPr>
          <w:color w:val="auto"/>
        </w:rPr>
      </w:pPr>
      <w:r>
        <w:rPr>
          <w:rFonts w:hint="eastAsia"/>
          <w:color w:val="auto"/>
        </w:rPr>
        <w:t>在受检中心系统上进行操作员登录/登出操作，通过受检中心系统的记录检测终端上传的登录/登出数据应正确；</w:t>
      </w:r>
    </w:p>
    <w:p>
      <w:pPr>
        <w:pStyle w:val="113"/>
        <w:rPr>
          <w:color w:val="auto"/>
        </w:rPr>
      </w:pPr>
      <w:r>
        <w:rPr>
          <w:rFonts w:hint="eastAsia"/>
          <w:color w:val="auto"/>
        </w:rPr>
        <w:t>受检中心系统反馈允许或拒绝登录/登出信息至受检终端；</w:t>
      </w:r>
    </w:p>
    <w:p>
      <w:pPr>
        <w:pStyle w:val="113"/>
        <w:rPr>
          <w:color w:val="auto"/>
        </w:rPr>
      </w:pPr>
      <w:r>
        <w:rPr>
          <w:rFonts w:hint="eastAsia"/>
          <w:color w:val="auto"/>
        </w:rPr>
        <w:t>受检中心系统应允许进入/退出操作界面或拒绝进入操作界面；</w:t>
      </w:r>
    </w:p>
    <w:p>
      <w:pPr>
        <w:pStyle w:val="113"/>
        <w:rPr>
          <w:color w:val="auto"/>
        </w:rPr>
      </w:pPr>
      <w:r>
        <w:rPr>
          <w:rFonts w:hint="eastAsia"/>
          <w:color w:val="auto"/>
        </w:rPr>
        <w:t>观察受检中心系统对登录操作员权限的处理应符合参数定义的要求。</w:t>
      </w:r>
    </w:p>
    <w:p>
      <w:pPr>
        <w:pStyle w:val="98"/>
        <w:spacing w:before="156" w:after="156"/>
        <w:rPr>
          <w:color w:val="auto"/>
        </w:rPr>
      </w:pPr>
      <w:r>
        <w:rPr>
          <w:rFonts w:hint="eastAsia"/>
          <w:color w:val="auto"/>
        </w:rPr>
        <w:t>操作员解锁检测</w:t>
      </w:r>
    </w:p>
    <w:p>
      <w:pPr>
        <w:pStyle w:val="60"/>
        <w:ind w:firstLine="420"/>
        <w:rPr>
          <w:color w:val="auto"/>
        </w:rPr>
      </w:pPr>
      <w:r>
        <w:rPr>
          <w:rFonts w:hint="eastAsia"/>
          <w:color w:val="auto"/>
        </w:rPr>
        <w:t>操作员解锁检测要求如下：</w:t>
      </w:r>
    </w:p>
    <w:p>
      <w:pPr>
        <w:pStyle w:val="178"/>
        <w:numPr>
          <w:ilvl w:val="0"/>
          <w:numId w:val="579"/>
        </w:numPr>
        <w:rPr>
          <w:color w:val="auto"/>
        </w:rPr>
      </w:pPr>
      <w:r>
        <w:rPr>
          <w:rFonts w:hint="eastAsia"/>
          <w:color w:val="auto"/>
        </w:rPr>
        <w:t>检测内容应依据DB11/T 1164.1中中心系统操作员解锁的要求逐项检测；</w:t>
      </w:r>
    </w:p>
    <w:p>
      <w:pPr>
        <w:pStyle w:val="178"/>
        <w:rPr>
          <w:color w:val="auto"/>
        </w:rPr>
      </w:pPr>
      <w:r>
        <w:rPr>
          <w:rFonts w:hint="eastAsia"/>
          <w:color w:val="auto"/>
        </w:rPr>
        <w:t>检测方法要求如下：</w:t>
      </w:r>
    </w:p>
    <w:p>
      <w:pPr>
        <w:pStyle w:val="113"/>
        <w:numPr>
          <w:ilvl w:val="1"/>
          <w:numId w:val="580"/>
        </w:numPr>
        <w:rPr>
          <w:color w:val="auto"/>
        </w:rPr>
      </w:pPr>
      <w:r>
        <w:rPr>
          <w:rFonts w:hint="eastAsia"/>
          <w:color w:val="auto"/>
        </w:rPr>
        <w:t>在受检中心系统进行操作员解锁操作，受检中心系统的记录检测受检中心系统的操作员解锁处理应正确；</w:t>
      </w:r>
    </w:p>
    <w:p>
      <w:pPr>
        <w:pStyle w:val="113"/>
        <w:rPr>
          <w:color w:val="auto"/>
        </w:rPr>
      </w:pPr>
      <w:r>
        <w:rPr>
          <w:rFonts w:hint="eastAsia"/>
          <w:color w:val="auto"/>
        </w:rPr>
        <w:t>操作员重新登录被锁定的受检终端，应允许登录。</w:t>
      </w:r>
    </w:p>
    <w:p>
      <w:pPr>
        <w:pStyle w:val="98"/>
        <w:spacing w:before="156" w:after="156"/>
        <w:rPr>
          <w:color w:val="auto"/>
        </w:rPr>
      </w:pPr>
      <w:r>
        <w:rPr>
          <w:rFonts w:hint="eastAsia"/>
          <w:color w:val="auto"/>
        </w:rPr>
        <w:t>强制登出检测</w:t>
      </w:r>
    </w:p>
    <w:p>
      <w:pPr>
        <w:pStyle w:val="60"/>
        <w:ind w:firstLine="420"/>
        <w:rPr>
          <w:color w:val="auto"/>
        </w:rPr>
      </w:pPr>
      <w:r>
        <w:rPr>
          <w:rFonts w:hint="eastAsia"/>
          <w:color w:val="auto"/>
        </w:rPr>
        <w:t>强制登出检测要求如下：</w:t>
      </w:r>
    </w:p>
    <w:p>
      <w:pPr>
        <w:pStyle w:val="178"/>
        <w:numPr>
          <w:ilvl w:val="0"/>
          <w:numId w:val="581"/>
        </w:numPr>
        <w:rPr>
          <w:color w:val="auto"/>
        </w:rPr>
      </w:pPr>
      <w:r>
        <w:rPr>
          <w:rFonts w:hint="eastAsia"/>
          <w:color w:val="auto"/>
        </w:rPr>
        <w:t>检测内容应依据DB11/T 1164.1中中心系统强制退出登录的要求逐项检测；</w:t>
      </w:r>
    </w:p>
    <w:p>
      <w:pPr>
        <w:pStyle w:val="178"/>
        <w:rPr>
          <w:color w:val="auto"/>
        </w:rPr>
      </w:pPr>
      <w:r>
        <w:rPr>
          <w:rFonts w:hint="eastAsia"/>
          <w:color w:val="auto"/>
        </w:rPr>
        <w:t>检测方法：登录受检终端，在受检中心系统进行强制退出登录操作，受检终端应退出操作界面。</w:t>
      </w:r>
    </w:p>
    <w:p>
      <w:pPr>
        <w:pStyle w:val="98"/>
        <w:spacing w:before="156" w:after="156"/>
        <w:rPr>
          <w:color w:val="auto"/>
        </w:rPr>
      </w:pPr>
      <w:r>
        <w:rPr>
          <w:rFonts w:hint="eastAsia"/>
          <w:color w:val="auto"/>
        </w:rPr>
        <w:t>密码修改检测</w:t>
      </w:r>
    </w:p>
    <w:p>
      <w:pPr>
        <w:pStyle w:val="60"/>
        <w:ind w:firstLine="420"/>
        <w:rPr>
          <w:color w:val="auto"/>
        </w:rPr>
      </w:pPr>
      <w:r>
        <w:rPr>
          <w:rFonts w:hint="eastAsia"/>
          <w:color w:val="auto"/>
        </w:rPr>
        <w:t>密码修改检测要求如下：</w:t>
      </w:r>
    </w:p>
    <w:p>
      <w:pPr>
        <w:pStyle w:val="178"/>
        <w:numPr>
          <w:ilvl w:val="0"/>
          <w:numId w:val="582"/>
        </w:numPr>
        <w:rPr>
          <w:color w:val="auto"/>
        </w:rPr>
      </w:pPr>
      <w:r>
        <w:rPr>
          <w:rFonts w:hint="eastAsia"/>
          <w:color w:val="auto"/>
        </w:rPr>
        <w:t>检测内容应依据DB11/T 1164.1中中心系统密码修改的要求逐项检测；</w:t>
      </w:r>
    </w:p>
    <w:p>
      <w:pPr>
        <w:pStyle w:val="178"/>
        <w:rPr>
          <w:color w:val="auto"/>
        </w:rPr>
      </w:pPr>
      <w:r>
        <w:rPr>
          <w:rFonts w:hint="eastAsia"/>
          <w:color w:val="auto"/>
        </w:rPr>
        <w:t>检测方法要求如下：</w:t>
      </w:r>
    </w:p>
    <w:p>
      <w:pPr>
        <w:pStyle w:val="113"/>
        <w:numPr>
          <w:ilvl w:val="1"/>
          <w:numId w:val="583"/>
        </w:numPr>
        <w:rPr>
          <w:color w:val="auto"/>
        </w:rPr>
      </w:pPr>
      <w:r>
        <w:rPr>
          <w:rFonts w:hint="eastAsia"/>
          <w:color w:val="auto"/>
        </w:rPr>
        <w:t>在受检受检中心系统上进行密码修改操作；</w:t>
      </w:r>
    </w:p>
    <w:p>
      <w:pPr>
        <w:pStyle w:val="113"/>
        <w:rPr>
          <w:color w:val="auto"/>
        </w:rPr>
      </w:pPr>
      <w:r>
        <w:rPr>
          <w:rFonts w:hint="eastAsia"/>
          <w:color w:val="auto"/>
        </w:rPr>
        <w:t>通过受检中心系统的记录检测受检中心系统的操作员密码修改操作数据应正确；</w:t>
      </w:r>
    </w:p>
    <w:p>
      <w:pPr>
        <w:pStyle w:val="113"/>
        <w:rPr>
          <w:color w:val="auto"/>
        </w:rPr>
      </w:pPr>
      <w:r>
        <w:rPr>
          <w:rFonts w:hint="eastAsia"/>
          <w:color w:val="auto"/>
        </w:rPr>
        <w:t>使用受检中心系统下发操作员权限相关参数数据至受检终端；</w:t>
      </w:r>
    </w:p>
    <w:p>
      <w:pPr>
        <w:pStyle w:val="113"/>
        <w:rPr>
          <w:color w:val="auto"/>
        </w:rPr>
      </w:pPr>
      <w:r>
        <w:rPr>
          <w:rFonts w:hint="eastAsia"/>
          <w:color w:val="auto"/>
        </w:rPr>
        <w:t>使受检中心系统与受检终端进行参数同步；</w:t>
      </w:r>
    </w:p>
    <w:p>
      <w:pPr>
        <w:pStyle w:val="113"/>
        <w:rPr>
          <w:color w:val="auto"/>
        </w:rPr>
      </w:pPr>
      <w:r>
        <w:rPr>
          <w:rFonts w:hint="eastAsia"/>
          <w:color w:val="auto"/>
        </w:rPr>
        <w:t>使用修改后的密码登录受检终端/受检中心系统，应允许登录。</w:t>
      </w:r>
    </w:p>
    <w:p>
      <w:pPr>
        <w:pStyle w:val="98"/>
        <w:spacing w:before="156" w:after="156"/>
        <w:rPr>
          <w:color w:val="auto"/>
        </w:rPr>
      </w:pPr>
      <w:r>
        <w:rPr>
          <w:rFonts w:hint="eastAsia"/>
          <w:color w:val="auto"/>
        </w:rPr>
        <w:t>数据审计检测</w:t>
      </w:r>
    </w:p>
    <w:p>
      <w:pPr>
        <w:pStyle w:val="60"/>
        <w:ind w:firstLine="420"/>
        <w:rPr>
          <w:color w:val="auto"/>
        </w:rPr>
      </w:pPr>
      <w:r>
        <w:rPr>
          <w:rFonts w:hint="eastAsia"/>
          <w:color w:val="auto"/>
        </w:rPr>
        <w:t>数据审计检测要求如下：</w:t>
      </w:r>
    </w:p>
    <w:p>
      <w:pPr>
        <w:pStyle w:val="178"/>
        <w:numPr>
          <w:ilvl w:val="0"/>
          <w:numId w:val="584"/>
        </w:numPr>
        <w:rPr>
          <w:color w:val="auto"/>
        </w:rPr>
      </w:pPr>
      <w:r>
        <w:rPr>
          <w:rFonts w:hint="eastAsia"/>
          <w:color w:val="auto"/>
        </w:rPr>
        <w:t>检测内容应依据DB11/T 1164.1中中心系统数据审计的要求逐项检测；</w:t>
      </w:r>
    </w:p>
    <w:p>
      <w:pPr>
        <w:pStyle w:val="178"/>
        <w:rPr>
          <w:color w:val="auto"/>
        </w:rPr>
      </w:pPr>
      <w:r>
        <w:rPr>
          <w:rFonts w:hint="eastAsia"/>
          <w:color w:val="auto"/>
        </w:rPr>
        <w:t>检测方法要求如下：</w:t>
      </w:r>
    </w:p>
    <w:p>
      <w:pPr>
        <w:pStyle w:val="113"/>
        <w:numPr>
          <w:ilvl w:val="1"/>
          <w:numId w:val="585"/>
        </w:numPr>
        <w:rPr>
          <w:color w:val="auto"/>
        </w:rPr>
      </w:pPr>
      <w:r>
        <w:rPr>
          <w:rFonts w:hint="eastAsia"/>
          <w:color w:val="auto"/>
        </w:rPr>
        <w:t>在受检终端上进行票卡业务处理；</w:t>
      </w:r>
    </w:p>
    <w:p>
      <w:pPr>
        <w:pStyle w:val="113"/>
        <w:rPr>
          <w:color w:val="auto"/>
        </w:rPr>
      </w:pPr>
      <w:r>
        <w:rPr>
          <w:rFonts w:hint="eastAsia"/>
          <w:color w:val="auto"/>
        </w:rPr>
        <w:t>使受检终端进行运营结束处理；</w:t>
      </w:r>
    </w:p>
    <w:p>
      <w:pPr>
        <w:pStyle w:val="113"/>
        <w:rPr>
          <w:color w:val="auto"/>
        </w:rPr>
      </w:pPr>
      <w:r>
        <w:rPr>
          <w:rFonts w:hint="eastAsia"/>
          <w:color w:val="auto"/>
        </w:rPr>
        <w:t>使受检中心系统进行运营结束处理；</w:t>
      </w:r>
    </w:p>
    <w:p>
      <w:pPr>
        <w:pStyle w:val="113"/>
        <w:rPr>
          <w:color w:val="auto"/>
        </w:rPr>
      </w:pPr>
      <w:r>
        <w:rPr>
          <w:rFonts w:hint="eastAsia"/>
          <w:color w:val="auto"/>
        </w:rPr>
        <w:t>在受检中心系统应观察到AG日结数据、TVM日结数据、BOM审计数据、设备寄存器数据；</w:t>
      </w:r>
    </w:p>
    <w:p>
      <w:pPr>
        <w:pStyle w:val="113"/>
        <w:rPr>
          <w:color w:val="auto"/>
        </w:rPr>
      </w:pPr>
      <w:r>
        <w:rPr>
          <w:rFonts w:hint="eastAsia"/>
          <w:color w:val="auto"/>
        </w:rPr>
        <w:t>在受检中心系统应生成相关统计数据，将中心系统日结统计数据与G日结数据、TVM日结数据、BOM审计数据、设备寄存器数据进行比对，判断数据应一致。</w:t>
      </w:r>
    </w:p>
    <w:p>
      <w:pPr>
        <w:pStyle w:val="98"/>
        <w:spacing w:before="156" w:after="156"/>
        <w:rPr>
          <w:color w:val="auto"/>
        </w:rPr>
      </w:pPr>
      <w:r>
        <w:rPr>
          <w:rFonts w:hint="eastAsia"/>
          <w:color w:val="auto"/>
        </w:rPr>
        <w:t>传输审计检测</w:t>
      </w:r>
    </w:p>
    <w:p>
      <w:pPr>
        <w:pStyle w:val="60"/>
        <w:ind w:firstLine="420"/>
        <w:rPr>
          <w:color w:val="auto"/>
        </w:rPr>
      </w:pPr>
      <w:r>
        <w:rPr>
          <w:rFonts w:hint="eastAsia"/>
          <w:color w:val="auto"/>
        </w:rPr>
        <w:t>传输审计检测要求如下：</w:t>
      </w:r>
    </w:p>
    <w:p>
      <w:pPr>
        <w:pStyle w:val="178"/>
        <w:numPr>
          <w:ilvl w:val="0"/>
          <w:numId w:val="586"/>
        </w:numPr>
        <w:rPr>
          <w:color w:val="auto"/>
        </w:rPr>
      </w:pPr>
      <w:r>
        <w:rPr>
          <w:rFonts w:hint="eastAsia"/>
          <w:color w:val="auto"/>
        </w:rPr>
        <w:t>检测内容应依据DB11/T 1164.1中中心系统传输审计的要求逐项检测；</w:t>
      </w:r>
    </w:p>
    <w:p>
      <w:pPr>
        <w:pStyle w:val="178"/>
        <w:rPr>
          <w:color w:val="auto"/>
        </w:rPr>
      </w:pPr>
      <w:r>
        <w:rPr>
          <w:rFonts w:hint="eastAsia"/>
          <w:color w:val="auto"/>
        </w:rPr>
        <w:t>检测方法要求如下：</w:t>
      </w:r>
    </w:p>
    <w:p>
      <w:pPr>
        <w:pStyle w:val="113"/>
        <w:numPr>
          <w:ilvl w:val="1"/>
          <w:numId w:val="587"/>
        </w:numPr>
        <w:rPr>
          <w:color w:val="auto"/>
        </w:rPr>
      </w:pPr>
      <w:r>
        <w:rPr>
          <w:rFonts w:hint="eastAsia"/>
          <w:color w:val="auto"/>
        </w:rPr>
        <w:t>设置受检终端上传传输审计数据包时间间隔；</w:t>
      </w:r>
    </w:p>
    <w:p>
      <w:pPr>
        <w:pStyle w:val="113"/>
        <w:rPr>
          <w:color w:val="auto"/>
        </w:rPr>
      </w:pPr>
      <w:r>
        <w:rPr>
          <w:rFonts w:hint="eastAsia"/>
          <w:color w:val="auto"/>
        </w:rPr>
        <w:t>在受检终端上进行票卡业务处理；</w:t>
      </w:r>
    </w:p>
    <w:p>
      <w:pPr>
        <w:pStyle w:val="113"/>
        <w:rPr>
          <w:color w:val="auto"/>
        </w:rPr>
      </w:pPr>
      <w:r>
        <w:rPr>
          <w:rFonts w:hint="eastAsia"/>
          <w:color w:val="auto"/>
        </w:rPr>
        <w:t>到达传输审计数据包上传时间间隔时，在受检中心系统应观察到受检终端上传的传输审计数据包信息；</w:t>
      </w:r>
    </w:p>
    <w:p>
      <w:pPr>
        <w:pStyle w:val="113"/>
        <w:rPr>
          <w:color w:val="auto"/>
        </w:rPr>
      </w:pPr>
      <w:r>
        <w:rPr>
          <w:rFonts w:hint="eastAsia"/>
          <w:color w:val="auto"/>
        </w:rPr>
        <w:t>修改传输审计包信息，观察受检中心系统的处理应符合DB11/T 1164.1和DB11/T 1164.2中有关传输审计的要求。</w:t>
      </w:r>
    </w:p>
    <w:p>
      <w:pPr>
        <w:pStyle w:val="98"/>
        <w:spacing w:before="156" w:after="156"/>
        <w:rPr>
          <w:color w:val="auto"/>
        </w:rPr>
      </w:pPr>
      <w:r>
        <w:rPr>
          <w:rFonts w:hint="eastAsia"/>
          <w:color w:val="auto"/>
        </w:rPr>
        <w:t>操作审计检测</w:t>
      </w:r>
    </w:p>
    <w:p>
      <w:pPr>
        <w:pStyle w:val="60"/>
        <w:ind w:firstLine="420"/>
        <w:rPr>
          <w:color w:val="auto"/>
        </w:rPr>
      </w:pPr>
      <w:r>
        <w:rPr>
          <w:rFonts w:hint="eastAsia"/>
          <w:color w:val="auto"/>
        </w:rPr>
        <w:t>操作审计检测要求如下：</w:t>
      </w:r>
    </w:p>
    <w:p>
      <w:pPr>
        <w:pStyle w:val="178"/>
        <w:numPr>
          <w:ilvl w:val="0"/>
          <w:numId w:val="588"/>
        </w:numPr>
        <w:rPr>
          <w:color w:val="auto"/>
        </w:rPr>
      </w:pPr>
      <w:r>
        <w:rPr>
          <w:rFonts w:hint="eastAsia"/>
          <w:color w:val="auto"/>
        </w:rPr>
        <w:t>检测内容应依据DB11/T 1164.1中中心系统操作审计的要求逐项检测；</w:t>
      </w:r>
    </w:p>
    <w:p>
      <w:pPr>
        <w:pStyle w:val="178"/>
        <w:rPr>
          <w:color w:val="auto"/>
        </w:rPr>
      </w:pPr>
      <w:r>
        <w:rPr>
          <w:rFonts w:hint="eastAsia"/>
          <w:color w:val="auto"/>
        </w:rPr>
        <w:t>检测方法要求如下：</w:t>
      </w:r>
    </w:p>
    <w:p>
      <w:pPr>
        <w:pStyle w:val="113"/>
        <w:numPr>
          <w:ilvl w:val="1"/>
          <w:numId w:val="589"/>
        </w:numPr>
        <w:rPr>
          <w:color w:val="auto"/>
        </w:rPr>
      </w:pPr>
      <w:r>
        <w:rPr>
          <w:rFonts w:hint="eastAsia"/>
          <w:color w:val="auto"/>
        </w:rPr>
        <w:t>在受检终端上进行服务状态设置，受检中心系统应观察到受检终端上传的操作日志数据；</w:t>
      </w:r>
    </w:p>
    <w:p>
      <w:pPr>
        <w:pStyle w:val="113"/>
        <w:rPr>
          <w:color w:val="auto"/>
        </w:rPr>
      </w:pPr>
      <w:r>
        <w:rPr>
          <w:rFonts w:hint="eastAsia"/>
          <w:color w:val="auto"/>
        </w:rPr>
        <w:t>在受检终端上应观察到保存一定期限的操作日志数据。</w:t>
      </w:r>
    </w:p>
    <w:p>
      <w:pPr>
        <w:pStyle w:val="98"/>
        <w:spacing w:before="156" w:after="156"/>
        <w:rPr>
          <w:color w:val="auto"/>
        </w:rPr>
      </w:pPr>
      <w:r>
        <w:rPr>
          <w:rFonts w:hint="eastAsia"/>
          <w:color w:val="auto"/>
        </w:rPr>
        <w:t>日志管理检测</w:t>
      </w:r>
    </w:p>
    <w:p>
      <w:pPr>
        <w:pStyle w:val="60"/>
        <w:ind w:firstLine="420"/>
        <w:rPr>
          <w:color w:val="auto"/>
        </w:rPr>
      </w:pPr>
      <w:r>
        <w:rPr>
          <w:rFonts w:hint="eastAsia"/>
          <w:color w:val="auto"/>
        </w:rPr>
        <w:t>日志管理检测要求如下：</w:t>
      </w:r>
    </w:p>
    <w:p>
      <w:pPr>
        <w:pStyle w:val="178"/>
        <w:numPr>
          <w:ilvl w:val="0"/>
          <w:numId w:val="590"/>
        </w:numPr>
        <w:rPr>
          <w:color w:val="auto"/>
        </w:rPr>
      </w:pPr>
      <w:r>
        <w:rPr>
          <w:rFonts w:hint="eastAsia"/>
          <w:color w:val="auto"/>
        </w:rPr>
        <w:t>检测内容应依据DB11/T 1164.1中AG、BOM、TVM、TSM、ITVM、中心系统日志管理的要求逐项检测；</w:t>
      </w:r>
    </w:p>
    <w:p>
      <w:pPr>
        <w:pStyle w:val="178"/>
        <w:rPr>
          <w:color w:val="auto"/>
        </w:rPr>
      </w:pPr>
      <w:r>
        <w:rPr>
          <w:rFonts w:hint="eastAsia"/>
          <w:color w:val="auto"/>
        </w:rPr>
        <w:t>检测方法要求如下：</w:t>
      </w:r>
    </w:p>
    <w:p>
      <w:pPr>
        <w:pStyle w:val="113"/>
        <w:numPr>
          <w:ilvl w:val="1"/>
          <w:numId w:val="591"/>
        </w:numPr>
        <w:rPr>
          <w:color w:val="auto"/>
        </w:rPr>
      </w:pPr>
      <w:r>
        <w:rPr>
          <w:rFonts w:hint="eastAsia"/>
          <w:color w:val="auto"/>
        </w:rPr>
        <w:t>使受检终端与受检中心系统进行通信连接；</w:t>
      </w:r>
    </w:p>
    <w:p>
      <w:pPr>
        <w:pStyle w:val="113"/>
        <w:rPr>
          <w:color w:val="auto"/>
        </w:rPr>
      </w:pPr>
      <w:r>
        <w:rPr>
          <w:rFonts w:hint="eastAsia"/>
          <w:color w:val="auto"/>
        </w:rPr>
        <w:t>在受检终端上进行服务状态设置；</w:t>
      </w:r>
    </w:p>
    <w:p>
      <w:pPr>
        <w:pStyle w:val="113"/>
        <w:rPr>
          <w:color w:val="auto"/>
        </w:rPr>
      </w:pPr>
      <w:r>
        <w:rPr>
          <w:rFonts w:hint="eastAsia"/>
          <w:color w:val="auto"/>
        </w:rPr>
        <w:t>在受检中心系统应观察到受检终端的通信日志和操作日志；</w:t>
      </w:r>
    </w:p>
    <w:p>
      <w:pPr>
        <w:pStyle w:val="113"/>
        <w:rPr>
          <w:color w:val="auto"/>
        </w:rPr>
      </w:pPr>
      <w:r>
        <w:rPr>
          <w:rFonts w:hint="eastAsia"/>
          <w:color w:val="auto"/>
        </w:rPr>
        <w:t>在受检终端上应观察到保存一定期限的通信日志和操作日志。</w:t>
      </w:r>
    </w:p>
    <w:p>
      <w:pPr>
        <w:pStyle w:val="98"/>
        <w:spacing w:before="156" w:after="156"/>
        <w:rPr>
          <w:color w:val="auto"/>
        </w:rPr>
      </w:pPr>
      <w:r>
        <w:rPr>
          <w:rFonts w:hint="eastAsia"/>
          <w:color w:val="auto"/>
        </w:rPr>
        <w:t>票箱管理检测</w:t>
      </w:r>
    </w:p>
    <w:p>
      <w:pPr>
        <w:pStyle w:val="60"/>
        <w:ind w:firstLine="420"/>
        <w:rPr>
          <w:color w:val="auto"/>
        </w:rPr>
      </w:pPr>
      <w:r>
        <w:rPr>
          <w:rFonts w:hint="eastAsia"/>
          <w:color w:val="auto"/>
        </w:rPr>
        <w:t>票箱管理检测要求如下：</w:t>
      </w:r>
    </w:p>
    <w:p>
      <w:pPr>
        <w:pStyle w:val="178"/>
        <w:numPr>
          <w:ilvl w:val="0"/>
          <w:numId w:val="592"/>
        </w:numPr>
        <w:rPr>
          <w:color w:val="auto"/>
        </w:rPr>
      </w:pPr>
      <w:r>
        <w:rPr>
          <w:rFonts w:hint="eastAsia"/>
          <w:color w:val="auto"/>
        </w:rPr>
        <w:t>检测内容应依据DB11/T 1164.1中 AG、BOM、TVM、TSM、ITVM票箱管理的要求逐项检测；</w:t>
      </w:r>
    </w:p>
    <w:p>
      <w:pPr>
        <w:pStyle w:val="178"/>
        <w:rPr>
          <w:color w:val="auto"/>
        </w:rPr>
      </w:pPr>
      <w:r>
        <w:rPr>
          <w:rFonts w:hint="eastAsia"/>
          <w:color w:val="auto"/>
        </w:rPr>
        <w:t>检测方法要求如下：</w:t>
      </w:r>
    </w:p>
    <w:p>
      <w:pPr>
        <w:pStyle w:val="113"/>
        <w:numPr>
          <w:ilvl w:val="1"/>
          <w:numId w:val="593"/>
        </w:numPr>
        <w:rPr>
          <w:color w:val="auto"/>
        </w:rPr>
      </w:pPr>
      <w:r>
        <w:rPr>
          <w:rFonts w:hint="eastAsia"/>
          <w:color w:val="auto"/>
        </w:rPr>
        <w:t>设置票箱库存数据上传时间间隔参数；</w:t>
      </w:r>
    </w:p>
    <w:p>
      <w:pPr>
        <w:pStyle w:val="113"/>
        <w:rPr>
          <w:color w:val="auto"/>
        </w:rPr>
      </w:pPr>
      <w:r>
        <w:rPr>
          <w:rFonts w:hint="eastAsia"/>
          <w:color w:val="auto"/>
        </w:rPr>
        <w:t>在受检设备上进行票箱安装/卸下操作，受检中心系统应观察到票箱安装/卸下状态信息；</w:t>
      </w:r>
    </w:p>
    <w:p>
      <w:pPr>
        <w:pStyle w:val="113"/>
        <w:rPr>
          <w:color w:val="auto"/>
        </w:rPr>
      </w:pPr>
      <w:r>
        <w:rPr>
          <w:rFonts w:hint="eastAsia"/>
          <w:color w:val="auto"/>
        </w:rPr>
        <w:t>在受检中心系统应观察到票箱更换数据；</w:t>
      </w:r>
    </w:p>
    <w:p>
      <w:pPr>
        <w:pStyle w:val="113"/>
        <w:rPr>
          <w:color w:val="auto"/>
        </w:rPr>
      </w:pPr>
      <w:r>
        <w:rPr>
          <w:rFonts w:hint="eastAsia"/>
          <w:color w:val="auto"/>
        </w:rPr>
        <w:t>当到达票箱库存数据上传时间间隔时，受检中心系统应观察到票箱库存数据。</w:t>
      </w:r>
    </w:p>
    <w:p>
      <w:pPr>
        <w:pStyle w:val="98"/>
        <w:spacing w:before="156" w:after="156"/>
        <w:rPr>
          <w:color w:val="auto"/>
        </w:rPr>
      </w:pPr>
      <w:r>
        <w:rPr>
          <w:rFonts w:hint="eastAsia"/>
          <w:color w:val="auto"/>
        </w:rPr>
        <w:t>数据导入导出检测</w:t>
      </w:r>
    </w:p>
    <w:p>
      <w:pPr>
        <w:pStyle w:val="60"/>
        <w:rPr>
          <w:rFonts w:hint="eastAsia"/>
          <w:color w:val="auto"/>
        </w:rPr>
      </w:pPr>
      <w:r>
        <w:rPr>
          <w:rFonts w:hint="default"/>
          <w:color w:val="auto"/>
        </w:rPr>
        <w:t>数据导入导出检测要求如下：</w:t>
      </w:r>
    </w:p>
    <w:p>
      <w:pPr>
        <w:pStyle w:val="252"/>
        <w:numPr>
          <w:ilvl w:val="0"/>
          <w:numId w:val="594"/>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的导入导出功能的要求逐项检测；</w:t>
      </w:r>
    </w:p>
    <w:p>
      <w:pPr>
        <w:pStyle w:val="252"/>
        <w:numPr>
          <w:ilvl w:val="0"/>
          <w:numId w:val="594"/>
        </w:numPr>
        <w:rPr>
          <w:color w:val="auto"/>
        </w:rPr>
      </w:pPr>
      <w:r>
        <w:rPr>
          <w:rFonts w:hint="eastAsia"/>
          <w:color w:val="auto"/>
        </w:rPr>
        <w:t>交易/业务/事件数据导入检测方法要求如下：</w:t>
      </w:r>
    </w:p>
    <w:p>
      <w:pPr>
        <w:pStyle w:val="253"/>
        <w:numPr>
          <w:ilvl w:val="0"/>
          <w:numId w:val="595"/>
        </w:numPr>
        <w:rPr>
          <w:color w:val="auto"/>
        </w:rPr>
      </w:pPr>
      <w:r>
        <w:rPr>
          <w:rFonts w:hint="eastAsia"/>
          <w:color w:val="auto"/>
        </w:rPr>
        <w:t>在</w:t>
      </w:r>
      <w:r>
        <w:rPr>
          <w:rFonts w:hint="eastAsia"/>
          <w:color w:val="auto"/>
          <w:lang w:val="en-US" w:eastAsia="zh-CN"/>
        </w:rPr>
        <w:t>受检设备</w:t>
      </w:r>
      <w:r>
        <w:rPr>
          <w:rFonts w:hint="eastAsia"/>
          <w:color w:val="auto"/>
        </w:rPr>
        <w:t>进行导出交易/业务/事件的操作；</w:t>
      </w:r>
    </w:p>
    <w:p>
      <w:pPr>
        <w:pStyle w:val="253"/>
        <w:numPr>
          <w:ilvl w:val="0"/>
          <w:numId w:val="595"/>
        </w:numPr>
        <w:rPr>
          <w:color w:val="auto"/>
        </w:rPr>
      </w:pPr>
      <w:r>
        <w:rPr>
          <w:rFonts w:hint="eastAsia"/>
          <w:color w:val="auto"/>
        </w:rPr>
        <w:t>在受检中心系统上执行交易数据、业务数据、事件数据导入操作，观察受检中心系统的处理；</w:t>
      </w:r>
    </w:p>
    <w:p>
      <w:pPr>
        <w:pStyle w:val="253"/>
        <w:numPr>
          <w:ilvl w:val="0"/>
          <w:numId w:val="595"/>
        </w:numPr>
        <w:rPr>
          <w:color w:val="auto"/>
        </w:rPr>
      </w:pPr>
      <w:r>
        <w:rPr>
          <w:rFonts w:hint="eastAsia"/>
          <w:color w:val="auto"/>
        </w:rPr>
        <w:t>通过</w:t>
      </w:r>
      <w:r>
        <w:rPr>
          <w:rFonts w:hint="eastAsia"/>
          <w:color w:val="auto"/>
          <w:lang w:val="en-US" w:eastAsia="zh-CN"/>
        </w:rPr>
        <w:t>中心</w:t>
      </w:r>
      <w:r>
        <w:rPr>
          <w:rFonts w:hint="eastAsia"/>
          <w:color w:val="auto"/>
        </w:rPr>
        <w:t>系统的记录检测受检中心系统</w:t>
      </w:r>
      <w:r>
        <w:rPr>
          <w:rFonts w:hint="eastAsia"/>
          <w:color w:val="auto"/>
          <w:lang w:val="en-US" w:eastAsia="zh-CN"/>
        </w:rPr>
        <w:t>导入</w:t>
      </w:r>
      <w:r>
        <w:rPr>
          <w:rFonts w:hint="eastAsia"/>
          <w:color w:val="auto"/>
        </w:rPr>
        <w:t>数据的处理；</w:t>
      </w:r>
    </w:p>
    <w:p>
      <w:pPr>
        <w:pStyle w:val="253"/>
        <w:numPr>
          <w:ilvl w:val="0"/>
          <w:numId w:val="595"/>
        </w:numPr>
        <w:rPr>
          <w:color w:val="auto"/>
        </w:rPr>
      </w:pPr>
      <w:r>
        <w:rPr>
          <w:rFonts w:hint="eastAsia"/>
          <w:color w:val="auto"/>
        </w:rPr>
        <w:t>检测应覆盖DB11/T 1164.2 定义的所有交易/业务/事件的数据类型。</w:t>
      </w:r>
    </w:p>
    <w:p>
      <w:pPr>
        <w:pStyle w:val="252"/>
        <w:numPr>
          <w:ilvl w:val="0"/>
          <w:numId w:val="594"/>
        </w:numPr>
        <w:rPr>
          <w:color w:val="auto"/>
        </w:rPr>
      </w:pPr>
      <w:r>
        <w:rPr>
          <w:rFonts w:hint="eastAsia"/>
          <w:color w:val="auto"/>
        </w:rPr>
        <w:t>参数数据导出检测方法要求如下：</w:t>
      </w:r>
    </w:p>
    <w:p>
      <w:pPr>
        <w:pStyle w:val="253"/>
        <w:numPr>
          <w:ilvl w:val="0"/>
          <w:numId w:val="596"/>
        </w:numPr>
        <w:rPr>
          <w:color w:val="auto"/>
        </w:rPr>
      </w:pPr>
      <w:r>
        <w:rPr>
          <w:rFonts w:hint="eastAsia"/>
          <w:color w:val="auto"/>
        </w:rPr>
        <w:t>在受检中心系统上导出参数数据，观察受检中心系统的处理；</w:t>
      </w:r>
    </w:p>
    <w:p>
      <w:pPr>
        <w:pStyle w:val="253"/>
        <w:numPr>
          <w:ilvl w:val="0"/>
          <w:numId w:val="596"/>
        </w:numPr>
        <w:rPr>
          <w:color w:val="auto"/>
        </w:rPr>
      </w:pPr>
      <w:r>
        <w:rPr>
          <w:rFonts w:hint="eastAsia"/>
          <w:color w:val="auto"/>
        </w:rPr>
        <w:t>在受检</w:t>
      </w:r>
      <w:r>
        <w:rPr>
          <w:rFonts w:hint="eastAsia"/>
          <w:color w:val="auto"/>
          <w:lang w:val="en-US" w:eastAsia="zh-CN"/>
        </w:rPr>
        <w:t>设备</w:t>
      </w:r>
      <w:r>
        <w:rPr>
          <w:rFonts w:hint="eastAsia"/>
          <w:color w:val="auto"/>
        </w:rPr>
        <w:t>导入受检中心系统导出的参数，观察受检</w:t>
      </w:r>
      <w:r>
        <w:rPr>
          <w:rFonts w:hint="eastAsia"/>
          <w:color w:val="auto"/>
          <w:lang w:val="en-US" w:eastAsia="zh-CN"/>
        </w:rPr>
        <w:t>设备</w:t>
      </w:r>
      <w:r>
        <w:rPr>
          <w:rFonts w:hint="eastAsia"/>
          <w:color w:val="auto"/>
        </w:rPr>
        <w:t>的处理；</w:t>
      </w:r>
    </w:p>
    <w:p>
      <w:pPr>
        <w:pStyle w:val="253"/>
        <w:numPr>
          <w:ilvl w:val="0"/>
          <w:numId w:val="596"/>
        </w:numPr>
        <w:rPr>
          <w:color w:val="auto"/>
        </w:rPr>
      </w:pPr>
      <w:r>
        <w:rPr>
          <w:rFonts w:hint="eastAsia"/>
          <w:color w:val="auto"/>
        </w:rPr>
        <w:t>检测应覆盖DB11/T 1164.2 定义的所有参数类型。</w:t>
      </w:r>
    </w:p>
    <w:p>
      <w:pPr>
        <w:pStyle w:val="98"/>
        <w:spacing w:before="156" w:after="156"/>
        <w:rPr>
          <w:color w:val="auto"/>
        </w:rPr>
      </w:pPr>
      <w:r>
        <w:rPr>
          <w:rFonts w:hint="eastAsia"/>
          <w:color w:val="auto"/>
        </w:rPr>
        <w:t>票卡库存管理检测</w:t>
      </w:r>
    </w:p>
    <w:p>
      <w:pPr>
        <w:pStyle w:val="60"/>
        <w:rPr>
          <w:rFonts w:hint="eastAsia"/>
          <w:color w:val="auto"/>
        </w:rPr>
      </w:pPr>
      <w:r>
        <w:rPr>
          <w:rFonts w:hint="eastAsia"/>
          <w:color w:val="auto"/>
          <w:lang w:val="en-US" w:eastAsia="zh-CN"/>
        </w:rPr>
        <w:t>票卡库存管理</w:t>
      </w:r>
      <w:r>
        <w:rPr>
          <w:rFonts w:hint="default"/>
          <w:color w:val="auto"/>
        </w:rPr>
        <w:t>检测要求如下：</w:t>
      </w:r>
    </w:p>
    <w:p>
      <w:pPr>
        <w:pStyle w:val="252"/>
        <w:numPr>
          <w:ilvl w:val="0"/>
          <w:numId w:val="597"/>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的票卡库存管理功能的要求逐项检测；</w:t>
      </w:r>
    </w:p>
    <w:p>
      <w:pPr>
        <w:pStyle w:val="252"/>
        <w:numPr>
          <w:ilvl w:val="0"/>
          <w:numId w:val="597"/>
        </w:numPr>
        <w:rPr>
          <w:color w:val="auto"/>
        </w:rPr>
      </w:pPr>
      <w:r>
        <w:rPr>
          <w:rFonts w:hint="eastAsia"/>
          <w:color w:val="auto"/>
        </w:rPr>
        <w:t>检测方法要求如下：</w:t>
      </w:r>
    </w:p>
    <w:p>
      <w:pPr>
        <w:pStyle w:val="253"/>
        <w:numPr>
          <w:ilvl w:val="0"/>
          <w:numId w:val="598"/>
        </w:numPr>
        <w:rPr>
          <w:color w:val="auto"/>
        </w:rPr>
      </w:pPr>
      <w:r>
        <w:rPr>
          <w:rFonts w:hint="eastAsia"/>
          <w:color w:val="auto"/>
        </w:rPr>
        <w:t>在受检中心系统上对票卡库存管理相关参数进行编辑、发布，观察受检中心系统的票卡库存的处理；</w:t>
      </w:r>
    </w:p>
    <w:p>
      <w:pPr>
        <w:pStyle w:val="253"/>
        <w:numPr>
          <w:ilvl w:val="0"/>
          <w:numId w:val="598"/>
        </w:numPr>
        <w:rPr>
          <w:color w:val="auto"/>
        </w:rPr>
      </w:pPr>
      <w:r>
        <w:rPr>
          <w:rFonts w:hint="eastAsia"/>
          <w:color w:val="auto"/>
        </w:rPr>
        <w:t>在受检中心系统上进行库存调整操作，观察受检中心系统的票卡库存的处理；</w:t>
      </w:r>
    </w:p>
    <w:p>
      <w:pPr>
        <w:pStyle w:val="253"/>
        <w:numPr>
          <w:ilvl w:val="0"/>
          <w:numId w:val="598"/>
        </w:numPr>
        <w:rPr>
          <w:color w:val="auto"/>
        </w:rPr>
      </w:pPr>
      <w:r>
        <w:rPr>
          <w:rFonts w:hint="eastAsia"/>
          <w:color w:val="auto"/>
        </w:rPr>
        <w:t>观察受检中心系统票卡库存管理的处理；</w:t>
      </w:r>
    </w:p>
    <w:p>
      <w:pPr>
        <w:pStyle w:val="253"/>
        <w:numPr>
          <w:ilvl w:val="0"/>
          <w:numId w:val="598"/>
        </w:numPr>
        <w:rPr>
          <w:color w:val="auto"/>
        </w:rPr>
      </w:pPr>
      <w:r>
        <w:rPr>
          <w:rFonts w:hint="eastAsia"/>
          <w:color w:val="auto"/>
        </w:rPr>
        <w:t>通过受检中心系统上传库存数量，观察受检中心系统的票卡库存的处理；</w:t>
      </w:r>
    </w:p>
    <w:p>
      <w:pPr>
        <w:pStyle w:val="253"/>
        <w:numPr>
          <w:ilvl w:val="0"/>
          <w:numId w:val="598"/>
        </w:numPr>
        <w:rPr>
          <w:color w:val="auto"/>
        </w:rPr>
      </w:pPr>
      <w:r>
        <w:rPr>
          <w:rFonts w:hint="eastAsia"/>
          <w:color w:val="auto"/>
        </w:rPr>
        <w:t>观察受检中心系统工作站上票卡库存数据查询的处理；</w:t>
      </w:r>
    </w:p>
    <w:p>
      <w:pPr>
        <w:pStyle w:val="253"/>
        <w:numPr>
          <w:ilvl w:val="0"/>
          <w:numId w:val="598"/>
        </w:numPr>
        <w:rPr>
          <w:color w:val="auto"/>
        </w:rPr>
      </w:pPr>
      <w:r>
        <w:rPr>
          <w:rFonts w:hint="eastAsia"/>
          <w:color w:val="auto"/>
        </w:rPr>
        <w:t>检测应覆盖DB11/T 1164.2 定义的所有车票类型。</w:t>
      </w:r>
    </w:p>
    <w:p>
      <w:pPr>
        <w:pStyle w:val="98"/>
        <w:spacing w:before="156" w:after="156"/>
        <w:rPr>
          <w:color w:val="auto"/>
        </w:rPr>
      </w:pPr>
      <w:r>
        <w:rPr>
          <w:rFonts w:hint="eastAsia"/>
          <w:color w:val="auto"/>
        </w:rPr>
        <w:t>票卡调配管理检测</w:t>
      </w:r>
    </w:p>
    <w:p>
      <w:pPr>
        <w:pStyle w:val="60"/>
        <w:rPr>
          <w:rFonts w:hint="default" w:eastAsia="宋体"/>
          <w:color w:val="auto"/>
          <w:lang w:val="en-US" w:eastAsia="zh-CN"/>
        </w:rPr>
      </w:pPr>
      <w:r>
        <w:rPr>
          <w:rFonts w:hint="eastAsia"/>
          <w:color w:val="auto"/>
          <w:lang w:val="en-US" w:eastAsia="zh-CN"/>
        </w:rPr>
        <w:t>票卡调配管理检测要求如下：</w:t>
      </w:r>
    </w:p>
    <w:p>
      <w:pPr>
        <w:pStyle w:val="252"/>
        <w:numPr>
          <w:ilvl w:val="0"/>
          <w:numId w:val="599"/>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的票卡调配管理功能的要求逐项检测；</w:t>
      </w:r>
    </w:p>
    <w:p>
      <w:pPr>
        <w:pStyle w:val="252"/>
        <w:numPr>
          <w:ilvl w:val="0"/>
          <w:numId w:val="599"/>
        </w:numPr>
        <w:rPr>
          <w:color w:val="auto"/>
        </w:rPr>
      </w:pPr>
      <w:r>
        <w:rPr>
          <w:rFonts w:hint="eastAsia"/>
          <w:color w:val="auto"/>
        </w:rPr>
        <w:t>检测方法要求如下：</w:t>
      </w:r>
    </w:p>
    <w:p>
      <w:pPr>
        <w:pStyle w:val="253"/>
        <w:numPr>
          <w:ilvl w:val="0"/>
          <w:numId w:val="600"/>
        </w:numPr>
        <w:rPr>
          <w:color w:val="auto"/>
        </w:rPr>
      </w:pPr>
      <w:r>
        <w:rPr>
          <w:rFonts w:hint="eastAsia"/>
          <w:color w:val="auto"/>
        </w:rPr>
        <w:t>在受检中心系统执行票卡调入/调出命令及票卡调入/调出反馈操作，观察受检中心系统对票卡调配管理相关操作的处理；</w:t>
      </w:r>
    </w:p>
    <w:p>
      <w:pPr>
        <w:pStyle w:val="253"/>
        <w:numPr>
          <w:ilvl w:val="0"/>
          <w:numId w:val="600"/>
        </w:numPr>
        <w:rPr>
          <w:color w:val="auto"/>
        </w:rPr>
      </w:pPr>
      <w:r>
        <w:rPr>
          <w:rFonts w:hint="eastAsia"/>
          <w:color w:val="auto"/>
        </w:rPr>
        <w:t>观察受检中心系统的接收受检中心系统下发的票卡调配管理数据的处理；</w:t>
      </w:r>
    </w:p>
    <w:p>
      <w:pPr>
        <w:pStyle w:val="253"/>
        <w:numPr>
          <w:ilvl w:val="0"/>
          <w:numId w:val="600"/>
        </w:numPr>
        <w:rPr>
          <w:color w:val="auto"/>
        </w:rPr>
      </w:pPr>
      <w:r>
        <w:rPr>
          <w:rFonts w:hint="eastAsia"/>
          <w:color w:val="auto"/>
        </w:rPr>
        <w:t>观察受检中心系统工作站上票卡调配相关信息的处理；</w:t>
      </w:r>
    </w:p>
    <w:p>
      <w:pPr>
        <w:pStyle w:val="253"/>
        <w:numPr>
          <w:ilvl w:val="0"/>
          <w:numId w:val="600"/>
        </w:numPr>
        <w:rPr>
          <w:color w:val="auto"/>
        </w:rPr>
      </w:pPr>
      <w:r>
        <w:rPr>
          <w:rFonts w:hint="eastAsia"/>
          <w:color w:val="auto"/>
        </w:rPr>
        <w:t>检测应覆盖DB11/T 1164.2 定义的所有车票类型。</w:t>
      </w:r>
    </w:p>
    <w:p>
      <w:pPr>
        <w:pStyle w:val="98"/>
        <w:spacing w:before="156" w:after="156"/>
        <w:rPr>
          <w:color w:val="auto"/>
        </w:rPr>
      </w:pPr>
      <w:r>
        <w:rPr>
          <w:rFonts w:hint="eastAsia"/>
          <w:color w:val="auto"/>
        </w:rPr>
        <w:t>权限管理检测</w:t>
      </w:r>
    </w:p>
    <w:p>
      <w:pPr>
        <w:pStyle w:val="60"/>
        <w:rPr>
          <w:rFonts w:hint="default" w:eastAsia="宋体"/>
          <w:color w:val="auto"/>
          <w:lang w:val="en-US" w:eastAsia="zh-CN"/>
        </w:rPr>
      </w:pPr>
      <w:r>
        <w:rPr>
          <w:rFonts w:hint="eastAsia"/>
          <w:color w:val="auto"/>
          <w:lang w:val="en-US" w:eastAsia="zh-CN"/>
        </w:rPr>
        <w:t>权限管理检测要求如下：</w:t>
      </w:r>
    </w:p>
    <w:p>
      <w:pPr>
        <w:pStyle w:val="252"/>
        <w:numPr>
          <w:ilvl w:val="0"/>
          <w:numId w:val="601"/>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的权限管理功能的要求逐项检测；</w:t>
      </w:r>
    </w:p>
    <w:p>
      <w:pPr>
        <w:pStyle w:val="252"/>
        <w:numPr>
          <w:ilvl w:val="0"/>
          <w:numId w:val="601"/>
        </w:numPr>
        <w:rPr>
          <w:color w:val="auto"/>
        </w:rPr>
      </w:pPr>
      <w:r>
        <w:rPr>
          <w:rFonts w:hint="eastAsia"/>
          <w:color w:val="auto"/>
        </w:rPr>
        <w:t>检测方法要求如下：</w:t>
      </w:r>
    </w:p>
    <w:p>
      <w:pPr>
        <w:pStyle w:val="253"/>
        <w:numPr>
          <w:ilvl w:val="0"/>
          <w:numId w:val="602"/>
        </w:numPr>
        <w:rPr>
          <w:color w:val="auto"/>
        </w:rPr>
      </w:pPr>
      <w:r>
        <w:rPr>
          <w:rFonts w:hint="eastAsia"/>
          <w:color w:val="auto"/>
        </w:rPr>
        <w:t>在受检中心系统上对操作员信息、操作员密码、角色、系统/设备功能、操作员与角色、操作员与工作场所、角色与功能进行编辑、发布操作，观察受检中心系统的权限处理应正确；</w:t>
      </w:r>
    </w:p>
    <w:p>
      <w:pPr>
        <w:pStyle w:val="253"/>
        <w:numPr>
          <w:ilvl w:val="0"/>
          <w:numId w:val="602"/>
        </w:numPr>
        <w:rPr>
          <w:color w:val="auto"/>
        </w:rPr>
      </w:pPr>
      <w:r>
        <w:rPr>
          <w:rFonts w:hint="eastAsia"/>
          <w:color w:val="auto"/>
        </w:rPr>
        <w:t>以不同的操作员用户ID和密码分别尝试登录受检中心系统，观察受检</w:t>
      </w:r>
      <w:r>
        <w:rPr>
          <w:rFonts w:hint="eastAsia"/>
          <w:color w:val="auto"/>
          <w:lang w:val="en-US" w:eastAsia="zh-CN"/>
        </w:rPr>
        <w:t>中心系统</w:t>
      </w:r>
      <w:r>
        <w:rPr>
          <w:rFonts w:hint="eastAsia"/>
          <w:color w:val="auto"/>
        </w:rPr>
        <w:t>的处理；</w:t>
      </w:r>
    </w:p>
    <w:p>
      <w:pPr>
        <w:pStyle w:val="253"/>
        <w:numPr>
          <w:ilvl w:val="0"/>
          <w:numId w:val="602"/>
        </w:numPr>
        <w:rPr>
          <w:color w:val="auto"/>
        </w:rPr>
      </w:pPr>
      <w:r>
        <w:rPr>
          <w:rFonts w:hint="eastAsia"/>
          <w:color w:val="auto"/>
        </w:rPr>
        <w:t>以不同的操作员用户ID和密码尝试登录</w:t>
      </w:r>
      <w:r>
        <w:rPr>
          <w:rFonts w:hint="eastAsia"/>
          <w:color w:val="auto"/>
          <w:lang w:val="en-US" w:eastAsia="zh-CN"/>
        </w:rPr>
        <w:t>受检设备</w:t>
      </w:r>
      <w:r>
        <w:rPr>
          <w:rFonts w:hint="eastAsia"/>
          <w:color w:val="auto"/>
        </w:rPr>
        <w:t>，检测受检中心系统编辑的权限管理相关数据的处理，并检测受检中心系统数据准确性的处理；</w:t>
      </w:r>
    </w:p>
    <w:p>
      <w:pPr>
        <w:pStyle w:val="253"/>
        <w:numPr>
          <w:ilvl w:val="0"/>
          <w:numId w:val="602"/>
        </w:numPr>
        <w:rPr>
          <w:color w:val="auto"/>
        </w:rPr>
      </w:pPr>
      <w:r>
        <w:rPr>
          <w:rFonts w:hint="eastAsia"/>
          <w:color w:val="auto"/>
        </w:rPr>
        <w:t>在受检中心系统上进行操作员解锁操作，观察受检中心系统和受检中心系统对操作员解锁业务的处理；</w:t>
      </w:r>
    </w:p>
    <w:p>
      <w:pPr>
        <w:pStyle w:val="253"/>
        <w:numPr>
          <w:ilvl w:val="0"/>
          <w:numId w:val="602"/>
        </w:numPr>
        <w:rPr>
          <w:color w:val="auto"/>
        </w:rPr>
      </w:pPr>
      <w:r>
        <w:rPr>
          <w:rFonts w:hint="eastAsia"/>
          <w:color w:val="auto"/>
        </w:rPr>
        <w:t xml:space="preserve">在受检中心系统上进行操作员密码修改操作，观察受检中心系统对操作员密码修改业务的处理； </w:t>
      </w:r>
    </w:p>
    <w:p>
      <w:pPr>
        <w:pStyle w:val="253"/>
        <w:numPr>
          <w:ilvl w:val="0"/>
          <w:numId w:val="602"/>
        </w:numPr>
        <w:rPr>
          <w:color w:val="auto"/>
        </w:rPr>
      </w:pPr>
      <w:r>
        <w:rPr>
          <w:rFonts w:hint="eastAsia"/>
          <w:color w:val="auto"/>
        </w:rPr>
        <w:t>通过登出受检中心系统、</w:t>
      </w:r>
      <w:r>
        <w:rPr>
          <w:rFonts w:hint="eastAsia"/>
          <w:color w:val="auto"/>
          <w:lang w:val="en-US" w:eastAsia="zh-CN"/>
        </w:rPr>
        <w:t>受检设备</w:t>
      </w:r>
      <w:r>
        <w:rPr>
          <w:rFonts w:hint="eastAsia"/>
          <w:color w:val="auto"/>
        </w:rPr>
        <w:t>检测受检中心系统对操作员登出业务的处理。</w:t>
      </w:r>
    </w:p>
    <w:p>
      <w:pPr>
        <w:pStyle w:val="98"/>
        <w:spacing w:before="156" w:after="156"/>
        <w:rPr>
          <w:color w:val="auto"/>
        </w:rPr>
      </w:pPr>
      <w:r>
        <w:rPr>
          <w:rFonts w:hint="eastAsia"/>
          <w:color w:val="auto"/>
        </w:rPr>
        <w:t>站区管理检测</w:t>
      </w:r>
    </w:p>
    <w:p>
      <w:pPr>
        <w:pStyle w:val="60"/>
        <w:rPr>
          <w:rFonts w:hint="default" w:eastAsia="宋体"/>
          <w:color w:val="auto"/>
          <w:lang w:val="en-US" w:eastAsia="zh-CN"/>
        </w:rPr>
      </w:pPr>
      <w:r>
        <w:rPr>
          <w:rFonts w:hint="eastAsia"/>
          <w:color w:val="auto"/>
          <w:lang w:val="en-US" w:eastAsia="zh-CN"/>
        </w:rPr>
        <w:t>站区管理检测要求如下：</w:t>
      </w:r>
    </w:p>
    <w:p>
      <w:pPr>
        <w:pStyle w:val="252"/>
        <w:numPr>
          <w:ilvl w:val="0"/>
          <w:numId w:val="603"/>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的站区管理功能的要求逐项检测；</w:t>
      </w:r>
    </w:p>
    <w:p>
      <w:pPr>
        <w:pStyle w:val="252"/>
        <w:numPr>
          <w:ilvl w:val="0"/>
          <w:numId w:val="603"/>
        </w:numPr>
        <w:rPr>
          <w:color w:val="auto"/>
        </w:rPr>
      </w:pPr>
      <w:r>
        <w:rPr>
          <w:rFonts w:hint="eastAsia"/>
          <w:color w:val="auto"/>
        </w:rPr>
        <w:t>检测方法要求如下：</w:t>
      </w:r>
    </w:p>
    <w:p>
      <w:pPr>
        <w:pStyle w:val="253"/>
        <w:numPr>
          <w:ilvl w:val="0"/>
          <w:numId w:val="604"/>
        </w:numPr>
        <w:rPr>
          <w:color w:val="auto"/>
        </w:rPr>
      </w:pPr>
      <w:r>
        <w:rPr>
          <w:rFonts w:hint="eastAsia"/>
          <w:color w:val="auto"/>
        </w:rPr>
        <w:t xml:space="preserve">在受检中心系统上进行站区信息编辑，观察受检中心系统的站区管理处理应正确； </w:t>
      </w:r>
    </w:p>
    <w:p>
      <w:pPr>
        <w:pStyle w:val="253"/>
        <w:numPr>
          <w:ilvl w:val="0"/>
          <w:numId w:val="604"/>
        </w:numPr>
        <w:rPr>
          <w:color w:val="auto"/>
        </w:rPr>
      </w:pPr>
      <w:r>
        <w:rPr>
          <w:rFonts w:hint="eastAsia"/>
          <w:color w:val="auto"/>
        </w:rPr>
        <w:t>使用仿真终端上传站区管辖站的终端状态、客流数据和票卡库存数据至受检中心系统；</w:t>
      </w:r>
    </w:p>
    <w:p>
      <w:pPr>
        <w:pStyle w:val="253"/>
        <w:numPr>
          <w:ilvl w:val="0"/>
          <w:numId w:val="604"/>
        </w:numPr>
        <w:rPr>
          <w:color w:val="auto"/>
        </w:rPr>
      </w:pPr>
      <w:r>
        <w:rPr>
          <w:rFonts w:hint="eastAsia"/>
          <w:color w:val="auto"/>
        </w:rPr>
        <w:t>在受检中心系统上观察设备状态、客注信息、票卡库存信息数据的处理；</w:t>
      </w:r>
    </w:p>
    <w:p>
      <w:pPr>
        <w:pStyle w:val="253"/>
        <w:numPr>
          <w:ilvl w:val="0"/>
          <w:numId w:val="604"/>
        </w:numPr>
        <w:rPr>
          <w:color w:val="auto"/>
        </w:rPr>
      </w:pPr>
      <w:r>
        <w:rPr>
          <w:rFonts w:hint="eastAsia"/>
          <w:color w:val="auto"/>
        </w:rPr>
        <w:t>在受检中心系统上观察到站区管辖站的设备状态、客流信息、票卡库存信息数据的处理；</w:t>
      </w:r>
    </w:p>
    <w:p>
      <w:pPr>
        <w:pStyle w:val="253"/>
        <w:numPr>
          <w:ilvl w:val="0"/>
          <w:numId w:val="604"/>
        </w:numPr>
        <w:rPr>
          <w:color w:val="auto"/>
        </w:rPr>
      </w:pPr>
      <w:r>
        <w:rPr>
          <w:rFonts w:hint="eastAsia"/>
          <w:color w:val="auto"/>
        </w:rPr>
        <w:t>观察受检中心系统工作站上的站区设备状态、站区客流信息、站区票卡库存信息数据的处理。</w:t>
      </w:r>
    </w:p>
    <w:p>
      <w:pPr>
        <w:pStyle w:val="98"/>
        <w:spacing w:before="156" w:after="156"/>
        <w:rPr>
          <w:color w:val="auto"/>
        </w:rPr>
      </w:pPr>
      <w:r>
        <w:rPr>
          <w:rFonts w:hint="eastAsia"/>
          <w:color w:val="auto"/>
        </w:rPr>
        <w:t>设备部署管理检测</w:t>
      </w:r>
    </w:p>
    <w:p>
      <w:pPr>
        <w:pStyle w:val="60"/>
        <w:rPr>
          <w:rFonts w:hint="default" w:eastAsia="宋体"/>
          <w:color w:val="auto"/>
          <w:lang w:val="en-US" w:eastAsia="zh-CN"/>
        </w:rPr>
      </w:pPr>
      <w:r>
        <w:rPr>
          <w:rFonts w:hint="eastAsia"/>
          <w:color w:val="auto"/>
          <w:lang w:val="en-US" w:eastAsia="zh-CN"/>
        </w:rPr>
        <w:t>设备部署管理检测要求如下：</w:t>
      </w:r>
    </w:p>
    <w:p>
      <w:pPr>
        <w:pStyle w:val="252"/>
        <w:numPr>
          <w:ilvl w:val="0"/>
          <w:numId w:val="605"/>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的设备部署管理功能的要求逐项检测；</w:t>
      </w:r>
    </w:p>
    <w:p>
      <w:pPr>
        <w:pStyle w:val="252"/>
        <w:numPr>
          <w:ilvl w:val="0"/>
          <w:numId w:val="605"/>
        </w:numPr>
        <w:rPr>
          <w:color w:val="auto"/>
        </w:rPr>
      </w:pPr>
      <w:r>
        <w:rPr>
          <w:rFonts w:hint="eastAsia"/>
          <w:color w:val="auto"/>
        </w:rPr>
        <w:t>检测方法要求如下：</w:t>
      </w:r>
    </w:p>
    <w:p>
      <w:pPr>
        <w:pStyle w:val="253"/>
        <w:numPr>
          <w:ilvl w:val="0"/>
          <w:numId w:val="606"/>
        </w:numPr>
        <w:rPr>
          <w:color w:val="auto"/>
        </w:rPr>
      </w:pPr>
      <w:r>
        <w:rPr>
          <w:rFonts w:hint="eastAsia"/>
          <w:color w:val="auto"/>
        </w:rPr>
        <w:t>在受检中心系统上进行增加设备、启用/停用设备、修改设备属性等操作，观察受检中心系统的处理应正确；</w:t>
      </w:r>
    </w:p>
    <w:p>
      <w:pPr>
        <w:pStyle w:val="253"/>
        <w:numPr>
          <w:ilvl w:val="0"/>
          <w:numId w:val="606"/>
        </w:numPr>
        <w:rPr>
          <w:color w:val="auto"/>
        </w:rPr>
      </w:pPr>
      <w:r>
        <w:rPr>
          <w:rFonts w:hint="eastAsia"/>
          <w:color w:val="auto"/>
        </w:rPr>
        <w:t>观察受检中心系统工作站上查询到相关信息的处理应正确；</w:t>
      </w:r>
    </w:p>
    <w:p>
      <w:pPr>
        <w:pStyle w:val="253"/>
        <w:numPr>
          <w:ilvl w:val="0"/>
          <w:numId w:val="606"/>
        </w:numPr>
        <w:rPr>
          <w:color w:val="auto"/>
        </w:rPr>
      </w:pPr>
      <w:r>
        <w:rPr>
          <w:rFonts w:hint="eastAsia"/>
          <w:color w:val="auto"/>
        </w:rPr>
        <w:t>在受检中心系统上执行参数同步的方式将设备部署数据下发至受检中心系统；</w:t>
      </w:r>
    </w:p>
    <w:p>
      <w:pPr>
        <w:pStyle w:val="253"/>
        <w:numPr>
          <w:ilvl w:val="0"/>
          <w:numId w:val="606"/>
        </w:numPr>
        <w:rPr>
          <w:color w:val="auto"/>
        </w:rPr>
      </w:pPr>
      <w:r>
        <w:rPr>
          <w:rFonts w:hint="eastAsia"/>
          <w:color w:val="auto"/>
        </w:rPr>
        <w:t>观察受检中心系统的设备部署数据处理。</w:t>
      </w:r>
    </w:p>
    <w:p>
      <w:pPr>
        <w:pStyle w:val="98"/>
        <w:spacing w:before="156" w:after="156"/>
        <w:rPr>
          <w:color w:val="auto"/>
        </w:rPr>
      </w:pPr>
      <w:r>
        <w:rPr>
          <w:rFonts w:hint="eastAsia"/>
          <w:color w:val="auto"/>
        </w:rPr>
        <w:t>部件信息管理检测</w:t>
      </w:r>
    </w:p>
    <w:p>
      <w:pPr>
        <w:pStyle w:val="60"/>
        <w:rPr>
          <w:rFonts w:hint="default" w:eastAsia="宋体"/>
          <w:color w:val="auto"/>
          <w:lang w:val="en-US" w:eastAsia="zh-CN"/>
        </w:rPr>
      </w:pPr>
      <w:r>
        <w:rPr>
          <w:rFonts w:hint="eastAsia"/>
          <w:color w:val="auto"/>
          <w:lang w:val="en-US" w:eastAsia="zh-CN"/>
        </w:rPr>
        <w:t>部件信息管理检测要求如下：</w:t>
      </w:r>
    </w:p>
    <w:p>
      <w:pPr>
        <w:pStyle w:val="252"/>
        <w:numPr>
          <w:ilvl w:val="0"/>
          <w:numId w:val="607"/>
        </w:numPr>
        <w:rPr>
          <w:color w:val="auto"/>
        </w:rPr>
      </w:pPr>
      <w:r>
        <w:rPr>
          <w:rFonts w:hint="eastAsia"/>
          <w:color w:val="auto"/>
        </w:rPr>
        <w:t>检测内容应依据DB11/T 1164.1中</w:t>
      </w:r>
      <w:r>
        <w:rPr>
          <w:rFonts w:hint="eastAsia"/>
          <w:color w:val="auto"/>
          <w:lang w:val="en-US" w:eastAsia="zh-CN"/>
        </w:rPr>
        <w:t>中心系统功能中</w:t>
      </w:r>
      <w:r>
        <w:rPr>
          <w:rFonts w:hint="eastAsia"/>
          <w:color w:val="auto"/>
        </w:rPr>
        <w:t>的部件管理功能的要求逐项检测；</w:t>
      </w:r>
    </w:p>
    <w:p>
      <w:pPr>
        <w:pStyle w:val="252"/>
        <w:numPr>
          <w:ilvl w:val="0"/>
          <w:numId w:val="607"/>
        </w:numPr>
        <w:rPr>
          <w:color w:val="auto"/>
        </w:rPr>
      </w:pPr>
      <w:r>
        <w:rPr>
          <w:rFonts w:hint="eastAsia"/>
          <w:color w:val="auto"/>
        </w:rPr>
        <w:t>检测方法要求如下：</w:t>
      </w:r>
    </w:p>
    <w:p>
      <w:pPr>
        <w:pStyle w:val="253"/>
        <w:numPr>
          <w:ilvl w:val="0"/>
          <w:numId w:val="608"/>
        </w:numPr>
        <w:rPr>
          <w:color w:val="auto"/>
        </w:rPr>
      </w:pPr>
      <w:r>
        <w:rPr>
          <w:rFonts w:hint="eastAsia"/>
          <w:color w:val="auto"/>
        </w:rPr>
        <w:t>在受检中心系统上进行登记厂商部件信息、登记部件唯一编号操作，观察受检中心系统的处理应正确；</w:t>
      </w:r>
    </w:p>
    <w:p>
      <w:pPr>
        <w:pStyle w:val="253"/>
        <w:numPr>
          <w:ilvl w:val="0"/>
          <w:numId w:val="608"/>
        </w:numPr>
        <w:rPr>
          <w:color w:val="auto"/>
        </w:rPr>
      </w:pPr>
      <w:r>
        <w:rPr>
          <w:rFonts w:hint="eastAsia"/>
          <w:color w:val="auto"/>
        </w:rPr>
        <w:t>在受检中心系统上传部件更换数据，观察受检中心系统的处理；</w:t>
      </w:r>
    </w:p>
    <w:p>
      <w:pPr>
        <w:pStyle w:val="253"/>
        <w:numPr>
          <w:ilvl w:val="0"/>
          <w:numId w:val="608"/>
        </w:numPr>
        <w:rPr>
          <w:color w:val="auto"/>
        </w:rPr>
      </w:pPr>
      <w:r>
        <w:rPr>
          <w:rFonts w:hint="eastAsia"/>
          <w:color w:val="auto"/>
        </w:rPr>
        <w:t>观察受检中心系统的处理；</w:t>
      </w:r>
    </w:p>
    <w:p>
      <w:pPr>
        <w:pStyle w:val="253"/>
        <w:numPr>
          <w:ilvl w:val="0"/>
          <w:numId w:val="608"/>
        </w:numPr>
        <w:rPr>
          <w:color w:val="auto"/>
        </w:rPr>
      </w:pPr>
      <w:r>
        <w:rPr>
          <w:rFonts w:hint="eastAsia"/>
          <w:color w:val="auto"/>
        </w:rPr>
        <w:t>观察受检中心系统工作站上查询到部件更换信息数据的处理。</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状态上传时间检测</w:t>
      </w:r>
    </w:p>
    <w:p>
      <w:pPr>
        <w:pStyle w:val="60"/>
        <w:ind w:firstLine="420"/>
        <w:rPr>
          <w:color w:val="auto"/>
        </w:rPr>
      </w:pPr>
      <w:r>
        <w:rPr>
          <w:rFonts w:hint="eastAsia"/>
          <w:color w:val="auto"/>
        </w:rPr>
        <w:t>状态上传时间检测要求如下：</w:t>
      </w:r>
    </w:p>
    <w:p>
      <w:pPr>
        <w:pStyle w:val="178"/>
        <w:numPr>
          <w:ilvl w:val="0"/>
          <w:numId w:val="609"/>
        </w:numPr>
        <w:rPr>
          <w:color w:val="auto"/>
        </w:rPr>
      </w:pPr>
      <w:r>
        <w:rPr>
          <w:rFonts w:hint="eastAsia"/>
          <w:color w:val="auto"/>
        </w:rPr>
        <w:t>检测内容应依据DB11/T 1164.1中 AG、BOM、TVM、TSM、ITVM、中心系统状态监视的要求逐项检测；</w:t>
      </w:r>
    </w:p>
    <w:p>
      <w:pPr>
        <w:pStyle w:val="178"/>
        <w:rPr>
          <w:color w:val="auto"/>
        </w:rPr>
      </w:pPr>
      <w:r>
        <w:rPr>
          <w:rFonts w:hint="eastAsia"/>
          <w:color w:val="auto"/>
        </w:rPr>
        <w:t>检测方法要求如下：</w:t>
      </w:r>
    </w:p>
    <w:p>
      <w:pPr>
        <w:pStyle w:val="113"/>
        <w:numPr>
          <w:ilvl w:val="1"/>
          <w:numId w:val="610"/>
        </w:numPr>
        <w:rPr>
          <w:color w:val="auto"/>
        </w:rPr>
      </w:pPr>
      <w:r>
        <w:rPr>
          <w:rFonts w:hint="eastAsia"/>
          <w:color w:val="auto"/>
        </w:rPr>
        <w:t>在受检中心系统上设置AG、BOM、TVM、TSM、ITVM的工作模式，使设备的状态发生变化；</w:t>
      </w:r>
    </w:p>
    <w:p>
      <w:pPr>
        <w:pStyle w:val="113"/>
        <w:rPr>
          <w:color w:val="auto"/>
        </w:rPr>
      </w:pPr>
      <w:r>
        <w:rPr>
          <w:rFonts w:hint="eastAsia"/>
          <w:color w:val="auto"/>
        </w:rPr>
        <w:t>在受检中心系统上观察受检AG、BOM、TVM、TSM、ITVM的状态变化，并记录状态变化时间；</w:t>
      </w:r>
    </w:p>
    <w:p>
      <w:pPr>
        <w:pStyle w:val="113"/>
        <w:rPr>
          <w:color w:val="auto"/>
        </w:rPr>
      </w:pPr>
      <w:r>
        <w:rPr>
          <w:rFonts w:hint="eastAsia"/>
          <w:color w:val="auto"/>
        </w:rPr>
        <w:t>计算并获取受检AG、BOM、TVM、TSM、ITVM的状态变化到达受检中心系统后更新的时间间隔；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参数下达时间检测</w:t>
      </w:r>
    </w:p>
    <w:p>
      <w:pPr>
        <w:pStyle w:val="60"/>
        <w:ind w:firstLine="420"/>
        <w:rPr>
          <w:color w:val="auto"/>
        </w:rPr>
      </w:pPr>
      <w:r>
        <w:rPr>
          <w:rFonts w:hint="eastAsia"/>
          <w:color w:val="auto"/>
        </w:rPr>
        <w:t>参数下达时间检测要求如下：</w:t>
      </w:r>
    </w:p>
    <w:p>
      <w:pPr>
        <w:pStyle w:val="178"/>
        <w:numPr>
          <w:ilvl w:val="0"/>
          <w:numId w:val="611"/>
        </w:numPr>
        <w:rPr>
          <w:color w:val="auto"/>
        </w:rPr>
      </w:pPr>
      <w:r>
        <w:rPr>
          <w:rFonts w:hint="eastAsia"/>
          <w:color w:val="auto"/>
        </w:rPr>
        <w:t>检测内容应依据DB11/T 1164.1中 AG、BOM、TVM、TSM、ITVM、中心系统状态监视的要求逐项检测；</w:t>
      </w:r>
    </w:p>
    <w:p>
      <w:pPr>
        <w:pStyle w:val="178"/>
        <w:rPr>
          <w:color w:val="auto"/>
        </w:rPr>
      </w:pPr>
      <w:r>
        <w:rPr>
          <w:rFonts w:hint="eastAsia"/>
          <w:color w:val="auto"/>
        </w:rPr>
        <w:t>检测方法要求如下：</w:t>
      </w:r>
    </w:p>
    <w:p>
      <w:pPr>
        <w:pStyle w:val="113"/>
        <w:numPr>
          <w:ilvl w:val="1"/>
          <w:numId w:val="612"/>
        </w:numPr>
        <w:rPr>
          <w:color w:val="auto"/>
        </w:rPr>
      </w:pPr>
      <w:r>
        <w:rPr>
          <w:rFonts w:hint="eastAsia"/>
          <w:color w:val="auto"/>
        </w:rPr>
        <w:t>使用仿真中心系统设置AG、BOM、TVM、TSM、ITVM的参数数据，触发参数同步处理；</w:t>
      </w:r>
    </w:p>
    <w:p>
      <w:pPr>
        <w:pStyle w:val="113"/>
        <w:rPr>
          <w:color w:val="auto"/>
        </w:rPr>
      </w:pPr>
      <w:r>
        <w:rPr>
          <w:rFonts w:hint="eastAsia"/>
          <w:color w:val="auto"/>
        </w:rPr>
        <w:t>观察受检中心系统上参数同步的处理，并记录参数同步开始的时间；</w:t>
      </w:r>
    </w:p>
    <w:p>
      <w:pPr>
        <w:pStyle w:val="113"/>
        <w:rPr>
          <w:color w:val="auto"/>
        </w:rPr>
      </w:pPr>
      <w:r>
        <w:rPr>
          <w:rFonts w:hint="eastAsia"/>
          <w:color w:val="auto"/>
        </w:rPr>
        <w:t>观察受检AG、BOM、TVM、TSM、ITVM上参数同步的处理，并记录参数同步完成的时间；</w:t>
      </w:r>
    </w:p>
    <w:p>
      <w:pPr>
        <w:pStyle w:val="113"/>
        <w:rPr>
          <w:color w:val="auto"/>
        </w:rPr>
      </w:pPr>
      <w:r>
        <w:rPr>
          <w:rFonts w:hint="eastAsia"/>
          <w:color w:val="auto"/>
        </w:rPr>
        <w:t>计算并获取受检中心系统参数同步开始，到受检AG、BOM、TVM、TSM、ITVM参数同步完成的时间间隔；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命令下达时间检测</w:t>
      </w:r>
    </w:p>
    <w:p>
      <w:pPr>
        <w:pStyle w:val="60"/>
        <w:ind w:firstLine="420"/>
        <w:rPr>
          <w:color w:val="auto"/>
        </w:rPr>
      </w:pPr>
      <w:r>
        <w:rPr>
          <w:rFonts w:hint="eastAsia"/>
          <w:color w:val="auto"/>
        </w:rPr>
        <w:t>命令下达时间检测要求如下：</w:t>
      </w:r>
    </w:p>
    <w:p>
      <w:pPr>
        <w:pStyle w:val="178"/>
        <w:numPr>
          <w:ilvl w:val="0"/>
          <w:numId w:val="613"/>
        </w:numPr>
        <w:rPr>
          <w:color w:val="auto"/>
        </w:rPr>
      </w:pPr>
      <w:r>
        <w:rPr>
          <w:rFonts w:hint="eastAsia"/>
          <w:color w:val="auto"/>
        </w:rPr>
        <w:t>检测内容应依据DB11/T 1164.1中 AG、BOM、TVM、TSM、ITVM、中心系统设备控制的要求逐项检测；</w:t>
      </w:r>
    </w:p>
    <w:p>
      <w:pPr>
        <w:pStyle w:val="178"/>
        <w:rPr>
          <w:color w:val="auto"/>
        </w:rPr>
      </w:pPr>
      <w:r>
        <w:rPr>
          <w:rFonts w:hint="eastAsia"/>
          <w:color w:val="auto"/>
        </w:rPr>
        <w:t>检测方法要求如下：</w:t>
      </w:r>
    </w:p>
    <w:p>
      <w:pPr>
        <w:pStyle w:val="113"/>
        <w:numPr>
          <w:ilvl w:val="1"/>
          <w:numId w:val="614"/>
        </w:numPr>
        <w:rPr>
          <w:color w:val="auto"/>
        </w:rPr>
      </w:pPr>
      <w:r>
        <w:rPr>
          <w:rFonts w:hint="eastAsia"/>
          <w:color w:val="auto"/>
        </w:rPr>
        <w:t>在受检中心系统上设置AG、BOM、TVM、TSM、ITVM的工作模式；</w:t>
      </w:r>
    </w:p>
    <w:p>
      <w:pPr>
        <w:pStyle w:val="113"/>
        <w:rPr>
          <w:color w:val="auto"/>
        </w:rPr>
      </w:pPr>
      <w:r>
        <w:rPr>
          <w:rFonts w:hint="eastAsia"/>
          <w:color w:val="auto"/>
        </w:rPr>
        <w:t>在受检中心系统上观察受检AG、BOM、TVM、TSM、ITVM的处理，并记录接收控制命令的时间；</w:t>
      </w:r>
    </w:p>
    <w:p>
      <w:pPr>
        <w:pStyle w:val="113"/>
        <w:rPr>
          <w:color w:val="auto"/>
        </w:rPr>
      </w:pPr>
      <w:r>
        <w:rPr>
          <w:rFonts w:hint="eastAsia"/>
          <w:color w:val="auto"/>
        </w:rPr>
        <w:t>计算并获取受检中心系统下发控制命令，到受检AG、BOM、TVM、TSM、ITVM的接收控制命令的时间间隔；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数据上传时间检测</w:t>
      </w:r>
    </w:p>
    <w:p>
      <w:pPr>
        <w:pStyle w:val="60"/>
        <w:ind w:firstLine="420"/>
        <w:rPr>
          <w:color w:val="auto"/>
        </w:rPr>
      </w:pPr>
      <w:r>
        <w:rPr>
          <w:rFonts w:hint="eastAsia"/>
          <w:color w:val="auto"/>
        </w:rPr>
        <w:t>数据上传时间检测要求如下：</w:t>
      </w:r>
    </w:p>
    <w:p>
      <w:pPr>
        <w:pStyle w:val="178"/>
        <w:rPr>
          <w:color w:val="auto"/>
        </w:rPr>
      </w:pPr>
      <w:r>
        <w:rPr>
          <w:rFonts w:hint="eastAsia"/>
          <w:color w:val="auto"/>
        </w:rPr>
        <w:t>检测内容应依据DB11/T 1164.1中 AG、BOM、TVM、TSM、ITVM、中心系统功能中的参数管理、审计管理的要求逐项检测；</w:t>
      </w:r>
    </w:p>
    <w:p>
      <w:pPr>
        <w:pStyle w:val="178"/>
        <w:rPr>
          <w:color w:val="auto"/>
        </w:rPr>
      </w:pPr>
      <w:r>
        <w:rPr>
          <w:rFonts w:hint="eastAsia"/>
          <w:color w:val="auto"/>
        </w:rPr>
        <w:t>检测方法要求如下：</w:t>
      </w:r>
    </w:p>
    <w:p>
      <w:pPr>
        <w:pStyle w:val="113"/>
        <w:numPr>
          <w:ilvl w:val="1"/>
          <w:numId w:val="615"/>
        </w:numPr>
        <w:rPr>
          <w:color w:val="auto"/>
        </w:rPr>
      </w:pPr>
      <w:r>
        <w:rPr>
          <w:rFonts w:hint="eastAsia"/>
          <w:color w:val="auto"/>
        </w:rPr>
        <w:t>在仿真中心系统上设置数据上传时间参数，下发到受检中心系统、AG、BOM、TVM、TSM、ITVM上并生效；</w:t>
      </w:r>
    </w:p>
    <w:p>
      <w:pPr>
        <w:pStyle w:val="113"/>
        <w:rPr>
          <w:color w:val="auto"/>
        </w:rPr>
      </w:pPr>
      <w:r>
        <w:rPr>
          <w:rFonts w:hint="eastAsia"/>
          <w:color w:val="auto"/>
        </w:rPr>
        <w:t>在受检AG、BOM、TVM、TSM、ITVM做指定交易的处理，使终端产生交易数据、业务数据和事件数据；</w:t>
      </w:r>
    </w:p>
    <w:p>
      <w:pPr>
        <w:pStyle w:val="113"/>
        <w:rPr>
          <w:color w:val="auto"/>
        </w:rPr>
      </w:pPr>
      <w:r>
        <w:rPr>
          <w:rFonts w:hint="eastAsia"/>
          <w:color w:val="auto"/>
        </w:rPr>
        <w:t xml:space="preserve">计算受检AG、BOM、TVM、TSM、ITVM到达上传数据时刻与受检中心系统接收数据的时间间隔； </w:t>
      </w:r>
    </w:p>
    <w:p>
      <w:pPr>
        <w:pStyle w:val="113"/>
        <w:rPr>
          <w:color w:val="auto"/>
        </w:rPr>
      </w:pPr>
      <w:r>
        <w:rPr>
          <w:rFonts w:hint="eastAsia"/>
          <w:color w:val="auto"/>
        </w:rPr>
        <w:t>检测所需的次数应不低于3次，并计算选取测试平均值。</w:t>
      </w:r>
    </w:p>
    <w:p>
      <w:pPr>
        <w:pStyle w:val="109"/>
        <w:spacing w:before="156" w:after="156"/>
        <w:rPr>
          <w:color w:val="auto"/>
        </w:rPr>
      </w:pPr>
      <w:bookmarkStart w:id="523" w:name="_Toc23019"/>
      <w:r>
        <w:rPr>
          <w:rFonts w:hint="eastAsia"/>
          <w:color w:val="auto"/>
        </w:rPr>
        <w:t>线路联网检测</w:t>
      </w:r>
      <w:bookmarkEnd w:id="523"/>
    </w:p>
    <w:p>
      <w:pPr>
        <w:pStyle w:val="69"/>
        <w:spacing w:before="156" w:after="156"/>
        <w:rPr>
          <w:color w:val="auto"/>
        </w:rPr>
      </w:pPr>
      <w:r>
        <w:rPr>
          <w:rFonts w:hint="eastAsia"/>
          <w:color w:val="auto"/>
        </w:rPr>
        <w:t>功能检测</w:t>
      </w:r>
    </w:p>
    <w:p>
      <w:pPr>
        <w:pStyle w:val="98"/>
        <w:spacing w:before="156" w:after="156"/>
        <w:rPr>
          <w:color w:val="auto"/>
        </w:rPr>
      </w:pPr>
      <w:r>
        <w:rPr>
          <w:rFonts w:hint="eastAsia"/>
          <w:color w:val="auto"/>
        </w:rPr>
        <w:t>交易数据传输检测</w:t>
      </w:r>
    </w:p>
    <w:p>
      <w:pPr>
        <w:pStyle w:val="60"/>
        <w:ind w:firstLine="420"/>
        <w:rPr>
          <w:color w:val="auto"/>
        </w:rPr>
      </w:pPr>
      <w:r>
        <w:rPr>
          <w:rFonts w:hint="eastAsia"/>
          <w:color w:val="auto"/>
        </w:rPr>
        <w:t>交易数据传输检测要求如下：</w:t>
      </w:r>
    </w:p>
    <w:p>
      <w:pPr>
        <w:pStyle w:val="178"/>
        <w:numPr>
          <w:ilvl w:val="0"/>
          <w:numId w:val="616"/>
        </w:numPr>
        <w:rPr>
          <w:color w:val="auto"/>
        </w:rPr>
      </w:pPr>
      <w:r>
        <w:rPr>
          <w:rFonts w:hint="eastAsia"/>
          <w:color w:val="auto"/>
        </w:rPr>
        <w:t>检测内容应依据DB11/T 1164.2定义 交易数据相关的要求逐项检测；</w:t>
      </w:r>
    </w:p>
    <w:p>
      <w:pPr>
        <w:pStyle w:val="178"/>
        <w:rPr>
          <w:color w:val="auto"/>
        </w:rPr>
      </w:pPr>
      <w:r>
        <w:rPr>
          <w:rFonts w:hint="eastAsia"/>
          <w:color w:val="auto"/>
        </w:rPr>
        <w:t>检测方法要求如下：</w:t>
      </w:r>
    </w:p>
    <w:p>
      <w:pPr>
        <w:pStyle w:val="113"/>
        <w:numPr>
          <w:ilvl w:val="1"/>
          <w:numId w:val="617"/>
        </w:numPr>
        <w:rPr>
          <w:color w:val="auto"/>
        </w:rPr>
      </w:pPr>
      <w:r>
        <w:rPr>
          <w:rFonts w:hint="eastAsia"/>
          <w:color w:val="auto"/>
        </w:rPr>
        <w:t>在受检设备上进行相关交易数据的业务操作；</w:t>
      </w:r>
    </w:p>
    <w:p>
      <w:pPr>
        <w:pStyle w:val="113"/>
        <w:rPr>
          <w:color w:val="auto"/>
        </w:rPr>
      </w:pPr>
      <w:r>
        <w:rPr>
          <w:rFonts w:hint="eastAsia"/>
          <w:color w:val="auto"/>
        </w:rPr>
        <w:t>在受检中心系统上应观察到受检设备上传的交易数据；</w:t>
      </w:r>
    </w:p>
    <w:p>
      <w:pPr>
        <w:pStyle w:val="113"/>
        <w:rPr>
          <w:color w:val="auto"/>
        </w:rPr>
      </w:pPr>
      <w:r>
        <w:rPr>
          <w:rFonts w:hint="eastAsia"/>
          <w:color w:val="auto"/>
        </w:rPr>
        <w:t>在受检中心系统上应观察到受检中心系统上传的交易数据；</w:t>
      </w:r>
    </w:p>
    <w:p>
      <w:pPr>
        <w:pStyle w:val="98"/>
        <w:spacing w:before="156" w:after="156"/>
        <w:rPr>
          <w:color w:val="auto"/>
        </w:rPr>
      </w:pPr>
      <w:r>
        <w:rPr>
          <w:rFonts w:hint="eastAsia"/>
          <w:color w:val="auto"/>
        </w:rPr>
        <w:t>运营结束检测</w:t>
      </w:r>
    </w:p>
    <w:p>
      <w:pPr>
        <w:pStyle w:val="60"/>
        <w:ind w:firstLine="420"/>
        <w:rPr>
          <w:color w:val="auto"/>
        </w:rPr>
      </w:pPr>
      <w:r>
        <w:rPr>
          <w:rFonts w:hint="eastAsia"/>
          <w:color w:val="auto"/>
        </w:rPr>
        <w:t>运营结束检测要求如下：</w:t>
      </w:r>
    </w:p>
    <w:p>
      <w:pPr>
        <w:pStyle w:val="178"/>
        <w:numPr>
          <w:ilvl w:val="0"/>
          <w:numId w:val="618"/>
        </w:numPr>
        <w:rPr>
          <w:color w:val="auto"/>
        </w:rPr>
      </w:pPr>
      <w:r>
        <w:rPr>
          <w:rFonts w:hint="eastAsia"/>
          <w:color w:val="auto"/>
        </w:rPr>
        <w:t>检测内容应依据DB11/T 1164.1中AG、BOM、TVM、ITVM、TSM、中心系统运营结束功能的要求逐项检测；</w:t>
      </w:r>
    </w:p>
    <w:p>
      <w:pPr>
        <w:pStyle w:val="178"/>
        <w:rPr>
          <w:color w:val="auto"/>
        </w:rPr>
      </w:pPr>
      <w:r>
        <w:rPr>
          <w:rFonts w:hint="eastAsia"/>
          <w:color w:val="auto"/>
        </w:rPr>
        <w:t>检测方法要求如下：</w:t>
      </w:r>
    </w:p>
    <w:p>
      <w:pPr>
        <w:pStyle w:val="113"/>
        <w:numPr>
          <w:ilvl w:val="1"/>
          <w:numId w:val="619"/>
        </w:numPr>
        <w:rPr>
          <w:color w:val="auto"/>
        </w:rPr>
      </w:pPr>
      <w:r>
        <w:rPr>
          <w:rFonts w:hint="eastAsia"/>
          <w:color w:val="auto"/>
        </w:rPr>
        <w:t>使用受检中心系统向受检设备发送运营结束指令或在受检设备上手动进行运营结束操作或受检设备依据运行时间参数的规定自动执行运营结束操作；</w:t>
      </w:r>
    </w:p>
    <w:p>
      <w:pPr>
        <w:pStyle w:val="113"/>
        <w:rPr>
          <w:color w:val="auto"/>
        </w:rPr>
      </w:pPr>
      <w:r>
        <w:rPr>
          <w:rFonts w:hint="eastAsia"/>
          <w:color w:val="auto"/>
        </w:rPr>
        <w:t>观察受检设备的处理应符合DB11/T 1164.1、DB11/T 1164.2和DB11/T 1164.3有关运营结束的规定；</w:t>
      </w:r>
    </w:p>
    <w:p>
      <w:pPr>
        <w:pStyle w:val="113"/>
        <w:rPr>
          <w:color w:val="auto"/>
        </w:rPr>
      </w:pPr>
      <w:r>
        <w:rPr>
          <w:rFonts w:hint="eastAsia"/>
          <w:color w:val="auto"/>
        </w:rPr>
        <w:t>在受检中心系统上应观察到受检设备运营结束的状态和相关的日结数据；</w:t>
      </w:r>
    </w:p>
    <w:p>
      <w:pPr>
        <w:pStyle w:val="113"/>
        <w:rPr>
          <w:color w:val="auto"/>
        </w:rPr>
      </w:pPr>
      <w:r>
        <w:rPr>
          <w:rFonts w:hint="eastAsia"/>
          <w:color w:val="auto"/>
        </w:rPr>
        <w:t>在受检中心系统上应观察到受检中心系统上传的设备运营结束状态和日结数据。</w:t>
      </w:r>
    </w:p>
    <w:p>
      <w:pPr>
        <w:pStyle w:val="98"/>
        <w:spacing w:before="156" w:after="156"/>
        <w:rPr>
          <w:color w:val="auto"/>
        </w:rPr>
      </w:pPr>
      <w:r>
        <w:rPr>
          <w:rFonts w:hint="eastAsia"/>
          <w:color w:val="auto"/>
        </w:rPr>
        <w:t>设备监视检测</w:t>
      </w:r>
    </w:p>
    <w:p>
      <w:pPr>
        <w:pStyle w:val="60"/>
        <w:ind w:firstLine="420"/>
        <w:rPr>
          <w:color w:val="auto"/>
        </w:rPr>
      </w:pPr>
      <w:r>
        <w:rPr>
          <w:rFonts w:hint="eastAsia"/>
          <w:color w:val="auto"/>
        </w:rPr>
        <w:t>设备监视检测要求如下：</w:t>
      </w:r>
    </w:p>
    <w:p>
      <w:pPr>
        <w:pStyle w:val="178"/>
        <w:numPr>
          <w:ilvl w:val="0"/>
          <w:numId w:val="620"/>
        </w:numPr>
        <w:rPr>
          <w:color w:val="auto"/>
        </w:rPr>
      </w:pPr>
      <w:r>
        <w:rPr>
          <w:rFonts w:hint="eastAsia"/>
          <w:color w:val="auto"/>
        </w:rPr>
        <w:t>检测内容应依据DB11/T 1164.1中中心系统设备监视功能的要求逐项检测；</w:t>
      </w:r>
    </w:p>
    <w:p>
      <w:pPr>
        <w:pStyle w:val="178"/>
        <w:rPr>
          <w:color w:val="auto"/>
        </w:rPr>
      </w:pPr>
      <w:r>
        <w:rPr>
          <w:rFonts w:hint="eastAsia"/>
          <w:color w:val="auto"/>
        </w:rPr>
        <w:t>检测方法要求如下：</w:t>
      </w:r>
    </w:p>
    <w:p>
      <w:pPr>
        <w:pStyle w:val="113"/>
        <w:numPr>
          <w:ilvl w:val="1"/>
          <w:numId w:val="621"/>
        </w:numPr>
        <w:rPr>
          <w:color w:val="auto"/>
        </w:rPr>
      </w:pPr>
      <w:r>
        <w:rPr>
          <w:rFonts w:hint="eastAsia"/>
          <w:color w:val="auto"/>
        </w:rPr>
        <w:t>改变受检终端状态，在受检中心系统上应观察到受检终端状态信息；</w:t>
      </w:r>
    </w:p>
    <w:p>
      <w:pPr>
        <w:pStyle w:val="113"/>
        <w:rPr>
          <w:color w:val="auto"/>
        </w:rPr>
      </w:pPr>
      <w:r>
        <w:rPr>
          <w:rFonts w:hint="eastAsia"/>
          <w:color w:val="auto"/>
        </w:rPr>
        <w:t>在受检中心系统上应观察到受检中心系统上传的设备状态数据应正确。</w:t>
      </w:r>
    </w:p>
    <w:p>
      <w:pPr>
        <w:pStyle w:val="98"/>
        <w:spacing w:before="156" w:after="156"/>
        <w:rPr>
          <w:color w:val="auto"/>
        </w:rPr>
      </w:pPr>
      <w:r>
        <w:rPr>
          <w:rFonts w:hint="eastAsia"/>
          <w:color w:val="auto"/>
        </w:rPr>
        <w:t>客流监视检测</w:t>
      </w:r>
    </w:p>
    <w:p>
      <w:pPr>
        <w:pStyle w:val="60"/>
        <w:ind w:firstLine="420"/>
        <w:rPr>
          <w:color w:val="auto"/>
        </w:rPr>
      </w:pPr>
      <w:r>
        <w:rPr>
          <w:rFonts w:hint="eastAsia"/>
          <w:color w:val="auto"/>
        </w:rPr>
        <w:t>客流监视检测要求如下：</w:t>
      </w:r>
    </w:p>
    <w:p>
      <w:pPr>
        <w:pStyle w:val="178"/>
        <w:numPr>
          <w:ilvl w:val="0"/>
          <w:numId w:val="622"/>
        </w:numPr>
        <w:rPr>
          <w:color w:val="auto"/>
        </w:rPr>
      </w:pPr>
      <w:r>
        <w:rPr>
          <w:rFonts w:hint="eastAsia"/>
          <w:color w:val="auto"/>
        </w:rPr>
        <w:t>检测内容应依据DB11/T 1164.1中中心系统客流监视功能的要求逐项检测；</w:t>
      </w:r>
    </w:p>
    <w:p>
      <w:pPr>
        <w:pStyle w:val="178"/>
        <w:rPr>
          <w:color w:val="auto"/>
        </w:rPr>
      </w:pPr>
      <w:r>
        <w:rPr>
          <w:rFonts w:hint="eastAsia"/>
          <w:color w:val="auto"/>
        </w:rPr>
        <w:t>检测方法要求如下：</w:t>
      </w:r>
    </w:p>
    <w:p>
      <w:pPr>
        <w:pStyle w:val="113"/>
        <w:numPr>
          <w:ilvl w:val="1"/>
          <w:numId w:val="623"/>
        </w:numPr>
        <w:rPr>
          <w:color w:val="auto"/>
        </w:rPr>
      </w:pPr>
      <w:r>
        <w:rPr>
          <w:rFonts w:hint="eastAsia"/>
          <w:color w:val="auto"/>
        </w:rPr>
        <w:t>在受检终端上进行相关票卡业务操作；</w:t>
      </w:r>
    </w:p>
    <w:p>
      <w:pPr>
        <w:pStyle w:val="113"/>
        <w:rPr>
          <w:color w:val="auto"/>
        </w:rPr>
      </w:pPr>
      <w:r>
        <w:rPr>
          <w:rFonts w:hint="eastAsia"/>
          <w:color w:val="auto"/>
        </w:rPr>
        <w:t>在受检中心系统上应观察到受检终端上传的交易数据；</w:t>
      </w:r>
    </w:p>
    <w:p>
      <w:pPr>
        <w:pStyle w:val="113"/>
        <w:rPr>
          <w:color w:val="auto"/>
        </w:rPr>
      </w:pPr>
      <w:r>
        <w:rPr>
          <w:rFonts w:hint="eastAsia"/>
          <w:color w:val="auto"/>
        </w:rPr>
        <w:t>在受检中心系统上应观察到客流数据；</w:t>
      </w:r>
    </w:p>
    <w:p>
      <w:pPr>
        <w:pStyle w:val="113"/>
        <w:rPr>
          <w:color w:val="auto"/>
        </w:rPr>
      </w:pPr>
      <w:r>
        <w:rPr>
          <w:rFonts w:hint="eastAsia"/>
          <w:color w:val="auto"/>
        </w:rPr>
        <w:t>在受检中心系统上应观察到受检中心系统上传的客流数据；</w:t>
      </w:r>
    </w:p>
    <w:p>
      <w:pPr>
        <w:pStyle w:val="113"/>
        <w:rPr>
          <w:color w:val="auto"/>
        </w:rPr>
      </w:pPr>
      <w:r>
        <w:rPr>
          <w:rFonts w:hint="eastAsia"/>
          <w:color w:val="auto"/>
        </w:rPr>
        <w:t>通过仿真中心系统的记录检测受检中心系统上传的客流数据应正确。</w:t>
      </w:r>
    </w:p>
    <w:p>
      <w:pPr>
        <w:pStyle w:val="98"/>
        <w:spacing w:before="156" w:after="156"/>
        <w:rPr>
          <w:color w:val="auto"/>
        </w:rPr>
      </w:pPr>
      <w:r>
        <w:rPr>
          <w:rFonts w:hint="eastAsia"/>
          <w:color w:val="auto"/>
        </w:rPr>
        <w:t>运营模式设置检测</w:t>
      </w:r>
    </w:p>
    <w:p>
      <w:pPr>
        <w:pStyle w:val="60"/>
        <w:ind w:firstLine="420"/>
        <w:rPr>
          <w:color w:val="auto"/>
        </w:rPr>
      </w:pPr>
      <w:r>
        <w:rPr>
          <w:rFonts w:hint="eastAsia"/>
          <w:color w:val="auto"/>
        </w:rPr>
        <w:t>运营模式设置检测要求如下：</w:t>
      </w:r>
    </w:p>
    <w:p>
      <w:pPr>
        <w:pStyle w:val="178"/>
        <w:numPr>
          <w:ilvl w:val="0"/>
          <w:numId w:val="624"/>
        </w:numPr>
        <w:rPr>
          <w:color w:val="auto"/>
        </w:rPr>
      </w:pPr>
      <w:r>
        <w:rPr>
          <w:rFonts w:hint="eastAsia"/>
          <w:color w:val="auto"/>
        </w:rPr>
        <w:t>检测内容应依据DB11/T 1164.1中中心系统运营模式设置功能的要求逐项检测；</w:t>
      </w:r>
    </w:p>
    <w:p>
      <w:pPr>
        <w:pStyle w:val="178"/>
        <w:rPr>
          <w:color w:val="auto"/>
        </w:rPr>
      </w:pPr>
      <w:r>
        <w:rPr>
          <w:rFonts w:hint="eastAsia"/>
          <w:color w:val="auto"/>
        </w:rPr>
        <w:t>检测方法要求如下：</w:t>
      </w:r>
    </w:p>
    <w:p>
      <w:pPr>
        <w:pStyle w:val="113"/>
        <w:numPr>
          <w:ilvl w:val="1"/>
          <w:numId w:val="625"/>
        </w:numPr>
        <w:rPr>
          <w:color w:val="auto"/>
        </w:rPr>
      </w:pPr>
      <w:r>
        <w:rPr>
          <w:rFonts w:hint="eastAsia"/>
          <w:color w:val="auto"/>
        </w:rPr>
        <w:t>使用受检中心系统设置运营模式，在受检中心系统和受检终端上应观察到运营模式状态；</w:t>
      </w:r>
    </w:p>
    <w:p>
      <w:pPr>
        <w:pStyle w:val="113"/>
        <w:rPr>
          <w:color w:val="auto"/>
        </w:rPr>
      </w:pPr>
      <w:r>
        <w:rPr>
          <w:rFonts w:hint="eastAsia"/>
          <w:color w:val="auto"/>
        </w:rPr>
        <w:t>使用受检中心系统设置紧急模式或者正常模式，在受检终端上应观察到运营模式状态；</w:t>
      </w:r>
    </w:p>
    <w:p>
      <w:pPr>
        <w:pStyle w:val="113"/>
        <w:rPr>
          <w:color w:val="auto"/>
        </w:rPr>
      </w:pPr>
      <w:r>
        <w:rPr>
          <w:rFonts w:hint="eastAsia"/>
          <w:color w:val="auto"/>
        </w:rPr>
        <w:t>在受检中心系统上应观察到受检终端运营模式状态；</w:t>
      </w:r>
    </w:p>
    <w:p>
      <w:pPr>
        <w:pStyle w:val="113"/>
        <w:rPr>
          <w:color w:val="auto"/>
        </w:rPr>
      </w:pPr>
      <w:r>
        <w:rPr>
          <w:rFonts w:hint="eastAsia"/>
          <w:color w:val="auto"/>
        </w:rPr>
        <w:t>在受检中心系统上应观察到受检中心系统、受检终端的运营模式状态；</w:t>
      </w:r>
    </w:p>
    <w:p>
      <w:pPr>
        <w:pStyle w:val="113"/>
        <w:rPr>
          <w:color w:val="auto"/>
        </w:rPr>
      </w:pPr>
      <w:r>
        <w:rPr>
          <w:rFonts w:hint="eastAsia"/>
          <w:color w:val="auto"/>
        </w:rPr>
        <w:t>通过受检中心系统的记录检测受检中心系统上传的模式通知应正确。</w:t>
      </w:r>
    </w:p>
    <w:p>
      <w:pPr>
        <w:pStyle w:val="98"/>
        <w:spacing w:before="156" w:after="156"/>
        <w:rPr>
          <w:color w:val="auto"/>
        </w:rPr>
      </w:pPr>
      <w:r>
        <w:rPr>
          <w:rFonts w:hint="eastAsia"/>
          <w:color w:val="auto"/>
        </w:rPr>
        <w:t>模式履历设置检测</w:t>
      </w:r>
    </w:p>
    <w:p>
      <w:pPr>
        <w:pStyle w:val="60"/>
        <w:ind w:firstLine="420"/>
        <w:rPr>
          <w:color w:val="auto"/>
        </w:rPr>
      </w:pPr>
      <w:r>
        <w:rPr>
          <w:rFonts w:hint="eastAsia"/>
          <w:color w:val="auto"/>
        </w:rPr>
        <w:t>模式履历设置检测要求如下：</w:t>
      </w:r>
    </w:p>
    <w:p>
      <w:pPr>
        <w:pStyle w:val="178"/>
        <w:numPr>
          <w:ilvl w:val="0"/>
          <w:numId w:val="626"/>
        </w:numPr>
        <w:rPr>
          <w:color w:val="auto"/>
        </w:rPr>
      </w:pPr>
      <w:r>
        <w:rPr>
          <w:rFonts w:hint="eastAsia"/>
          <w:color w:val="auto"/>
        </w:rPr>
        <w:t>检测内容应依据DB11/T 1164.1中中心系统模式履历设置功能的要求逐项检测；</w:t>
      </w:r>
    </w:p>
    <w:p>
      <w:pPr>
        <w:pStyle w:val="178"/>
        <w:rPr>
          <w:color w:val="auto"/>
        </w:rPr>
      </w:pPr>
      <w:r>
        <w:rPr>
          <w:rFonts w:hint="eastAsia"/>
          <w:color w:val="auto"/>
        </w:rPr>
        <w:t>检测方法要求如下：</w:t>
      </w:r>
    </w:p>
    <w:p>
      <w:pPr>
        <w:pStyle w:val="113"/>
        <w:numPr>
          <w:ilvl w:val="1"/>
          <w:numId w:val="627"/>
        </w:numPr>
        <w:rPr>
          <w:color w:val="auto"/>
        </w:rPr>
      </w:pPr>
      <w:r>
        <w:rPr>
          <w:rFonts w:hint="eastAsia"/>
          <w:color w:val="auto"/>
        </w:rPr>
        <w:t>使用受检中心系统设置模式履历，在受检中心系统和受检终端上应观察到模式履历版本；</w:t>
      </w:r>
    </w:p>
    <w:p>
      <w:pPr>
        <w:pStyle w:val="113"/>
        <w:rPr>
          <w:color w:val="auto"/>
        </w:rPr>
      </w:pPr>
      <w:r>
        <w:rPr>
          <w:rFonts w:hint="eastAsia"/>
          <w:color w:val="auto"/>
        </w:rPr>
        <w:t>在受检中心系统上应观察到受检终端上的模式履历版本信息；</w:t>
      </w:r>
    </w:p>
    <w:p>
      <w:pPr>
        <w:pStyle w:val="113"/>
        <w:rPr>
          <w:color w:val="auto"/>
        </w:rPr>
      </w:pPr>
      <w:r>
        <w:rPr>
          <w:rFonts w:hint="eastAsia"/>
          <w:color w:val="auto"/>
        </w:rPr>
        <w:t>在受检中心系统上应观察到受检中心系统上的模式履历版本信息。</w:t>
      </w:r>
    </w:p>
    <w:p>
      <w:pPr>
        <w:pStyle w:val="98"/>
        <w:spacing w:before="156" w:after="156"/>
        <w:rPr>
          <w:color w:val="auto"/>
        </w:rPr>
      </w:pPr>
      <w:r>
        <w:rPr>
          <w:rFonts w:hint="eastAsia"/>
          <w:color w:val="auto"/>
        </w:rPr>
        <w:t>参数/软件版本同步检测</w:t>
      </w:r>
    </w:p>
    <w:p>
      <w:pPr>
        <w:pStyle w:val="60"/>
        <w:ind w:firstLine="420"/>
        <w:rPr>
          <w:color w:val="auto"/>
        </w:rPr>
      </w:pPr>
      <w:r>
        <w:rPr>
          <w:rFonts w:hint="eastAsia"/>
          <w:color w:val="auto"/>
        </w:rPr>
        <w:t>参数/软件版本同步检测要求如下：</w:t>
      </w:r>
    </w:p>
    <w:p>
      <w:pPr>
        <w:pStyle w:val="178"/>
        <w:numPr>
          <w:ilvl w:val="0"/>
          <w:numId w:val="628"/>
        </w:numPr>
        <w:rPr>
          <w:color w:val="auto"/>
        </w:rPr>
      </w:pPr>
      <w:r>
        <w:rPr>
          <w:rFonts w:hint="eastAsia"/>
          <w:color w:val="auto"/>
        </w:rPr>
        <w:t>检测内容应依据DB11/T 1164.1中AG、BOM、TVM、ITVM、TSM、中心系统参数/软件同步功能的要求逐项检测；</w:t>
      </w:r>
    </w:p>
    <w:p>
      <w:pPr>
        <w:pStyle w:val="178"/>
        <w:rPr>
          <w:color w:val="auto"/>
        </w:rPr>
      </w:pPr>
      <w:r>
        <w:rPr>
          <w:rFonts w:hint="eastAsia"/>
          <w:color w:val="auto"/>
        </w:rPr>
        <w:t>检测方法要求如下：</w:t>
      </w:r>
    </w:p>
    <w:p>
      <w:pPr>
        <w:pStyle w:val="113"/>
        <w:numPr>
          <w:ilvl w:val="1"/>
          <w:numId w:val="629"/>
        </w:numPr>
        <w:rPr>
          <w:color w:val="auto"/>
        </w:rPr>
      </w:pPr>
      <w:r>
        <w:rPr>
          <w:rFonts w:hint="eastAsia"/>
          <w:color w:val="auto"/>
        </w:rPr>
        <w:t>使用受检中心系统进行参数/软件同步操作，在受检中心系统应观察到同步后的参数/软件信息和参数/软件版本；</w:t>
      </w:r>
    </w:p>
    <w:p>
      <w:pPr>
        <w:pStyle w:val="113"/>
        <w:rPr>
          <w:color w:val="auto"/>
        </w:rPr>
      </w:pPr>
      <w:r>
        <w:rPr>
          <w:rFonts w:hint="eastAsia"/>
          <w:color w:val="auto"/>
        </w:rPr>
        <w:t>使受检中心系统与受检终端进行参数/软件同步；</w:t>
      </w:r>
    </w:p>
    <w:p>
      <w:pPr>
        <w:pStyle w:val="113"/>
        <w:rPr>
          <w:color w:val="auto"/>
        </w:rPr>
      </w:pPr>
      <w:r>
        <w:rPr>
          <w:rFonts w:hint="eastAsia"/>
          <w:color w:val="auto"/>
        </w:rPr>
        <w:t>在受检终端应观察到同步后的参数/软件版本信息；</w:t>
      </w:r>
    </w:p>
    <w:p>
      <w:pPr>
        <w:pStyle w:val="113"/>
        <w:rPr>
          <w:color w:val="auto"/>
        </w:rPr>
      </w:pPr>
      <w:r>
        <w:rPr>
          <w:rFonts w:hint="eastAsia"/>
          <w:color w:val="auto"/>
        </w:rPr>
        <w:t>在受检中心系统应观察到受检终端同步后的参数/软件版本信息；</w:t>
      </w:r>
    </w:p>
    <w:p>
      <w:pPr>
        <w:pStyle w:val="113"/>
        <w:rPr>
          <w:color w:val="auto"/>
        </w:rPr>
      </w:pPr>
      <w:r>
        <w:rPr>
          <w:rFonts w:hint="eastAsia"/>
          <w:color w:val="auto"/>
        </w:rPr>
        <w:t>通过受检中心系统的记录检测受检中心系统上传的参数/软件版本信息应正确。</w:t>
      </w:r>
    </w:p>
    <w:p>
      <w:pPr>
        <w:pStyle w:val="98"/>
        <w:spacing w:before="156" w:after="156"/>
        <w:rPr>
          <w:color w:val="auto"/>
        </w:rPr>
      </w:pPr>
      <w:r>
        <w:rPr>
          <w:rFonts w:hint="eastAsia"/>
          <w:color w:val="auto"/>
        </w:rPr>
        <w:t>参数/软件版本查询检测</w:t>
      </w:r>
    </w:p>
    <w:p>
      <w:pPr>
        <w:pStyle w:val="60"/>
        <w:ind w:firstLine="420"/>
        <w:rPr>
          <w:color w:val="auto"/>
        </w:rPr>
      </w:pPr>
      <w:r>
        <w:rPr>
          <w:rFonts w:hint="eastAsia"/>
          <w:color w:val="auto"/>
        </w:rPr>
        <w:t>参数/软件版本查询检测要求如下：</w:t>
      </w:r>
    </w:p>
    <w:p>
      <w:pPr>
        <w:pStyle w:val="178"/>
        <w:numPr>
          <w:ilvl w:val="0"/>
          <w:numId w:val="630"/>
        </w:numPr>
        <w:rPr>
          <w:color w:val="auto"/>
        </w:rPr>
      </w:pPr>
      <w:r>
        <w:rPr>
          <w:rFonts w:hint="eastAsia"/>
          <w:color w:val="auto"/>
        </w:rPr>
        <w:t>检测内容应依据DB11/T 1164.1中AG、BOM、TVM、ITVM、TSM、中心系统参数/软件同步功能的要求逐项检测；</w:t>
      </w:r>
    </w:p>
    <w:p>
      <w:pPr>
        <w:pStyle w:val="178"/>
        <w:rPr>
          <w:color w:val="auto"/>
        </w:rPr>
      </w:pPr>
      <w:r>
        <w:rPr>
          <w:rFonts w:hint="eastAsia"/>
          <w:color w:val="auto"/>
        </w:rPr>
        <w:t>检测方法要求如下：</w:t>
      </w:r>
    </w:p>
    <w:p>
      <w:pPr>
        <w:pStyle w:val="113"/>
        <w:numPr>
          <w:ilvl w:val="1"/>
          <w:numId w:val="631"/>
        </w:numPr>
        <w:rPr>
          <w:color w:val="auto"/>
        </w:rPr>
      </w:pPr>
      <w:r>
        <w:rPr>
          <w:rFonts w:hint="eastAsia"/>
          <w:color w:val="auto"/>
        </w:rPr>
        <w:t>在受检中心系统应观察到参数/软件版本信息数据（根据需求的规定保存一定数量的版本）；</w:t>
      </w:r>
    </w:p>
    <w:p>
      <w:pPr>
        <w:pStyle w:val="113"/>
        <w:rPr>
          <w:color w:val="auto"/>
        </w:rPr>
      </w:pPr>
      <w:r>
        <w:rPr>
          <w:rFonts w:hint="eastAsia"/>
          <w:color w:val="auto"/>
        </w:rPr>
        <w:t>在受检中心系统应观察到参数/软件版本信息数据（根据需求的规定保存一定数量的版本）；</w:t>
      </w:r>
    </w:p>
    <w:p>
      <w:pPr>
        <w:pStyle w:val="113"/>
        <w:rPr>
          <w:color w:val="auto"/>
        </w:rPr>
      </w:pPr>
      <w:r>
        <w:rPr>
          <w:rFonts w:hint="eastAsia"/>
          <w:color w:val="auto"/>
        </w:rPr>
        <w:t>在受检终端应观察到参数/软件版本信息数据（当前版和将来版）。</w:t>
      </w:r>
    </w:p>
    <w:p>
      <w:pPr>
        <w:pStyle w:val="98"/>
        <w:spacing w:before="156" w:after="156"/>
        <w:rPr>
          <w:color w:val="auto"/>
        </w:rPr>
      </w:pPr>
      <w:r>
        <w:rPr>
          <w:rFonts w:hint="eastAsia"/>
          <w:color w:val="auto"/>
        </w:rPr>
        <w:t>自动时钟同步检测</w:t>
      </w:r>
    </w:p>
    <w:p>
      <w:pPr>
        <w:pStyle w:val="60"/>
        <w:ind w:firstLine="420"/>
        <w:rPr>
          <w:color w:val="auto"/>
        </w:rPr>
      </w:pPr>
      <w:r>
        <w:rPr>
          <w:rFonts w:hint="eastAsia"/>
          <w:color w:val="auto"/>
        </w:rPr>
        <w:t>自动时钟同步检测要求如下：</w:t>
      </w:r>
    </w:p>
    <w:p>
      <w:pPr>
        <w:pStyle w:val="178"/>
        <w:numPr>
          <w:ilvl w:val="0"/>
          <w:numId w:val="632"/>
        </w:numPr>
        <w:rPr>
          <w:color w:val="auto"/>
        </w:rPr>
      </w:pPr>
      <w:r>
        <w:rPr>
          <w:rFonts w:hint="eastAsia"/>
          <w:color w:val="auto"/>
        </w:rPr>
        <w:t>检测内容应依据DB11/T 1164.1中AG、BOM、TVM、ITVM、TSM、中心系统时钟同步功能的要求逐项检测；</w:t>
      </w:r>
    </w:p>
    <w:p>
      <w:pPr>
        <w:pStyle w:val="178"/>
        <w:rPr>
          <w:color w:val="auto"/>
        </w:rPr>
      </w:pPr>
      <w:r>
        <w:rPr>
          <w:rFonts w:hint="eastAsia"/>
          <w:color w:val="auto"/>
        </w:rPr>
        <w:t>检测方法要求如下：</w:t>
      </w:r>
    </w:p>
    <w:p>
      <w:pPr>
        <w:pStyle w:val="113"/>
        <w:numPr>
          <w:ilvl w:val="1"/>
          <w:numId w:val="633"/>
        </w:numPr>
        <w:rPr>
          <w:color w:val="auto"/>
        </w:rPr>
      </w:pPr>
      <w:r>
        <w:rPr>
          <w:rFonts w:hint="eastAsia"/>
          <w:color w:val="auto"/>
        </w:rPr>
        <w:t>设置受检中心系统与受检中心系统自动时钟同步的时间间隔，设置受检中心系统与受检终端自动时钟同步的时间间隔；</w:t>
      </w:r>
    </w:p>
    <w:p>
      <w:pPr>
        <w:pStyle w:val="113"/>
        <w:rPr>
          <w:color w:val="auto"/>
        </w:rPr>
      </w:pPr>
      <w:r>
        <w:rPr>
          <w:rFonts w:hint="eastAsia"/>
          <w:color w:val="auto"/>
        </w:rPr>
        <w:t>使受检中心系统的时钟与受检中心系统的时钟存在差异；</w:t>
      </w:r>
    </w:p>
    <w:p>
      <w:pPr>
        <w:pStyle w:val="113"/>
        <w:rPr>
          <w:color w:val="auto"/>
        </w:rPr>
      </w:pPr>
      <w:r>
        <w:rPr>
          <w:rFonts w:hint="eastAsia"/>
          <w:color w:val="auto"/>
        </w:rPr>
        <w:t>观察受检中心系统在到达同步时间间隔后，同步应成功；</w:t>
      </w:r>
    </w:p>
    <w:p>
      <w:pPr>
        <w:pStyle w:val="113"/>
        <w:rPr>
          <w:color w:val="auto"/>
        </w:rPr>
      </w:pPr>
      <w:r>
        <w:rPr>
          <w:rFonts w:hint="eastAsia"/>
          <w:color w:val="auto"/>
        </w:rPr>
        <w:t>观察受检终端在到达同步时间间隔后，同步应成功；</w:t>
      </w:r>
    </w:p>
    <w:p>
      <w:pPr>
        <w:pStyle w:val="113"/>
        <w:rPr>
          <w:color w:val="auto"/>
        </w:rPr>
      </w:pPr>
      <w:r>
        <w:rPr>
          <w:rFonts w:hint="eastAsia"/>
          <w:color w:val="auto"/>
        </w:rPr>
        <w:t>在受检中心系统应观察到受检中心系统时钟差异超过报警值时的报警信息；</w:t>
      </w:r>
    </w:p>
    <w:p>
      <w:pPr>
        <w:pStyle w:val="113"/>
        <w:rPr>
          <w:color w:val="auto"/>
        </w:rPr>
      </w:pPr>
      <w:r>
        <w:rPr>
          <w:rFonts w:hint="eastAsia"/>
          <w:color w:val="auto"/>
        </w:rPr>
        <w:t>在受检中心系统应观察到受检终端时钟差异超过报警值时的报警信息；</w:t>
      </w:r>
    </w:p>
    <w:p>
      <w:pPr>
        <w:pStyle w:val="113"/>
        <w:rPr>
          <w:color w:val="auto"/>
        </w:rPr>
      </w:pPr>
      <w:r>
        <w:rPr>
          <w:rFonts w:hint="eastAsia"/>
          <w:color w:val="auto"/>
        </w:rPr>
        <w:t>当受检中心系统时钟与受检中心系统时钟差异超过允许同步值时，观察受检中心系统时钟同步是否失败；</w:t>
      </w:r>
    </w:p>
    <w:p>
      <w:pPr>
        <w:pStyle w:val="113"/>
        <w:rPr>
          <w:color w:val="auto"/>
        </w:rPr>
      </w:pPr>
      <w:r>
        <w:rPr>
          <w:rFonts w:hint="eastAsia"/>
          <w:color w:val="auto"/>
        </w:rPr>
        <w:t>当受检终端时钟与受检中心系统时钟差异超过允许同步值时，观察受检终端时钟同步是否失败。</w:t>
      </w:r>
    </w:p>
    <w:p>
      <w:pPr>
        <w:pStyle w:val="98"/>
        <w:spacing w:before="156" w:after="156"/>
        <w:rPr>
          <w:color w:val="auto"/>
        </w:rPr>
      </w:pPr>
      <w:r>
        <w:rPr>
          <w:rFonts w:hint="eastAsia"/>
          <w:color w:val="auto"/>
        </w:rPr>
        <w:t>强制时钟同步检测</w:t>
      </w:r>
    </w:p>
    <w:p>
      <w:pPr>
        <w:pStyle w:val="60"/>
        <w:ind w:firstLine="420"/>
        <w:rPr>
          <w:color w:val="auto"/>
        </w:rPr>
      </w:pPr>
      <w:r>
        <w:rPr>
          <w:rFonts w:hint="eastAsia"/>
          <w:color w:val="auto"/>
        </w:rPr>
        <w:t>强制时钟同步检测要求如下：</w:t>
      </w:r>
    </w:p>
    <w:p>
      <w:pPr>
        <w:pStyle w:val="178"/>
        <w:numPr>
          <w:ilvl w:val="0"/>
          <w:numId w:val="634"/>
        </w:numPr>
        <w:rPr>
          <w:color w:val="auto"/>
        </w:rPr>
      </w:pPr>
      <w:r>
        <w:rPr>
          <w:rFonts w:hint="eastAsia"/>
          <w:color w:val="auto"/>
        </w:rPr>
        <w:t>检测内容应依据DB11/T 1164.1中AG、BOM、TVM、ITVM、TSM、中心系统时钟同步功能的要求逐项检测；</w:t>
      </w:r>
    </w:p>
    <w:p>
      <w:pPr>
        <w:pStyle w:val="178"/>
        <w:rPr>
          <w:color w:val="auto"/>
        </w:rPr>
      </w:pPr>
      <w:r>
        <w:rPr>
          <w:rFonts w:hint="eastAsia"/>
          <w:color w:val="auto"/>
        </w:rPr>
        <w:t>检测方法要求如下：</w:t>
      </w:r>
    </w:p>
    <w:p>
      <w:pPr>
        <w:pStyle w:val="113"/>
        <w:numPr>
          <w:ilvl w:val="1"/>
          <w:numId w:val="635"/>
        </w:numPr>
        <w:rPr>
          <w:color w:val="auto"/>
        </w:rPr>
      </w:pPr>
      <w:r>
        <w:rPr>
          <w:rFonts w:hint="eastAsia"/>
          <w:color w:val="auto"/>
        </w:rPr>
        <w:t>在受检中心系统执行强制时钟同步操作，观察受检中心系统和受检终端的时钟应被修改；</w:t>
      </w:r>
    </w:p>
    <w:p>
      <w:pPr>
        <w:pStyle w:val="113"/>
        <w:rPr>
          <w:color w:val="auto"/>
        </w:rPr>
      </w:pPr>
      <w:r>
        <w:rPr>
          <w:rFonts w:hint="eastAsia"/>
          <w:color w:val="auto"/>
        </w:rPr>
        <w:t>在中心系统应观察到相关操作日志；</w:t>
      </w:r>
    </w:p>
    <w:p>
      <w:pPr>
        <w:pStyle w:val="113"/>
        <w:rPr>
          <w:color w:val="auto"/>
        </w:rPr>
      </w:pPr>
      <w:r>
        <w:rPr>
          <w:rFonts w:hint="eastAsia"/>
          <w:color w:val="auto"/>
        </w:rPr>
        <w:t>在受检中心系统执行强制时钟同步操作，观察受检终端的时钟应被修改；</w:t>
      </w:r>
    </w:p>
    <w:p>
      <w:pPr>
        <w:pStyle w:val="113"/>
        <w:rPr>
          <w:color w:val="auto"/>
        </w:rPr>
      </w:pPr>
      <w:r>
        <w:rPr>
          <w:rFonts w:hint="eastAsia"/>
          <w:color w:val="auto"/>
        </w:rPr>
        <w:t>在受检中心系统应观察到相关操作日志。</w:t>
      </w:r>
    </w:p>
    <w:p>
      <w:pPr>
        <w:pStyle w:val="98"/>
        <w:spacing w:before="156" w:after="156"/>
        <w:rPr>
          <w:color w:val="auto"/>
        </w:rPr>
      </w:pPr>
      <w:r>
        <w:rPr>
          <w:rFonts w:hint="eastAsia"/>
          <w:color w:val="auto"/>
        </w:rPr>
        <w:t>操作员登录检测</w:t>
      </w:r>
    </w:p>
    <w:p>
      <w:pPr>
        <w:pStyle w:val="60"/>
        <w:ind w:firstLine="420"/>
        <w:rPr>
          <w:color w:val="auto"/>
        </w:rPr>
      </w:pPr>
      <w:r>
        <w:rPr>
          <w:rFonts w:hint="eastAsia"/>
          <w:color w:val="auto"/>
        </w:rPr>
        <w:t>操作员登录检测要求如下：</w:t>
      </w:r>
    </w:p>
    <w:p>
      <w:pPr>
        <w:pStyle w:val="178"/>
        <w:numPr>
          <w:ilvl w:val="0"/>
          <w:numId w:val="636"/>
        </w:numPr>
        <w:rPr>
          <w:color w:val="auto"/>
        </w:rPr>
      </w:pPr>
      <w:r>
        <w:rPr>
          <w:rFonts w:hint="eastAsia"/>
          <w:color w:val="auto"/>
        </w:rPr>
        <w:t>检测内容应依据DB11/T 1164.1中AG、BOM、TVM、ITVM、TSM、中心系统操作员登录/登出的要求逐项检测；</w:t>
      </w:r>
    </w:p>
    <w:p>
      <w:pPr>
        <w:pStyle w:val="178"/>
        <w:rPr>
          <w:color w:val="auto"/>
        </w:rPr>
      </w:pPr>
      <w:r>
        <w:rPr>
          <w:rFonts w:hint="eastAsia"/>
          <w:color w:val="auto"/>
        </w:rPr>
        <w:t>检测方法要求如下：</w:t>
      </w:r>
    </w:p>
    <w:p>
      <w:pPr>
        <w:pStyle w:val="113"/>
        <w:numPr>
          <w:ilvl w:val="1"/>
          <w:numId w:val="637"/>
        </w:numPr>
        <w:rPr>
          <w:color w:val="auto"/>
        </w:rPr>
      </w:pPr>
      <w:r>
        <w:rPr>
          <w:rFonts w:hint="eastAsia"/>
          <w:color w:val="auto"/>
        </w:rPr>
        <w:t>通过受检中心系统下发操作员权限相关参数数据至受检中心系统；</w:t>
      </w:r>
    </w:p>
    <w:p>
      <w:pPr>
        <w:pStyle w:val="113"/>
        <w:rPr>
          <w:color w:val="auto"/>
        </w:rPr>
      </w:pPr>
      <w:r>
        <w:rPr>
          <w:rFonts w:hint="eastAsia"/>
          <w:color w:val="auto"/>
        </w:rPr>
        <w:t>使受检中心系统与受检终端进行参数同步；</w:t>
      </w:r>
    </w:p>
    <w:p>
      <w:pPr>
        <w:pStyle w:val="113"/>
        <w:rPr>
          <w:color w:val="auto"/>
        </w:rPr>
      </w:pPr>
      <w:r>
        <w:rPr>
          <w:rFonts w:hint="eastAsia"/>
          <w:color w:val="auto"/>
        </w:rPr>
        <w:t>在受检终端上进行操作员登录/登出操作，受检中心系统应上传操作员登录登出请求数据至受检中心系统；</w:t>
      </w:r>
    </w:p>
    <w:p>
      <w:pPr>
        <w:pStyle w:val="113"/>
        <w:rPr>
          <w:color w:val="auto"/>
        </w:rPr>
      </w:pPr>
      <w:r>
        <w:rPr>
          <w:rFonts w:hint="eastAsia"/>
          <w:color w:val="auto"/>
        </w:rPr>
        <w:t>受检中心系统反馈允许或拒绝登录/登出信息至受检中心系统；</w:t>
      </w:r>
    </w:p>
    <w:p>
      <w:pPr>
        <w:pStyle w:val="113"/>
        <w:rPr>
          <w:color w:val="auto"/>
        </w:rPr>
      </w:pPr>
      <w:r>
        <w:rPr>
          <w:rFonts w:hint="eastAsia"/>
          <w:color w:val="auto"/>
        </w:rPr>
        <w:t>受检终端应允许进入/退出操作界面或拒绝进入操作界面；</w:t>
      </w:r>
    </w:p>
    <w:p>
      <w:pPr>
        <w:pStyle w:val="113"/>
        <w:rPr>
          <w:color w:val="auto"/>
        </w:rPr>
      </w:pPr>
      <w:r>
        <w:rPr>
          <w:rFonts w:hint="eastAsia"/>
          <w:color w:val="auto"/>
        </w:rPr>
        <w:t>在受检中心系统、受检中心系统上应观察到设备操作员登录/登出信息数据；</w:t>
      </w:r>
    </w:p>
    <w:p>
      <w:pPr>
        <w:pStyle w:val="113"/>
        <w:rPr>
          <w:color w:val="auto"/>
        </w:rPr>
      </w:pPr>
      <w:r>
        <w:rPr>
          <w:rFonts w:hint="eastAsia"/>
          <w:color w:val="auto"/>
        </w:rPr>
        <w:t>观察受检终端对登录操作员权限的处理应符合参数定义的要求；</w:t>
      </w:r>
    </w:p>
    <w:p>
      <w:pPr>
        <w:pStyle w:val="113"/>
        <w:rPr>
          <w:color w:val="auto"/>
        </w:rPr>
      </w:pPr>
      <w:r>
        <w:rPr>
          <w:rFonts w:hint="eastAsia"/>
          <w:color w:val="auto"/>
        </w:rPr>
        <w:t>在受检中心系统上进行操作员登录/登出操作，通过受检中心系统的记录检测受检中心系统上传的登录/登出数据应正确；</w:t>
      </w:r>
    </w:p>
    <w:p>
      <w:pPr>
        <w:pStyle w:val="113"/>
        <w:rPr>
          <w:color w:val="auto"/>
        </w:rPr>
      </w:pPr>
      <w:r>
        <w:rPr>
          <w:rFonts w:hint="eastAsia"/>
          <w:color w:val="auto"/>
        </w:rPr>
        <w:t>受检中心系统反馈允许或拒绝登录/登出信息至受检中心系统；</w:t>
      </w:r>
    </w:p>
    <w:p>
      <w:pPr>
        <w:pStyle w:val="113"/>
        <w:rPr>
          <w:color w:val="auto"/>
        </w:rPr>
      </w:pPr>
      <w:r>
        <w:rPr>
          <w:rFonts w:hint="eastAsia"/>
          <w:color w:val="auto"/>
        </w:rPr>
        <w:t>受检中心系统应允许进入/退出操作界面或拒绝进入操作界面；</w:t>
      </w:r>
    </w:p>
    <w:p>
      <w:pPr>
        <w:pStyle w:val="113"/>
        <w:rPr>
          <w:color w:val="auto"/>
        </w:rPr>
      </w:pPr>
      <w:r>
        <w:rPr>
          <w:rFonts w:hint="eastAsia"/>
          <w:color w:val="auto"/>
        </w:rPr>
        <w:t>在受检中心系统上应观察到中心系统操作员登录/登出信息数据；</w:t>
      </w:r>
    </w:p>
    <w:p>
      <w:pPr>
        <w:pStyle w:val="113"/>
        <w:rPr>
          <w:color w:val="auto"/>
        </w:rPr>
      </w:pPr>
      <w:r>
        <w:rPr>
          <w:rFonts w:hint="eastAsia"/>
          <w:color w:val="auto"/>
        </w:rPr>
        <w:t>观察受检中心系统对登录操作员权限的处理应符合参数定义的要求；</w:t>
      </w:r>
    </w:p>
    <w:p>
      <w:pPr>
        <w:pStyle w:val="113"/>
        <w:rPr>
          <w:color w:val="auto"/>
        </w:rPr>
      </w:pPr>
      <w:r>
        <w:rPr>
          <w:rFonts w:hint="eastAsia"/>
          <w:color w:val="auto"/>
        </w:rPr>
        <w:t>在受检中心系统上进行操作员登录/登出操作；</w:t>
      </w:r>
    </w:p>
    <w:p>
      <w:pPr>
        <w:pStyle w:val="113"/>
        <w:rPr>
          <w:color w:val="auto"/>
        </w:rPr>
      </w:pPr>
      <w:r>
        <w:rPr>
          <w:rFonts w:hint="eastAsia"/>
          <w:color w:val="auto"/>
        </w:rPr>
        <w:t>受检中心系统应允许进入/退出操作界面或拒绝进入操作界面；</w:t>
      </w:r>
    </w:p>
    <w:p>
      <w:pPr>
        <w:pStyle w:val="113"/>
        <w:rPr>
          <w:color w:val="auto"/>
        </w:rPr>
      </w:pPr>
      <w:r>
        <w:rPr>
          <w:rFonts w:hint="eastAsia"/>
          <w:color w:val="auto"/>
        </w:rPr>
        <w:t>在受检中心系统上应观察到中心系统操作员登录/登出信息数据；</w:t>
      </w:r>
    </w:p>
    <w:p>
      <w:pPr>
        <w:pStyle w:val="113"/>
        <w:rPr>
          <w:color w:val="auto"/>
        </w:rPr>
      </w:pPr>
      <w:r>
        <w:rPr>
          <w:rFonts w:hint="eastAsia"/>
          <w:color w:val="auto"/>
        </w:rPr>
        <w:t>观察受检中心系统对登录操作员权限的处理应符合参数定义的要求。</w:t>
      </w:r>
    </w:p>
    <w:p>
      <w:pPr>
        <w:pStyle w:val="98"/>
        <w:spacing w:before="156" w:after="156"/>
        <w:rPr>
          <w:color w:val="auto"/>
        </w:rPr>
      </w:pPr>
      <w:r>
        <w:rPr>
          <w:rFonts w:hint="eastAsia"/>
          <w:color w:val="auto"/>
        </w:rPr>
        <w:t>操作员解锁检测</w:t>
      </w:r>
    </w:p>
    <w:p>
      <w:pPr>
        <w:pStyle w:val="60"/>
        <w:ind w:firstLine="420"/>
        <w:rPr>
          <w:color w:val="auto"/>
        </w:rPr>
      </w:pPr>
      <w:r>
        <w:rPr>
          <w:rFonts w:hint="eastAsia"/>
          <w:color w:val="auto"/>
        </w:rPr>
        <w:t>操作员解锁检测要求如下：</w:t>
      </w:r>
    </w:p>
    <w:p>
      <w:pPr>
        <w:pStyle w:val="178"/>
        <w:numPr>
          <w:ilvl w:val="0"/>
          <w:numId w:val="638"/>
        </w:numPr>
        <w:rPr>
          <w:color w:val="auto"/>
        </w:rPr>
      </w:pPr>
      <w:r>
        <w:rPr>
          <w:rFonts w:hint="eastAsia"/>
          <w:color w:val="auto"/>
        </w:rPr>
        <w:t>检测内容应依据DB11/T 1164.1中中心系统操作员解锁的要求逐项检测；</w:t>
      </w:r>
    </w:p>
    <w:p>
      <w:pPr>
        <w:pStyle w:val="178"/>
        <w:rPr>
          <w:color w:val="auto"/>
        </w:rPr>
      </w:pPr>
      <w:r>
        <w:rPr>
          <w:rFonts w:hint="eastAsia"/>
          <w:color w:val="auto"/>
        </w:rPr>
        <w:t>检测方法要求如下：</w:t>
      </w:r>
    </w:p>
    <w:p>
      <w:pPr>
        <w:pStyle w:val="113"/>
        <w:numPr>
          <w:ilvl w:val="1"/>
          <w:numId w:val="639"/>
        </w:numPr>
        <w:rPr>
          <w:color w:val="auto"/>
        </w:rPr>
      </w:pPr>
      <w:r>
        <w:rPr>
          <w:rFonts w:hint="eastAsia"/>
          <w:color w:val="auto"/>
        </w:rPr>
        <w:t>使用受检中心系统下发操作员解锁通知至受检中心系统或在受检中心系统进行操作员解锁操作，通过受检中心系统的记录检测受检中心系统上传的操作员解锁通知应正确；</w:t>
      </w:r>
    </w:p>
    <w:p>
      <w:pPr>
        <w:pStyle w:val="113"/>
        <w:rPr>
          <w:color w:val="auto"/>
        </w:rPr>
      </w:pPr>
      <w:r>
        <w:rPr>
          <w:rFonts w:hint="eastAsia"/>
          <w:color w:val="auto"/>
        </w:rPr>
        <w:t>操作员重新登录被锁定的受检终端，应允许登录。</w:t>
      </w:r>
    </w:p>
    <w:p>
      <w:pPr>
        <w:pStyle w:val="98"/>
        <w:spacing w:before="156" w:after="156"/>
        <w:rPr>
          <w:color w:val="auto"/>
        </w:rPr>
      </w:pPr>
      <w:r>
        <w:rPr>
          <w:rFonts w:hint="eastAsia"/>
          <w:color w:val="auto"/>
        </w:rPr>
        <w:t>强制登出检测</w:t>
      </w:r>
    </w:p>
    <w:p>
      <w:pPr>
        <w:pStyle w:val="60"/>
        <w:ind w:firstLine="420"/>
        <w:rPr>
          <w:color w:val="auto"/>
        </w:rPr>
      </w:pPr>
      <w:r>
        <w:rPr>
          <w:rFonts w:hint="eastAsia"/>
          <w:color w:val="auto"/>
        </w:rPr>
        <w:t>强制登出检测要求如下：</w:t>
      </w:r>
    </w:p>
    <w:p>
      <w:pPr>
        <w:pStyle w:val="178"/>
        <w:numPr>
          <w:ilvl w:val="0"/>
          <w:numId w:val="640"/>
        </w:numPr>
        <w:rPr>
          <w:color w:val="auto"/>
        </w:rPr>
      </w:pPr>
      <w:r>
        <w:rPr>
          <w:rFonts w:hint="eastAsia"/>
          <w:color w:val="auto"/>
        </w:rPr>
        <w:t>检测内容应依据DB11/T 1164.1中中心系统强制退出登录的要求逐项检测；</w:t>
      </w:r>
    </w:p>
    <w:p>
      <w:pPr>
        <w:pStyle w:val="178"/>
        <w:rPr>
          <w:color w:val="auto"/>
        </w:rPr>
      </w:pPr>
      <w:r>
        <w:rPr>
          <w:rFonts w:hint="eastAsia"/>
          <w:color w:val="auto"/>
        </w:rPr>
        <w:t>检测方法要求如下：</w:t>
      </w:r>
    </w:p>
    <w:p>
      <w:pPr>
        <w:pStyle w:val="113"/>
        <w:numPr>
          <w:ilvl w:val="1"/>
          <w:numId w:val="641"/>
        </w:numPr>
        <w:rPr>
          <w:color w:val="auto"/>
        </w:rPr>
      </w:pPr>
      <w:r>
        <w:rPr>
          <w:rFonts w:hint="eastAsia"/>
          <w:color w:val="auto"/>
        </w:rPr>
        <w:t>登录受检终端，在受检中心系统或受检中心系统上进行强制退出登录操作，受检终端应退出操作界面；</w:t>
      </w:r>
    </w:p>
    <w:p>
      <w:pPr>
        <w:pStyle w:val="113"/>
        <w:rPr>
          <w:color w:val="auto"/>
        </w:rPr>
      </w:pPr>
      <w:r>
        <w:rPr>
          <w:rFonts w:hint="eastAsia"/>
          <w:color w:val="auto"/>
        </w:rPr>
        <w:t>在受检中心系统上应观察到受检设备的无人登录状态信息；</w:t>
      </w:r>
    </w:p>
    <w:p>
      <w:pPr>
        <w:pStyle w:val="113"/>
        <w:rPr>
          <w:color w:val="auto"/>
        </w:rPr>
      </w:pPr>
      <w:r>
        <w:rPr>
          <w:rFonts w:hint="eastAsia"/>
          <w:color w:val="auto"/>
        </w:rPr>
        <w:t>在受检中心系统上应观察到受检中心系统上传的受检设备无人登录状态信息；</w:t>
      </w:r>
    </w:p>
    <w:p>
      <w:pPr>
        <w:pStyle w:val="113"/>
        <w:rPr>
          <w:color w:val="auto"/>
        </w:rPr>
      </w:pPr>
      <w:r>
        <w:rPr>
          <w:rFonts w:hint="eastAsia"/>
          <w:color w:val="auto"/>
        </w:rPr>
        <w:t>登录受检中心系统，在受检中心系统进行强制退出登录操作，受检中心系统应退出操作界面；</w:t>
      </w:r>
    </w:p>
    <w:p>
      <w:pPr>
        <w:pStyle w:val="113"/>
        <w:rPr>
          <w:color w:val="auto"/>
        </w:rPr>
      </w:pPr>
      <w:r>
        <w:rPr>
          <w:rFonts w:hint="eastAsia"/>
          <w:color w:val="auto"/>
        </w:rPr>
        <w:t>在受检中心系统上应观察到受检中心系统的无人登录状态信息。</w:t>
      </w:r>
    </w:p>
    <w:p>
      <w:pPr>
        <w:pStyle w:val="98"/>
        <w:spacing w:before="156" w:after="156"/>
        <w:rPr>
          <w:color w:val="auto"/>
        </w:rPr>
      </w:pPr>
      <w:r>
        <w:rPr>
          <w:rFonts w:hint="eastAsia"/>
          <w:color w:val="auto"/>
        </w:rPr>
        <w:t>密码修改检测</w:t>
      </w:r>
    </w:p>
    <w:p>
      <w:pPr>
        <w:pStyle w:val="60"/>
        <w:ind w:firstLine="420"/>
        <w:rPr>
          <w:color w:val="auto"/>
        </w:rPr>
      </w:pPr>
      <w:r>
        <w:rPr>
          <w:rFonts w:hint="eastAsia"/>
          <w:color w:val="auto"/>
        </w:rPr>
        <w:t>密码修改检测要求如下：</w:t>
      </w:r>
    </w:p>
    <w:p>
      <w:pPr>
        <w:pStyle w:val="178"/>
        <w:numPr>
          <w:ilvl w:val="0"/>
          <w:numId w:val="642"/>
        </w:numPr>
        <w:rPr>
          <w:color w:val="auto"/>
        </w:rPr>
      </w:pPr>
      <w:r>
        <w:rPr>
          <w:rFonts w:hint="eastAsia"/>
          <w:color w:val="auto"/>
        </w:rPr>
        <w:t>检测内容应依据DB11/T 1164.1中中心系统密码修改的要求逐项检测；</w:t>
      </w:r>
    </w:p>
    <w:p>
      <w:pPr>
        <w:pStyle w:val="178"/>
        <w:rPr>
          <w:color w:val="auto"/>
        </w:rPr>
      </w:pPr>
      <w:r>
        <w:rPr>
          <w:rFonts w:hint="eastAsia"/>
          <w:color w:val="auto"/>
        </w:rPr>
        <w:t>检测方法要求如下：</w:t>
      </w:r>
    </w:p>
    <w:p>
      <w:pPr>
        <w:pStyle w:val="113"/>
        <w:numPr>
          <w:ilvl w:val="1"/>
          <w:numId w:val="643"/>
        </w:numPr>
        <w:rPr>
          <w:color w:val="auto"/>
        </w:rPr>
      </w:pPr>
      <w:r>
        <w:rPr>
          <w:rFonts w:hint="eastAsia"/>
          <w:color w:val="auto"/>
        </w:rPr>
        <w:t>在受检设备/受检中心系统上进行密码修改操作；</w:t>
      </w:r>
    </w:p>
    <w:p>
      <w:pPr>
        <w:pStyle w:val="113"/>
        <w:rPr>
          <w:color w:val="auto"/>
        </w:rPr>
      </w:pPr>
      <w:r>
        <w:rPr>
          <w:rFonts w:hint="eastAsia"/>
          <w:color w:val="auto"/>
        </w:rPr>
        <w:t>通过受检中心系统的记录检测受检中心系统上传的操作员密码修改请求数据应正确；</w:t>
      </w:r>
    </w:p>
    <w:p>
      <w:pPr>
        <w:pStyle w:val="113"/>
        <w:rPr>
          <w:color w:val="auto"/>
        </w:rPr>
      </w:pPr>
      <w:r>
        <w:rPr>
          <w:rFonts w:hint="eastAsia"/>
          <w:color w:val="auto"/>
        </w:rPr>
        <w:t>在受检中心系统上进行密码修改操作；</w:t>
      </w:r>
    </w:p>
    <w:p>
      <w:pPr>
        <w:pStyle w:val="113"/>
        <w:rPr>
          <w:color w:val="auto"/>
        </w:rPr>
      </w:pPr>
      <w:r>
        <w:rPr>
          <w:rFonts w:hint="eastAsia"/>
          <w:color w:val="auto"/>
        </w:rPr>
        <w:t>通过受检中心系统的记录检测受检中心系统的操作员密码修改请求数据应正确；</w:t>
      </w:r>
    </w:p>
    <w:p>
      <w:pPr>
        <w:pStyle w:val="113"/>
        <w:rPr>
          <w:color w:val="auto"/>
        </w:rPr>
      </w:pPr>
      <w:r>
        <w:rPr>
          <w:rFonts w:hint="eastAsia"/>
          <w:color w:val="auto"/>
        </w:rPr>
        <w:t>使用受检中心系统下发操作员权限相关参数数据至受检中心系统；</w:t>
      </w:r>
    </w:p>
    <w:p>
      <w:pPr>
        <w:pStyle w:val="113"/>
        <w:rPr>
          <w:color w:val="auto"/>
        </w:rPr>
      </w:pPr>
      <w:r>
        <w:rPr>
          <w:rFonts w:hint="eastAsia"/>
          <w:color w:val="auto"/>
        </w:rPr>
        <w:t>使受检中心系统与受检终端进行参数同步；</w:t>
      </w:r>
    </w:p>
    <w:p>
      <w:pPr>
        <w:pStyle w:val="113"/>
        <w:rPr>
          <w:color w:val="auto"/>
        </w:rPr>
      </w:pPr>
      <w:r>
        <w:rPr>
          <w:rFonts w:hint="eastAsia"/>
          <w:color w:val="auto"/>
        </w:rPr>
        <w:t>使用修改后的密码登录受检终端/受检中心系统/受检中心系统，应允许登录。</w:t>
      </w:r>
    </w:p>
    <w:p>
      <w:pPr>
        <w:pStyle w:val="98"/>
        <w:spacing w:before="156" w:after="156"/>
        <w:rPr>
          <w:color w:val="auto"/>
        </w:rPr>
      </w:pPr>
      <w:r>
        <w:rPr>
          <w:rFonts w:hint="eastAsia"/>
          <w:color w:val="auto"/>
        </w:rPr>
        <w:t>票箱管理检测</w:t>
      </w:r>
    </w:p>
    <w:p>
      <w:pPr>
        <w:pStyle w:val="60"/>
        <w:ind w:firstLine="420"/>
        <w:rPr>
          <w:color w:val="auto"/>
        </w:rPr>
      </w:pPr>
      <w:r>
        <w:rPr>
          <w:rFonts w:hint="eastAsia"/>
          <w:color w:val="auto"/>
        </w:rPr>
        <w:t>票箱管理检测要求如下：</w:t>
      </w:r>
    </w:p>
    <w:p>
      <w:pPr>
        <w:pStyle w:val="178"/>
        <w:numPr>
          <w:ilvl w:val="0"/>
          <w:numId w:val="644"/>
        </w:numPr>
        <w:rPr>
          <w:color w:val="auto"/>
        </w:rPr>
      </w:pPr>
      <w:r>
        <w:rPr>
          <w:rFonts w:hint="eastAsia"/>
          <w:color w:val="auto"/>
        </w:rPr>
        <w:t>检测内容应依据DB11/T 1164.1中AG、BOM、TVM票箱管理的要求逐项检测；</w:t>
      </w:r>
    </w:p>
    <w:p>
      <w:pPr>
        <w:pStyle w:val="178"/>
        <w:rPr>
          <w:color w:val="auto"/>
        </w:rPr>
      </w:pPr>
      <w:r>
        <w:rPr>
          <w:rFonts w:hint="eastAsia"/>
          <w:color w:val="auto"/>
        </w:rPr>
        <w:t>检测方法要求如下：</w:t>
      </w:r>
    </w:p>
    <w:p>
      <w:pPr>
        <w:pStyle w:val="113"/>
        <w:numPr>
          <w:ilvl w:val="1"/>
          <w:numId w:val="645"/>
        </w:numPr>
        <w:rPr>
          <w:color w:val="auto"/>
        </w:rPr>
      </w:pPr>
      <w:r>
        <w:rPr>
          <w:rFonts w:hint="eastAsia"/>
          <w:color w:val="auto"/>
        </w:rPr>
        <w:t>在受检中心系统上设置票箱库存数据上传时间间隔和车站库存上传时间间隔参数；</w:t>
      </w:r>
    </w:p>
    <w:p>
      <w:pPr>
        <w:pStyle w:val="113"/>
        <w:rPr>
          <w:color w:val="auto"/>
        </w:rPr>
      </w:pPr>
      <w:r>
        <w:rPr>
          <w:rFonts w:hint="eastAsia"/>
          <w:color w:val="auto"/>
        </w:rPr>
        <w:t>在受检设备上进行票箱安装/卸下操作，在受检中心系统上应观察到受检设备的票箱安装/卸下状态数据、票箱更换数据；</w:t>
      </w:r>
    </w:p>
    <w:p>
      <w:pPr>
        <w:pStyle w:val="113"/>
        <w:rPr>
          <w:color w:val="auto"/>
        </w:rPr>
      </w:pPr>
      <w:r>
        <w:rPr>
          <w:rFonts w:hint="eastAsia"/>
          <w:color w:val="auto"/>
        </w:rPr>
        <w:t>当到达票箱库存数据上传时间间隔时，在受检中心系统上应观察到受检设备的票箱库存数据；</w:t>
      </w:r>
    </w:p>
    <w:p>
      <w:pPr>
        <w:pStyle w:val="113"/>
        <w:rPr>
          <w:color w:val="auto"/>
        </w:rPr>
      </w:pPr>
      <w:r>
        <w:rPr>
          <w:rFonts w:hint="eastAsia"/>
          <w:color w:val="auto"/>
        </w:rPr>
        <w:t>在受检中心系统上应观察到受检中心系统上传的设备票箱安装/卸下状态数据、票箱更换数据。</w:t>
      </w:r>
    </w:p>
    <w:p>
      <w:pPr>
        <w:pStyle w:val="98"/>
        <w:spacing w:before="156" w:after="156"/>
        <w:rPr>
          <w:color w:val="auto"/>
        </w:rPr>
      </w:pPr>
      <w:r>
        <w:rPr>
          <w:rFonts w:hint="eastAsia"/>
          <w:color w:val="auto"/>
        </w:rPr>
        <w:t>钱箱管理检测</w:t>
      </w:r>
    </w:p>
    <w:p>
      <w:pPr>
        <w:pStyle w:val="60"/>
        <w:ind w:firstLine="420"/>
        <w:rPr>
          <w:color w:val="auto"/>
        </w:rPr>
      </w:pPr>
      <w:r>
        <w:rPr>
          <w:rFonts w:hint="eastAsia"/>
          <w:color w:val="auto"/>
        </w:rPr>
        <w:t>钱箱管理检测要求如下：</w:t>
      </w:r>
    </w:p>
    <w:p>
      <w:pPr>
        <w:pStyle w:val="178"/>
        <w:numPr>
          <w:ilvl w:val="0"/>
          <w:numId w:val="646"/>
        </w:numPr>
        <w:rPr>
          <w:color w:val="auto"/>
        </w:rPr>
      </w:pPr>
      <w:r>
        <w:rPr>
          <w:rFonts w:hint="eastAsia"/>
          <w:color w:val="auto"/>
        </w:rPr>
        <w:t>检测内容应依据DB11/T 1164.1中TVM钱箱管理功能的要求逐项检测；</w:t>
      </w:r>
    </w:p>
    <w:p>
      <w:pPr>
        <w:pStyle w:val="178"/>
        <w:rPr>
          <w:color w:val="auto"/>
        </w:rPr>
      </w:pPr>
      <w:r>
        <w:rPr>
          <w:rFonts w:hint="eastAsia"/>
          <w:color w:val="auto"/>
        </w:rPr>
        <w:t>检测方法要求如下：</w:t>
      </w:r>
    </w:p>
    <w:p>
      <w:pPr>
        <w:pStyle w:val="113"/>
        <w:numPr>
          <w:ilvl w:val="1"/>
          <w:numId w:val="647"/>
        </w:numPr>
        <w:rPr>
          <w:color w:val="auto"/>
        </w:rPr>
      </w:pPr>
      <w:r>
        <w:rPr>
          <w:rFonts w:hint="eastAsia"/>
          <w:color w:val="auto"/>
        </w:rPr>
        <w:t>在受检TVM上进行钱箱安装/卸下操作；</w:t>
      </w:r>
    </w:p>
    <w:p>
      <w:pPr>
        <w:pStyle w:val="113"/>
        <w:rPr>
          <w:color w:val="auto"/>
        </w:rPr>
      </w:pPr>
      <w:r>
        <w:rPr>
          <w:rFonts w:hint="eastAsia"/>
          <w:color w:val="auto"/>
        </w:rPr>
        <w:t>在受检中心系统上应观察到受检TVM钱箱安装/卸下状态数据、钱箱更换数据；</w:t>
      </w:r>
    </w:p>
    <w:p>
      <w:pPr>
        <w:pStyle w:val="113"/>
        <w:rPr>
          <w:color w:val="auto"/>
        </w:rPr>
      </w:pPr>
      <w:r>
        <w:rPr>
          <w:rFonts w:hint="eastAsia"/>
          <w:color w:val="auto"/>
        </w:rPr>
        <w:t>在受检中心系统上应观察到受检中心系统上传的TVM钱箱安装/卸下状态数据、钱箱更换数据。</w:t>
      </w:r>
    </w:p>
    <w:p>
      <w:pPr>
        <w:pStyle w:val="98"/>
        <w:spacing w:before="156" w:after="156"/>
        <w:rPr>
          <w:color w:val="auto"/>
        </w:rPr>
      </w:pPr>
      <w:r>
        <w:rPr>
          <w:rFonts w:hint="eastAsia"/>
          <w:color w:val="auto"/>
        </w:rPr>
        <w:t>一票通数据检测</w:t>
      </w:r>
    </w:p>
    <w:p>
      <w:pPr>
        <w:pStyle w:val="60"/>
        <w:ind w:firstLine="420"/>
        <w:rPr>
          <w:color w:val="auto"/>
        </w:rPr>
      </w:pPr>
      <w:r>
        <w:rPr>
          <w:rFonts w:hint="eastAsia"/>
          <w:color w:val="auto"/>
        </w:rPr>
        <w:t>一票通数据</w:t>
      </w:r>
      <w:r>
        <w:rPr>
          <w:rFonts w:hint="eastAsia"/>
          <w:color w:val="auto"/>
          <w:lang w:val="en-US" w:eastAsia="zh-CN"/>
        </w:rPr>
        <w:t>检测</w:t>
      </w:r>
      <w:r>
        <w:rPr>
          <w:rFonts w:hint="eastAsia"/>
          <w:color w:val="auto"/>
        </w:rPr>
        <w:t>要求如下：</w:t>
      </w:r>
    </w:p>
    <w:p>
      <w:pPr>
        <w:pStyle w:val="178"/>
        <w:numPr>
          <w:ilvl w:val="0"/>
          <w:numId w:val="648"/>
        </w:numPr>
        <w:rPr>
          <w:color w:val="auto"/>
        </w:rPr>
      </w:pPr>
      <w:r>
        <w:rPr>
          <w:rFonts w:hint="eastAsia"/>
          <w:color w:val="auto"/>
        </w:rPr>
        <w:t>检测内容应依据DB11/T 1164.2 定义一票通交易数据的定义逐项检测；</w:t>
      </w:r>
    </w:p>
    <w:p>
      <w:pPr>
        <w:pStyle w:val="178"/>
        <w:rPr>
          <w:color w:val="auto"/>
        </w:rPr>
      </w:pPr>
      <w:r>
        <w:rPr>
          <w:rFonts w:hint="eastAsia"/>
          <w:color w:val="auto"/>
        </w:rPr>
        <w:t>检测方法要求如下：</w:t>
      </w:r>
    </w:p>
    <w:p>
      <w:pPr>
        <w:pStyle w:val="113"/>
        <w:numPr>
          <w:ilvl w:val="1"/>
          <w:numId w:val="649"/>
        </w:numPr>
        <w:rPr>
          <w:color w:val="auto"/>
        </w:rPr>
      </w:pPr>
      <w:r>
        <w:rPr>
          <w:rFonts w:hint="eastAsia"/>
          <w:color w:val="auto"/>
        </w:rPr>
        <w:t>在受检终端上进行一票通车票业务处理，产生一票通交易数据上传至受检中心系统；</w:t>
      </w:r>
    </w:p>
    <w:p>
      <w:pPr>
        <w:pStyle w:val="113"/>
        <w:rPr>
          <w:color w:val="auto"/>
        </w:rPr>
      </w:pPr>
      <w:r>
        <w:rPr>
          <w:rFonts w:hint="eastAsia"/>
          <w:color w:val="auto"/>
        </w:rPr>
        <w:t>观察受检中心系统的一票通交易数据是否一致；</w:t>
      </w:r>
    </w:p>
    <w:p>
      <w:pPr>
        <w:pStyle w:val="113"/>
        <w:rPr>
          <w:color w:val="auto"/>
        </w:rPr>
      </w:pPr>
      <w:r>
        <w:rPr>
          <w:rFonts w:hint="eastAsia"/>
          <w:color w:val="auto"/>
        </w:rPr>
        <w:t>测试应覆盖一票通发行的所有票种。</w:t>
      </w:r>
    </w:p>
    <w:p>
      <w:pPr>
        <w:pStyle w:val="98"/>
        <w:spacing w:before="156" w:after="156"/>
        <w:rPr>
          <w:color w:val="auto"/>
        </w:rPr>
      </w:pPr>
      <w:r>
        <w:rPr>
          <w:rFonts w:hint="eastAsia"/>
          <w:color w:val="auto"/>
        </w:rPr>
        <w:t>一卡通交易数据检测</w:t>
      </w:r>
    </w:p>
    <w:p>
      <w:pPr>
        <w:pStyle w:val="60"/>
        <w:ind w:firstLine="420"/>
        <w:rPr>
          <w:color w:val="auto"/>
        </w:rPr>
      </w:pPr>
      <w:r>
        <w:rPr>
          <w:rFonts w:hint="eastAsia"/>
          <w:color w:val="auto"/>
        </w:rPr>
        <w:t>一卡通交易数据检测要求如下：</w:t>
      </w:r>
    </w:p>
    <w:p>
      <w:pPr>
        <w:pStyle w:val="178"/>
        <w:numPr>
          <w:ilvl w:val="0"/>
          <w:numId w:val="650"/>
        </w:numPr>
        <w:rPr>
          <w:color w:val="auto"/>
        </w:rPr>
      </w:pPr>
      <w:r>
        <w:rPr>
          <w:rFonts w:hint="eastAsia"/>
          <w:color w:val="auto"/>
        </w:rPr>
        <w:t>检测内容应依据DB11/T 1164.2定义的所有交易数据逐项检测；</w:t>
      </w:r>
    </w:p>
    <w:p>
      <w:pPr>
        <w:pStyle w:val="178"/>
        <w:rPr>
          <w:color w:val="auto"/>
        </w:rPr>
      </w:pPr>
      <w:r>
        <w:rPr>
          <w:rFonts w:hint="eastAsia"/>
          <w:color w:val="auto"/>
        </w:rPr>
        <w:t>检测方法要求如下：</w:t>
      </w:r>
    </w:p>
    <w:p>
      <w:pPr>
        <w:pStyle w:val="113"/>
        <w:numPr>
          <w:ilvl w:val="1"/>
          <w:numId w:val="651"/>
        </w:numPr>
        <w:rPr>
          <w:color w:val="auto"/>
        </w:rPr>
      </w:pPr>
      <w:r>
        <w:rPr>
          <w:rFonts w:hint="eastAsia"/>
          <w:color w:val="auto"/>
        </w:rPr>
        <w:t>在受检终端上进行一卡通卡业务处理，产生一卡通交易数据上传至受检中心系统；</w:t>
      </w:r>
    </w:p>
    <w:p>
      <w:pPr>
        <w:pStyle w:val="113"/>
        <w:rPr>
          <w:color w:val="auto"/>
        </w:rPr>
      </w:pPr>
      <w:r>
        <w:rPr>
          <w:rFonts w:hint="eastAsia"/>
          <w:color w:val="auto"/>
        </w:rPr>
        <w:t>观察受检中心系统的一卡通交易数据是否一致；</w:t>
      </w:r>
    </w:p>
    <w:p>
      <w:pPr>
        <w:pStyle w:val="113"/>
        <w:rPr>
          <w:color w:val="auto"/>
        </w:rPr>
      </w:pPr>
      <w:r>
        <w:rPr>
          <w:rFonts w:hint="eastAsia"/>
          <w:color w:val="auto"/>
        </w:rPr>
        <w:t>测试应覆盖一卡通发行的所有卡种。</w:t>
      </w:r>
    </w:p>
    <w:p>
      <w:pPr>
        <w:pStyle w:val="69"/>
        <w:spacing w:before="156" w:after="156"/>
        <w:rPr>
          <w:color w:val="auto"/>
        </w:rPr>
      </w:pPr>
      <w:r>
        <w:rPr>
          <w:rFonts w:hint="eastAsia"/>
          <w:color w:val="auto"/>
        </w:rPr>
        <w:t>性能检测</w:t>
      </w:r>
    </w:p>
    <w:p>
      <w:pPr>
        <w:pStyle w:val="98"/>
        <w:spacing w:before="156" w:after="156"/>
        <w:rPr>
          <w:color w:val="auto"/>
        </w:rPr>
      </w:pPr>
      <w:r>
        <w:rPr>
          <w:rFonts w:hint="eastAsia"/>
          <w:color w:val="auto"/>
        </w:rPr>
        <w:t>状态上传时间检测</w:t>
      </w:r>
    </w:p>
    <w:p>
      <w:pPr>
        <w:pStyle w:val="60"/>
        <w:ind w:firstLine="420"/>
        <w:rPr>
          <w:color w:val="auto"/>
        </w:rPr>
      </w:pPr>
      <w:r>
        <w:rPr>
          <w:rFonts w:hint="eastAsia"/>
          <w:color w:val="auto"/>
        </w:rPr>
        <w:t>状态上传时间检测要求如下：</w:t>
      </w:r>
    </w:p>
    <w:p>
      <w:pPr>
        <w:pStyle w:val="178"/>
        <w:numPr>
          <w:ilvl w:val="0"/>
          <w:numId w:val="652"/>
        </w:numPr>
        <w:rPr>
          <w:color w:val="auto"/>
        </w:rPr>
      </w:pPr>
      <w:r>
        <w:rPr>
          <w:rFonts w:hint="eastAsia"/>
          <w:color w:val="auto"/>
        </w:rPr>
        <w:t>检测内容应依据DB11/T 1164.1中 AG、BOM、TVM、ITVM、TSM、中心系统状态监视的要求逐项检测；</w:t>
      </w:r>
    </w:p>
    <w:p>
      <w:pPr>
        <w:pStyle w:val="178"/>
        <w:rPr>
          <w:color w:val="auto"/>
        </w:rPr>
      </w:pPr>
      <w:r>
        <w:rPr>
          <w:rFonts w:hint="eastAsia"/>
          <w:color w:val="auto"/>
        </w:rPr>
        <w:t>检测方法要求如下：</w:t>
      </w:r>
    </w:p>
    <w:p>
      <w:pPr>
        <w:pStyle w:val="113"/>
        <w:numPr>
          <w:ilvl w:val="1"/>
          <w:numId w:val="653"/>
        </w:numPr>
        <w:rPr>
          <w:color w:val="auto"/>
        </w:rPr>
      </w:pPr>
      <w:r>
        <w:rPr>
          <w:rFonts w:hint="eastAsia"/>
          <w:color w:val="auto"/>
        </w:rPr>
        <w:t>在受检中心系统上设置AG、BOM、TVM的工作模式，使设备的状态发生变化；</w:t>
      </w:r>
    </w:p>
    <w:p>
      <w:pPr>
        <w:pStyle w:val="113"/>
        <w:rPr>
          <w:color w:val="auto"/>
        </w:rPr>
      </w:pPr>
      <w:r>
        <w:rPr>
          <w:rFonts w:hint="eastAsia"/>
          <w:color w:val="auto"/>
        </w:rPr>
        <w:t>在受检中心系统上观察受检AG、BOM、TVM的状态变化，并记录状态变化时间；</w:t>
      </w:r>
    </w:p>
    <w:p>
      <w:pPr>
        <w:pStyle w:val="113"/>
        <w:rPr>
          <w:color w:val="auto"/>
        </w:rPr>
      </w:pPr>
      <w:r>
        <w:rPr>
          <w:rFonts w:hint="eastAsia"/>
          <w:color w:val="auto"/>
        </w:rPr>
        <w:t>计算并获取受检AG、BOM、TVM的状态变化到达受检中心系统后更新的时间间隔；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参数下达时间检测</w:t>
      </w:r>
    </w:p>
    <w:p>
      <w:pPr>
        <w:pStyle w:val="60"/>
        <w:ind w:firstLine="420"/>
        <w:rPr>
          <w:color w:val="auto"/>
        </w:rPr>
      </w:pPr>
      <w:r>
        <w:rPr>
          <w:rFonts w:hint="eastAsia"/>
          <w:color w:val="auto"/>
        </w:rPr>
        <w:t>参数下达时间检测要求如下：</w:t>
      </w:r>
    </w:p>
    <w:p>
      <w:pPr>
        <w:pStyle w:val="178"/>
        <w:numPr>
          <w:ilvl w:val="0"/>
          <w:numId w:val="654"/>
        </w:numPr>
        <w:rPr>
          <w:color w:val="auto"/>
        </w:rPr>
      </w:pPr>
      <w:r>
        <w:rPr>
          <w:rFonts w:hint="eastAsia"/>
          <w:color w:val="auto"/>
        </w:rPr>
        <w:t>检测内容应依据DB11/T 1164.1中 AG、BOM、TVM、ITVM、TSM、中心系统状态监视的要求逐项检测；</w:t>
      </w:r>
    </w:p>
    <w:p>
      <w:pPr>
        <w:pStyle w:val="178"/>
        <w:rPr>
          <w:color w:val="auto"/>
        </w:rPr>
      </w:pPr>
      <w:r>
        <w:rPr>
          <w:rFonts w:hint="eastAsia"/>
          <w:color w:val="auto"/>
        </w:rPr>
        <w:t>检测方法要求如下：</w:t>
      </w:r>
    </w:p>
    <w:p>
      <w:pPr>
        <w:pStyle w:val="113"/>
        <w:numPr>
          <w:ilvl w:val="1"/>
          <w:numId w:val="655"/>
        </w:numPr>
        <w:rPr>
          <w:color w:val="auto"/>
        </w:rPr>
      </w:pPr>
      <w:r>
        <w:rPr>
          <w:rFonts w:hint="eastAsia"/>
          <w:color w:val="auto"/>
        </w:rPr>
        <w:t>使用受检中心系统设置AG、BOM、TVM的参数数据，触发参数同步处理，并记录参数同步开始的时间；</w:t>
      </w:r>
    </w:p>
    <w:p>
      <w:pPr>
        <w:pStyle w:val="113"/>
        <w:rPr>
          <w:color w:val="auto"/>
        </w:rPr>
      </w:pPr>
      <w:r>
        <w:rPr>
          <w:rFonts w:hint="eastAsia"/>
          <w:color w:val="auto"/>
        </w:rPr>
        <w:t>观察受检中心系统上参数同步的处理，并记录参数同步完成的时间；</w:t>
      </w:r>
    </w:p>
    <w:p>
      <w:pPr>
        <w:pStyle w:val="113"/>
        <w:rPr>
          <w:color w:val="auto"/>
        </w:rPr>
      </w:pPr>
      <w:r>
        <w:rPr>
          <w:rFonts w:hint="eastAsia"/>
          <w:color w:val="auto"/>
        </w:rPr>
        <w:t>观察受检AG、BOM、TVM上参数同步的处理，并记录参数同步完成的时间；</w:t>
      </w:r>
    </w:p>
    <w:p>
      <w:pPr>
        <w:pStyle w:val="113"/>
        <w:rPr>
          <w:color w:val="auto"/>
        </w:rPr>
      </w:pPr>
      <w:r>
        <w:rPr>
          <w:rFonts w:hint="eastAsia"/>
          <w:color w:val="auto"/>
        </w:rPr>
        <w:t>计算并获取受检中心系统参数同步开始，到受检AG、BOM、TVM参数同步完成的时间间隔；</w:t>
      </w:r>
    </w:p>
    <w:p>
      <w:pPr>
        <w:pStyle w:val="113"/>
        <w:rPr>
          <w:color w:val="auto"/>
        </w:rPr>
      </w:pPr>
      <w:r>
        <w:rPr>
          <w:rFonts w:hint="eastAsia"/>
          <w:color w:val="auto"/>
        </w:rPr>
        <w:t>计算并获取受检中心系统参数同步开始，至受检中心系统参数同步完成的时间间隔；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命令下达时间检测</w:t>
      </w:r>
    </w:p>
    <w:p>
      <w:pPr>
        <w:pStyle w:val="60"/>
        <w:ind w:firstLine="420"/>
        <w:rPr>
          <w:color w:val="auto"/>
        </w:rPr>
      </w:pPr>
      <w:r>
        <w:rPr>
          <w:rFonts w:hint="eastAsia"/>
          <w:color w:val="auto"/>
        </w:rPr>
        <w:t>命令下达时间检测要求如下：</w:t>
      </w:r>
    </w:p>
    <w:p>
      <w:pPr>
        <w:pStyle w:val="178"/>
        <w:numPr>
          <w:ilvl w:val="0"/>
          <w:numId w:val="656"/>
        </w:numPr>
        <w:rPr>
          <w:color w:val="auto"/>
        </w:rPr>
      </w:pPr>
      <w:r>
        <w:rPr>
          <w:rFonts w:hint="eastAsia"/>
          <w:color w:val="auto"/>
        </w:rPr>
        <w:t>检测内容应依据DB11/T 1164.1中 AG、BOM、TVM、ITVM、TSM、中心系统功能中的模式设置、24小时运营、延长运营时间的要求逐项检测；</w:t>
      </w:r>
    </w:p>
    <w:p>
      <w:pPr>
        <w:pStyle w:val="178"/>
        <w:rPr>
          <w:color w:val="auto"/>
        </w:rPr>
      </w:pPr>
      <w:r>
        <w:rPr>
          <w:rFonts w:hint="eastAsia"/>
          <w:color w:val="auto"/>
        </w:rPr>
        <w:t>检测方法要求如下：</w:t>
      </w:r>
    </w:p>
    <w:p>
      <w:pPr>
        <w:pStyle w:val="113"/>
        <w:numPr>
          <w:ilvl w:val="1"/>
          <w:numId w:val="657"/>
        </w:numPr>
        <w:rPr>
          <w:color w:val="auto"/>
        </w:rPr>
      </w:pPr>
      <w:r>
        <w:rPr>
          <w:rFonts w:hint="eastAsia"/>
          <w:color w:val="auto"/>
        </w:rPr>
        <w:t>在受检中心系统上设置模式设置/24小时运营/延长运营时间命令，并记录命令下发时间；</w:t>
      </w:r>
    </w:p>
    <w:p>
      <w:pPr>
        <w:pStyle w:val="113"/>
        <w:rPr>
          <w:color w:val="auto"/>
        </w:rPr>
      </w:pPr>
      <w:r>
        <w:rPr>
          <w:rFonts w:hint="eastAsia"/>
          <w:color w:val="auto"/>
        </w:rPr>
        <w:t>观察受检中心系统上命令的处理，并记录命令接收时间和向终端的下发时间；</w:t>
      </w:r>
    </w:p>
    <w:p>
      <w:pPr>
        <w:pStyle w:val="113"/>
        <w:rPr>
          <w:color w:val="auto"/>
        </w:rPr>
      </w:pPr>
      <w:r>
        <w:rPr>
          <w:rFonts w:hint="eastAsia"/>
          <w:color w:val="auto"/>
        </w:rPr>
        <w:t>观察受检 AG、BOM、TVM的处理，并记录接收命令的时间；</w:t>
      </w:r>
    </w:p>
    <w:p>
      <w:pPr>
        <w:pStyle w:val="113"/>
        <w:rPr>
          <w:color w:val="auto"/>
        </w:rPr>
      </w:pPr>
      <w:r>
        <w:rPr>
          <w:rFonts w:hint="eastAsia"/>
          <w:color w:val="auto"/>
        </w:rPr>
        <w:t>计算并获取受检中心系统下发命令，到受检AG、BOM、TVM的接收命令的时间间隔；</w:t>
      </w:r>
    </w:p>
    <w:p>
      <w:pPr>
        <w:pStyle w:val="113"/>
        <w:rPr>
          <w:color w:val="auto"/>
        </w:rPr>
      </w:pPr>
      <w:r>
        <w:rPr>
          <w:rFonts w:hint="eastAsia"/>
          <w:color w:val="auto"/>
        </w:rPr>
        <w:t>计算并获取受检中心系统下发命令，到受检中心系统接收命令的时间间隔；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数据上传时间检测</w:t>
      </w:r>
    </w:p>
    <w:p>
      <w:pPr>
        <w:pStyle w:val="60"/>
        <w:ind w:firstLine="420"/>
        <w:rPr>
          <w:color w:val="auto"/>
        </w:rPr>
      </w:pPr>
      <w:r>
        <w:rPr>
          <w:rFonts w:hint="eastAsia"/>
          <w:color w:val="auto"/>
        </w:rPr>
        <w:t>数据上传时间检测要求如下：</w:t>
      </w:r>
    </w:p>
    <w:p>
      <w:pPr>
        <w:pStyle w:val="178"/>
        <w:numPr>
          <w:ilvl w:val="0"/>
          <w:numId w:val="658"/>
        </w:numPr>
        <w:rPr>
          <w:color w:val="auto"/>
        </w:rPr>
      </w:pPr>
      <w:r>
        <w:rPr>
          <w:rFonts w:hint="eastAsia"/>
          <w:color w:val="auto"/>
        </w:rPr>
        <w:t>检测内容应依据DB11/T 1164.1中 AG、BOM、TVM、ITVM、TSM、中心系统功能中的参数管理、审计管理的要求逐项检测；</w:t>
      </w:r>
    </w:p>
    <w:p>
      <w:pPr>
        <w:pStyle w:val="178"/>
        <w:rPr>
          <w:color w:val="auto"/>
        </w:rPr>
      </w:pPr>
      <w:r>
        <w:rPr>
          <w:rFonts w:hint="eastAsia"/>
          <w:color w:val="auto"/>
        </w:rPr>
        <w:t>检测方法要求如下：</w:t>
      </w:r>
    </w:p>
    <w:p>
      <w:pPr>
        <w:pStyle w:val="113"/>
        <w:numPr>
          <w:ilvl w:val="1"/>
          <w:numId w:val="659"/>
        </w:numPr>
        <w:rPr>
          <w:color w:val="auto"/>
        </w:rPr>
      </w:pPr>
      <w:r>
        <w:rPr>
          <w:rFonts w:hint="eastAsia"/>
          <w:color w:val="auto"/>
        </w:rPr>
        <w:t>在受检中心系统上设置数据上传时间参数，下发到受检中心系统、AG、BOM、TVM上并生效；</w:t>
      </w:r>
    </w:p>
    <w:p>
      <w:pPr>
        <w:pStyle w:val="113"/>
        <w:rPr>
          <w:color w:val="auto"/>
        </w:rPr>
      </w:pPr>
      <w:r>
        <w:rPr>
          <w:rFonts w:hint="eastAsia"/>
          <w:color w:val="auto"/>
        </w:rPr>
        <w:t>在受检AG、BOM、TVM做指定交易的处理，使终端产生交易数据、业务数据和事件数据；</w:t>
      </w:r>
    </w:p>
    <w:p>
      <w:pPr>
        <w:pStyle w:val="113"/>
        <w:rPr>
          <w:color w:val="auto"/>
        </w:rPr>
      </w:pPr>
      <w:r>
        <w:rPr>
          <w:rFonts w:hint="eastAsia"/>
          <w:color w:val="auto"/>
        </w:rPr>
        <w:t>观察受检中心系统的数据处理，并记录接收终端数据的上传时间和处理完成时间；</w:t>
      </w:r>
    </w:p>
    <w:p>
      <w:pPr>
        <w:pStyle w:val="113"/>
        <w:rPr>
          <w:color w:val="auto"/>
        </w:rPr>
      </w:pPr>
      <w:r>
        <w:rPr>
          <w:rFonts w:hint="eastAsia"/>
          <w:color w:val="auto"/>
        </w:rPr>
        <w:t>观察受检中心系统的数据处理，并记录接收受检中心系统数据的上传时间和处理完成时间；</w:t>
      </w:r>
    </w:p>
    <w:p>
      <w:pPr>
        <w:pStyle w:val="113"/>
        <w:rPr>
          <w:color w:val="auto"/>
        </w:rPr>
      </w:pPr>
      <w:r>
        <w:rPr>
          <w:rFonts w:hint="eastAsia"/>
          <w:color w:val="auto"/>
        </w:rPr>
        <w:t xml:space="preserve">计算受检AG、BOM、TVM到达上传数据时刻与受检中心系统接收数据的时间间隔； </w:t>
      </w:r>
    </w:p>
    <w:p>
      <w:pPr>
        <w:pStyle w:val="113"/>
        <w:rPr>
          <w:color w:val="auto"/>
        </w:rPr>
      </w:pPr>
      <w:r>
        <w:rPr>
          <w:rFonts w:hint="eastAsia"/>
          <w:color w:val="auto"/>
        </w:rPr>
        <w:t>计算受检中心系统到达上传数据时刻与受检中心系统接收数据的时间间隔；</w:t>
      </w:r>
    </w:p>
    <w:p>
      <w:pPr>
        <w:pStyle w:val="113"/>
        <w:rPr>
          <w:color w:val="auto"/>
        </w:rPr>
      </w:pPr>
      <w:r>
        <w:rPr>
          <w:rFonts w:hint="eastAsia"/>
          <w:color w:val="auto"/>
        </w:rPr>
        <w:t>检测所需的次数应不低于3次，并计算选取测试平均值。</w:t>
      </w:r>
    </w:p>
    <w:p>
      <w:pPr>
        <w:pStyle w:val="98"/>
        <w:spacing w:before="156" w:after="156"/>
        <w:rPr>
          <w:color w:val="auto"/>
        </w:rPr>
      </w:pPr>
      <w:r>
        <w:rPr>
          <w:rFonts w:hint="eastAsia"/>
          <w:color w:val="auto"/>
        </w:rPr>
        <w:t>清分清算性能检测</w:t>
      </w:r>
    </w:p>
    <w:p>
      <w:pPr>
        <w:pStyle w:val="60"/>
        <w:ind w:firstLine="420"/>
        <w:rPr>
          <w:color w:val="auto"/>
        </w:rPr>
      </w:pPr>
      <w:r>
        <w:rPr>
          <w:rFonts w:hint="eastAsia"/>
          <w:color w:val="auto"/>
        </w:rPr>
        <w:t>清分清算检测无性能要求。</w:t>
      </w:r>
    </w:p>
    <w:p>
      <w:pPr>
        <w:pStyle w:val="108"/>
        <w:spacing w:before="312" w:after="312"/>
        <w:rPr>
          <w:color w:val="auto"/>
        </w:rPr>
      </w:pPr>
      <w:bookmarkStart w:id="524" w:name="_Toc18612"/>
      <w:r>
        <w:rPr>
          <w:rFonts w:hint="eastAsia"/>
          <w:color w:val="auto"/>
        </w:rPr>
        <w:t>互联互通检测</w:t>
      </w:r>
      <w:bookmarkEnd w:id="524"/>
    </w:p>
    <w:p>
      <w:pPr>
        <w:pStyle w:val="109"/>
        <w:spacing w:before="156" w:after="156"/>
        <w:rPr>
          <w:color w:val="auto"/>
        </w:rPr>
      </w:pPr>
      <w:bookmarkStart w:id="525" w:name="_Toc5741"/>
      <w:r>
        <w:rPr>
          <w:rFonts w:hint="eastAsia"/>
          <w:color w:val="auto"/>
        </w:rPr>
        <w:t>检测环境条件</w:t>
      </w:r>
      <w:bookmarkEnd w:id="525"/>
    </w:p>
    <w:p>
      <w:pPr>
        <w:pStyle w:val="60"/>
        <w:ind w:firstLine="420"/>
        <w:rPr>
          <w:color w:val="auto"/>
        </w:rPr>
      </w:pPr>
      <w:r>
        <w:rPr>
          <w:rFonts w:hint="eastAsia"/>
          <w:color w:val="auto"/>
        </w:rPr>
        <w:t>检测环境应具备应用软件系统的目标环境，或高度一致（除位置、结构、接口等部分外其他环境与目标环境一致）的仿真环境。</w:t>
      </w:r>
    </w:p>
    <w:p>
      <w:pPr>
        <w:pStyle w:val="109"/>
        <w:spacing w:before="156" w:after="156"/>
        <w:rPr>
          <w:color w:val="auto"/>
        </w:rPr>
      </w:pPr>
      <w:bookmarkStart w:id="526" w:name="_Toc30130"/>
      <w:r>
        <w:rPr>
          <w:rFonts w:hint="eastAsia"/>
          <w:color w:val="auto"/>
        </w:rPr>
        <w:t>通信功能检测</w:t>
      </w:r>
      <w:bookmarkEnd w:id="526"/>
    </w:p>
    <w:p>
      <w:pPr>
        <w:pStyle w:val="60"/>
        <w:ind w:firstLine="420"/>
        <w:rPr>
          <w:color w:val="auto"/>
        </w:rPr>
      </w:pPr>
      <w:r>
        <w:rPr>
          <w:rFonts w:hint="eastAsia"/>
          <w:color w:val="auto"/>
        </w:rPr>
        <w:t>通信功能检测要求如下：</w:t>
      </w:r>
    </w:p>
    <w:p>
      <w:pPr>
        <w:pStyle w:val="178"/>
        <w:numPr>
          <w:ilvl w:val="0"/>
          <w:numId w:val="543"/>
        </w:numPr>
        <w:rPr>
          <w:color w:val="auto"/>
        </w:rPr>
      </w:pPr>
      <w:r>
        <w:rPr>
          <w:rFonts w:hint="eastAsia"/>
          <w:color w:val="auto"/>
        </w:rPr>
        <w:t>检测内容为受测SLE与受测中心系统间；</w:t>
      </w:r>
    </w:p>
    <w:p>
      <w:pPr>
        <w:pStyle w:val="178"/>
        <w:rPr>
          <w:color w:val="auto"/>
        </w:rPr>
      </w:pPr>
      <w:r>
        <w:rPr>
          <w:rFonts w:hint="eastAsia"/>
          <w:color w:val="auto"/>
        </w:rPr>
        <w:t>检测方法应依据DB11/T 1164.3查看受测SLE与受测中心系统间发送、接收的数据。</w:t>
      </w:r>
    </w:p>
    <w:p>
      <w:pPr>
        <w:pStyle w:val="109"/>
        <w:spacing w:before="156" w:after="156"/>
        <w:rPr>
          <w:color w:val="auto"/>
        </w:rPr>
      </w:pPr>
      <w:bookmarkStart w:id="527" w:name="_Toc31368"/>
      <w:r>
        <w:rPr>
          <w:rFonts w:hint="eastAsia"/>
          <w:color w:val="auto"/>
        </w:rPr>
        <w:t>票卡数据检测</w:t>
      </w:r>
      <w:bookmarkEnd w:id="527"/>
    </w:p>
    <w:p>
      <w:pPr>
        <w:pStyle w:val="69"/>
        <w:spacing w:before="156" w:after="156"/>
        <w:rPr>
          <w:color w:val="auto"/>
        </w:rPr>
      </w:pPr>
      <w:r>
        <w:rPr>
          <w:rFonts w:hint="eastAsia"/>
          <w:color w:val="auto"/>
        </w:rPr>
        <w:t>售票检测</w:t>
      </w:r>
    </w:p>
    <w:p>
      <w:pPr>
        <w:pStyle w:val="60"/>
        <w:spacing w:before="156" w:after="156"/>
        <w:ind w:firstLine="420"/>
        <w:rPr>
          <w:color w:val="auto"/>
        </w:rPr>
      </w:pPr>
      <w:r>
        <w:rPr>
          <w:rFonts w:hint="eastAsia"/>
          <w:color w:val="auto"/>
          <w:lang w:val="en-US" w:eastAsia="zh-CN"/>
        </w:rPr>
        <w:t>售票</w:t>
      </w:r>
      <w:r>
        <w:rPr>
          <w:rFonts w:hint="eastAsia"/>
          <w:color w:val="auto"/>
        </w:rPr>
        <w:t>检测要求如下：</w:t>
      </w:r>
    </w:p>
    <w:p>
      <w:pPr>
        <w:pStyle w:val="178"/>
        <w:numPr>
          <w:ilvl w:val="0"/>
          <w:numId w:val="660"/>
        </w:numPr>
        <w:rPr>
          <w:color w:val="auto"/>
        </w:rPr>
      </w:pPr>
      <w:r>
        <w:rPr>
          <w:rFonts w:hint="eastAsia"/>
          <w:color w:val="auto"/>
        </w:rPr>
        <w:t>检测内容应依据DB11/T 1164.2中的售票功能、票卡数据、票卡处理流程和交易数据的要求逐项检测；</w:t>
      </w:r>
    </w:p>
    <w:p>
      <w:pPr>
        <w:pStyle w:val="178"/>
        <w:rPr>
          <w:color w:val="auto"/>
        </w:rPr>
      </w:pPr>
      <w:r>
        <w:rPr>
          <w:rFonts w:hint="eastAsia"/>
          <w:color w:val="auto"/>
        </w:rPr>
        <w:t>检测方法要求如下：</w:t>
      </w:r>
    </w:p>
    <w:p>
      <w:pPr>
        <w:pStyle w:val="113"/>
        <w:numPr>
          <w:ilvl w:val="1"/>
          <w:numId w:val="661"/>
        </w:numPr>
        <w:rPr>
          <w:color w:val="auto"/>
        </w:rPr>
      </w:pPr>
      <w:r>
        <w:rPr>
          <w:rFonts w:hint="eastAsia"/>
          <w:color w:val="auto"/>
        </w:rPr>
        <w:t>在受检BOM上发售一卡通卡和一票通车票的售票操作；</w:t>
      </w:r>
    </w:p>
    <w:p>
      <w:pPr>
        <w:pStyle w:val="113"/>
        <w:rPr>
          <w:color w:val="auto"/>
        </w:rPr>
      </w:pPr>
      <w:r>
        <w:rPr>
          <w:rFonts w:hint="eastAsia"/>
          <w:color w:val="auto"/>
        </w:rPr>
        <w:t>在受检TVM上发售一票通单程票的售票操作；</w:t>
      </w:r>
    </w:p>
    <w:p>
      <w:pPr>
        <w:pStyle w:val="113"/>
        <w:rPr>
          <w:color w:val="auto"/>
        </w:rPr>
      </w:pPr>
      <w:r>
        <w:rPr>
          <w:rFonts w:hint="eastAsia"/>
          <w:color w:val="auto"/>
        </w:rPr>
        <w:t>观察受检BOM和受检TVM的售票功能、票卡数据、票卡处理流程和交易数据应正确；</w:t>
      </w:r>
    </w:p>
    <w:p>
      <w:pPr>
        <w:pStyle w:val="113"/>
        <w:rPr>
          <w:color w:val="auto"/>
        </w:rPr>
      </w:pPr>
      <w:r>
        <w:rPr>
          <w:rFonts w:hint="eastAsia"/>
          <w:color w:val="auto"/>
        </w:rPr>
        <w:t>检测应覆盖一卡通所有已发行的票卡类型和一票通所有已发行的票卡类型。</w:t>
      </w:r>
    </w:p>
    <w:p>
      <w:pPr>
        <w:pStyle w:val="69"/>
        <w:spacing w:before="156" w:after="156"/>
        <w:rPr>
          <w:color w:val="auto"/>
        </w:rPr>
      </w:pPr>
      <w:r>
        <w:rPr>
          <w:rFonts w:hint="eastAsia"/>
          <w:color w:val="auto"/>
        </w:rPr>
        <w:t>进站检测</w:t>
      </w:r>
    </w:p>
    <w:p>
      <w:pPr>
        <w:pStyle w:val="60"/>
        <w:ind w:firstLine="420"/>
        <w:rPr>
          <w:color w:val="auto"/>
        </w:rPr>
      </w:pPr>
      <w:r>
        <w:rPr>
          <w:rFonts w:hint="eastAsia"/>
          <w:color w:val="auto"/>
        </w:rPr>
        <w:t>进站检测要求如下：</w:t>
      </w:r>
    </w:p>
    <w:p>
      <w:pPr>
        <w:pStyle w:val="178"/>
        <w:numPr>
          <w:ilvl w:val="0"/>
          <w:numId w:val="662"/>
        </w:numPr>
        <w:rPr>
          <w:color w:val="auto"/>
        </w:rPr>
      </w:pPr>
      <w:r>
        <w:rPr>
          <w:rFonts w:hint="eastAsia"/>
          <w:color w:val="auto"/>
        </w:rPr>
        <w:t>检测内容应依据DB11/T 1164.2中的进站功能、票卡数据、票卡处理流程和交易数据的要求逐项检测；</w:t>
      </w:r>
    </w:p>
    <w:p>
      <w:pPr>
        <w:pStyle w:val="178"/>
        <w:rPr>
          <w:color w:val="auto"/>
        </w:rPr>
      </w:pPr>
      <w:r>
        <w:rPr>
          <w:rFonts w:hint="eastAsia"/>
          <w:color w:val="auto"/>
        </w:rPr>
        <w:t>检测方法要求如下：</w:t>
      </w:r>
    </w:p>
    <w:p>
      <w:pPr>
        <w:pStyle w:val="113"/>
        <w:numPr>
          <w:ilvl w:val="1"/>
          <w:numId w:val="663"/>
        </w:numPr>
        <w:rPr>
          <w:color w:val="auto"/>
        </w:rPr>
      </w:pPr>
      <w:r>
        <w:rPr>
          <w:rFonts w:hint="eastAsia"/>
          <w:color w:val="auto"/>
        </w:rPr>
        <w:t>在受检AG上使用一卡通卡和一票通车票进行进站操作；</w:t>
      </w:r>
    </w:p>
    <w:p>
      <w:pPr>
        <w:pStyle w:val="113"/>
        <w:rPr>
          <w:color w:val="auto"/>
        </w:rPr>
      </w:pPr>
      <w:r>
        <w:rPr>
          <w:rFonts w:hint="eastAsia"/>
          <w:color w:val="auto"/>
        </w:rPr>
        <w:t>观察受检AG的进站功能、票卡数据、票卡处理流程和交易数据应正确；</w:t>
      </w:r>
    </w:p>
    <w:p>
      <w:pPr>
        <w:pStyle w:val="113"/>
        <w:rPr>
          <w:color w:val="auto"/>
        </w:rPr>
      </w:pPr>
      <w:r>
        <w:rPr>
          <w:rFonts w:hint="eastAsia"/>
          <w:color w:val="auto"/>
        </w:rPr>
        <w:t>检测应覆盖一卡通所有已发行的票卡类型和一票通所有已发行的票卡类型；</w:t>
      </w:r>
    </w:p>
    <w:p>
      <w:pPr>
        <w:pStyle w:val="113"/>
        <w:rPr>
          <w:color w:val="auto"/>
        </w:rPr>
      </w:pPr>
      <w:r>
        <w:rPr>
          <w:rFonts w:hint="eastAsia"/>
          <w:color w:val="auto"/>
        </w:rPr>
        <w:t>检测应覆盖DB11/T 1164.2中定义的所有运营模式类型。</w:t>
      </w:r>
    </w:p>
    <w:p>
      <w:pPr>
        <w:pStyle w:val="69"/>
        <w:spacing w:before="156" w:after="156"/>
        <w:rPr>
          <w:color w:val="auto"/>
        </w:rPr>
      </w:pPr>
      <w:r>
        <w:rPr>
          <w:rFonts w:hint="eastAsia"/>
          <w:color w:val="auto"/>
        </w:rPr>
        <w:t>出站检测</w:t>
      </w:r>
    </w:p>
    <w:p>
      <w:pPr>
        <w:pStyle w:val="60"/>
        <w:ind w:firstLine="420"/>
        <w:rPr>
          <w:color w:val="auto"/>
        </w:rPr>
      </w:pPr>
      <w:r>
        <w:rPr>
          <w:rFonts w:hint="eastAsia"/>
          <w:color w:val="auto"/>
        </w:rPr>
        <w:t>出站检测要求如下：</w:t>
      </w:r>
    </w:p>
    <w:p>
      <w:pPr>
        <w:pStyle w:val="178"/>
        <w:numPr>
          <w:ilvl w:val="0"/>
          <w:numId w:val="664"/>
        </w:numPr>
        <w:rPr>
          <w:color w:val="auto"/>
        </w:rPr>
      </w:pPr>
      <w:r>
        <w:rPr>
          <w:rFonts w:hint="eastAsia"/>
          <w:color w:val="auto"/>
        </w:rPr>
        <w:t>检测内容应依据DB11/T 1164.2中的出站功能、票卡数据、票卡处理流程和交易数据的要求逐项检测；</w:t>
      </w:r>
    </w:p>
    <w:p>
      <w:pPr>
        <w:pStyle w:val="178"/>
        <w:rPr>
          <w:color w:val="auto"/>
        </w:rPr>
      </w:pPr>
      <w:r>
        <w:rPr>
          <w:rFonts w:hint="eastAsia"/>
          <w:color w:val="auto"/>
        </w:rPr>
        <w:t>检测方法要求如下：</w:t>
      </w:r>
    </w:p>
    <w:p>
      <w:pPr>
        <w:pStyle w:val="113"/>
        <w:numPr>
          <w:ilvl w:val="1"/>
          <w:numId w:val="665"/>
        </w:numPr>
        <w:rPr>
          <w:color w:val="auto"/>
        </w:rPr>
      </w:pPr>
      <w:r>
        <w:rPr>
          <w:rFonts w:hint="eastAsia"/>
          <w:color w:val="auto"/>
        </w:rPr>
        <w:t>在受检AG上使用一卡通卡和一票通车票进行出站操作；</w:t>
      </w:r>
    </w:p>
    <w:p>
      <w:pPr>
        <w:pStyle w:val="113"/>
        <w:rPr>
          <w:color w:val="auto"/>
        </w:rPr>
      </w:pPr>
      <w:r>
        <w:rPr>
          <w:rFonts w:hint="eastAsia"/>
          <w:color w:val="auto"/>
        </w:rPr>
        <w:t>观察受检AG的出站功能、票卡数据、票卡处理流程和交易数据应正确；</w:t>
      </w:r>
    </w:p>
    <w:p>
      <w:pPr>
        <w:pStyle w:val="113"/>
        <w:rPr>
          <w:color w:val="auto"/>
        </w:rPr>
      </w:pPr>
      <w:r>
        <w:rPr>
          <w:rFonts w:hint="eastAsia"/>
          <w:color w:val="auto"/>
        </w:rPr>
        <w:t>检测应覆盖一卡通所有已发行的票卡类型和一票通所有已发行的票卡类型；</w:t>
      </w:r>
    </w:p>
    <w:p>
      <w:pPr>
        <w:pStyle w:val="113"/>
        <w:rPr>
          <w:color w:val="auto"/>
        </w:rPr>
      </w:pPr>
      <w:r>
        <w:rPr>
          <w:rFonts w:hint="eastAsia"/>
          <w:color w:val="auto"/>
        </w:rPr>
        <w:t>检测应覆盖DB11/T 1164.2中定义的所有运营模式类型。</w:t>
      </w:r>
    </w:p>
    <w:p>
      <w:pPr>
        <w:pStyle w:val="69"/>
        <w:spacing w:before="156" w:after="156"/>
        <w:rPr>
          <w:color w:val="auto"/>
        </w:rPr>
      </w:pPr>
      <w:r>
        <w:rPr>
          <w:rFonts w:hint="eastAsia"/>
          <w:color w:val="auto"/>
        </w:rPr>
        <w:t>退卡检测</w:t>
      </w:r>
    </w:p>
    <w:p>
      <w:pPr>
        <w:pStyle w:val="60"/>
        <w:ind w:firstLine="420"/>
        <w:rPr>
          <w:color w:val="auto"/>
        </w:rPr>
      </w:pPr>
      <w:r>
        <w:rPr>
          <w:rFonts w:hint="eastAsia"/>
          <w:color w:val="auto"/>
        </w:rPr>
        <w:t>退卡检测要求如下：</w:t>
      </w:r>
    </w:p>
    <w:p>
      <w:pPr>
        <w:pStyle w:val="178"/>
        <w:numPr>
          <w:ilvl w:val="0"/>
          <w:numId w:val="666"/>
        </w:numPr>
        <w:rPr>
          <w:color w:val="auto"/>
        </w:rPr>
      </w:pPr>
      <w:r>
        <w:rPr>
          <w:rFonts w:hint="eastAsia"/>
          <w:color w:val="auto"/>
        </w:rPr>
        <w:t>检测内容应依据DB11/T 1164.2中的退卡功能、票卡数据、票卡处理流程和交易数据的要求逐项检测；</w:t>
      </w:r>
    </w:p>
    <w:p>
      <w:pPr>
        <w:pStyle w:val="178"/>
        <w:rPr>
          <w:color w:val="auto"/>
        </w:rPr>
      </w:pPr>
      <w:r>
        <w:rPr>
          <w:rFonts w:hint="eastAsia"/>
          <w:color w:val="auto"/>
        </w:rPr>
        <w:t>检测方法要求如下：</w:t>
      </w:r>
    </w:p>
    <w:p>
      <w:pPr>
        <w:pStyle w:val="113"/>
        <w:numPr>
          <w:ilvl w:val="1"/>
          <w:numId w:val="667"/>
        </w:numPr>
        <w:rPr>
          <w:color w:val="auto"/>
        </w:rPr>
      </w:pPr>
      <w:r>
        <w:rPr>
          <w:rFonts w:hint="eastAsia"/>
          <w:color w:val="auto"/>
        </w:rPr>
        <w:t>在受检BOM上对一卡通卡和一票通车票进行退票操作；</w:t>
      </w:r>
    </w:p>
    <w:p>
      <w:pPr>
        <w:pStyle w:val="113"/>
        <w:rPr>
          <w:color w:val="auto"/>
        </w:rPr>
      </w:pPr>
      <w:r>
        <w:rPr>
          <w:rFonts w:hint="eastAsia"/>
          <w:color w:val="auto"/>
        </w:rPr>
        <w:t>观察受检BOM的退卡功能、票卡数据、票卡处理流程和交易数据应正确；</w:t>
      </w:r>
    </w:p>
    <w:p>
      <w:pPr>
        <w:pStyle w:val="113"/>
        <w:rPr>
          <w:color w:val="auto"/>
        </w:rPr>
      </w:pPr>
      <w:r>
        <w:rPr>
          <w:rFonts w:hint="eastAsia"/>
          <w:color w:val="auto"/>
        </w:rPr>
        <w:t>检测应覆盖一卡通所有已发行的票卡类型和一票通所有已发行的票卡类型。</w:t>
      </w:r>
    </w:p>
    <w:p>
      <w:pPr>
        <w:pStyle w:val="69"/>
        <w:spacing w:before="156" w:after="156"/>
        <w:rPr>
          <w:color w:val="auto"/>
        </w:rPr>
      </w:pPr>
      <w:r>
        <w:rPr>
          <w:rFonts w:hint="eastAsia"/>
          <w:color w:val="auto"/>
        </w:rPr>
        <w:t>抵消检测</w:t>
      </w:r>
    </w:p>
    <w:p>
      <w:pPr>
        <w:pStyle w:val="60"/>
        <w:ind w:firstLine="420"/>
        <w:rPr>
          <w:color w:val="auto"/>
        </w:rPr>
      </w:pPr>
      <w:r>
        <w:rPr>
          <w:rFonts w:hint="eastAsia"/>
          <w:color w:val="auto"/>
        </w:rPr>
        <w:t>抵消检测要求如下：</w:t>
      </w:r>
    </w:p>
    <w:p>
      <w:pPr>
        <w:pStyle w:val="178"/>
        <w:numPr>
          <w:ilvl w:val="0"/>
          <w:numId w:val="668"/>
        </w:numPr>
        <w:rPr>
          <w:color w:val="auto"/>
        </w:rPr>
      </w:pPr>
      <w:r>
        <w:rPr>
          <w:rFonts w:hint="eastAsia"/>
          <w:color w:val="auto"/>
        </w:rPr>
        <w:t>检测内容应依据DB11/T 1164.1、DB11/T 1164.2的抵消功能、票卡数据、票卡处理流程和交易数据的要求逐项检测；</w:t>
      </w:r>
    </w:p>
    <w:p>
      <w:pPr>
        <w:pStyle w:val="178"/>
        <w:rPr>
          <w:color w:val="auto"/>
        </w:rPr>
      </w:pPr>
      <w:r>
        <w:rPr>
          <w:rFonts w:hint="eastAsia"/>
          <w:color w:val="auto"/>
        </w:rPr>
        <w:t>检测方法要求如下：</w:t>
      </w:r>
    </w:p>
    <w:p>
      <w:pPr>
        <w:pStyle w:val="113"/>
        <w:numPr>
          <w:ilvl w:val="1"/>
          <w:numId w:val="669"/>
        </w:numPr>
        <w:rPr>
          <w:color w:val="auto"/>
        </w:rPr>
      </w:pPr>
      <w:r>
        <w:rPr>
          <w:rFonts w:hint="eastAsia"/>
          <w:color w:val="auto"/>
        </w:rPr>
        <w:t>在受检BOM上对一票通车票进行抵消操作；</w:t>
      </w:r>
    </w:p>
    <w:p>
      <w:pPr>
        <w:pStyle w:val="113"/>
        <w:rPr>
          <w:color w:val="auto"/>
        </w:rPr>
      </w:pPr>
      <w:r>
        <w:rPr>
          <w:rFonts w:hint="eastAsia"/>
          <w:color w:val="auto"/>
        </w:rPr>
        <w:t>观察受检BOM的抵消功能、票卡数据、票卡处理流程和交易数据应正确；</w:t>
      </w:r>
    </w:p>
    <w:p>
      <w:pPr>
        <w:pStyle w:val="113"/>
        <w:rPr>
          <w:color w:val="auto"/>
        </w:rPr>
      </w:pPr>
      <w:r>
        <w:rPr>
          <w:rFonts w:hint="eastAsia"/>
          <w:color w:val="auto"/>
        </w:rPr>
        <w:t>检测应覆盖一票通允许抵消的车票类型。</w:t>
      </w:r>
    </w:p>
    <w:p>
      <w:pPr>
        <w:pStyle w:val="69"/>
        <w:spacing w:before="156" w:after="156"/>
        <w:rPr>
          <w:color w:val="auto"/>
        </w:rPr>
      </w:pPr>
      <w:r>
        <w:rPr>
          <w:rFonts w:hint="eastAsia"/>
          <w:color w:val="auto"/>
        </w:rPr>
        <w:t>补票检测</w:t>
      </w:r>
    </w:p>
    <w:p>
      <w:pPr>
        <w:pStyle w:val="60"/>
        <w:ind w:firstLine="420"/>
        <w:rPr>
          <w:color w:val="auto"/>
        </w:rPr>
      </w:pPr>
      <w:r>
        <w:rPr>
          <w:rFonts w:hint="eastAsia"/>
          <w:color w:val="auto"/>
        </w:rPr>
        <w:t>补票检测要求如下：</w:t>
      </w:r>
    </w:p>
    <w:p>
      <w:pPr>
        <w:pStyle w:val="178"/>
        <w:numPr>
          <w:ilvl w:val="0"/>
          <w:numId w:val="670"/>
        </w:numPr>
        <w:rPr>
          <w:color w:val="auto"/>
        </w:rPr>
      </w:pPr>
      <w:r>
        <w:rPr>
          <w:rFonts w:hint="eastAsia"/>
          <w:color w:val="auto"/>
        </w:rPr>
        <w:t>检测内容应依据DB11/T 1164.2中的补票功能、票卡数据、票卡处理流程和交易数据的要求逐项检测；</w:t>
      </w:r>
    </w:p>
    <w:p>
      <w:pPr>
        <w:pStyle w:val="178"/>
        <w:rPr>
          <w:color w:val="auto"/>
        </w:rPr>
      </w:pPr>
      <w:r>
        <w:rPr>
          <w:rFonts w:hint="eastAsia"/>
          <w:color w:val="auto"/>
        </w:rPr>
        <w:t>检测方法要求如下：</w:t>
      </w:r>
    </w:p>
    <w:p>
      <w:pPr>
        <w:pStyle w:val="113"/>
        <w:numPr>
          <w:ilvl w:val="1"/>
          <w:numId w:val="671"/>
        </w:numPr>
        <w:rPr>
          <w:color w:val="auto"/>
        </w:rPr>
      </w:pPr>
      <w:r>
        <w:rPr>
          <w:rFonts w:hint="eastAsia"/>
          <w:color w:val="auto"/>
        </w:rPr>
        <w:t>在受检BOM上对一卡通卡和一票通车票进行补票操作；</w:t>
      </w:r>
    </w:p>
    <w:p>
      <w:pPr>
        <w:pStyle w:val="113"/>
        <w:rPr>
          <w:color w:val="auto"/>
        </w:rPr>
      </w:pPr>
      <w:r>
        <w:rPr>
          <w:rFonts w:hint="eastAsia"/>
          <w:color w:val="auto"/>
        </w:rPr>
        <w:t>观察受检BOM的补票功能、票卡数据、票卡处理流程和交易数据应正确；</w:t>
      </w:r>
    </w:p>
    <w:p>
      <w:pPr>
        <w:pStyle w:val="113"/>
        <w:rPr>
          <w:color w:val="auto"/>
        </w:rPr>
      </w:pPr>
      <w:r>
        <w:rPr>
          <w:rFonts w:hint="eastAsia"/>
          <w:color w:val="auto"/>
        </w:rPr>
        <w:t>检测应覆盖一票通和一卡通已发行的所有车票种类。</w:t>
      </w:r>
    </w:p>
    <w:p>
      <w:pPr>
        <w:pStyle w:val="69"/>
        <w:spacing w:before="156" w:after="156"/>
        <w:rPr>
          <w:color w:val="auto"/>
        </w:rPr>
      </w:pPr>
      <w:r>
        <w:rPr>
          <w:rFonts w:hint="eastAsia"/>
          <w:color w:val="auto"/>
        </w:rPr>
        <w:t>锁卡检测</w:t>
      </w:r>
    </w:p>
    <w:p>
      <w:pPr>
        <w:pStyle w:val="60"/>
        <w:ind w:firstLine="420"/>
        <w:rPr>
          <w:color w:val="auto"/>
        </w:rPr>
      </w:pPr>
      <w:r>
        <w:rPr>
          <w:rFonts w:hint="eastAsia"/>
          <w:color w:val="auto"/>
        </w:rPr>
        <w:t>锁卡检测要求如下：</w:t>
      </w:r>
    </w:p>
    <w:p>
      <w:pPr>
        <w:pStyle w:val="178"/>
        <w:numPr>
          <w:ilvl w:val="0"/>
          <w:numId w:val="672"/>
        </w:numPr>
        <w:rPr>
          <w:color w:val="auto"/>
        </w:rPr>
      </w:pPr>
      <w:r>
        <w:rPr>
          <w:rFonts w:hint="eastAsia"/>
          <w:color w:val="auto"/>
        </w:rPr>
        <w:t>检测内容应依据DB11/T 1164.2中的锁卡功能、票卡数据、票卡处理流程和交易数据的要求逐项检测；</w:t>
      </w:r>
    </w:p>
    <w:p>
      <w:pPr>
        <w:pStyle w:val="178"/>
        <w:rPr>
          <w:color w:val="auto"/>
        </w:rPr>
      </w:pPr>
      <w:r>
        <w:rPr>
          <w:rFonts w:hint="eastAsia"/>
          <w:color w:val="auto"/>
        </w:rPr>
        <w:t>检测方法要求如下：</w:t>
      </w:r>
    </w:p>
    <w:p>
      <w:pPr>
        <w:pStyle w:val="113"/>
        <w:numPr>
          <w:ilvl w:val="1"/>
          <w:numId w:val="673"/>
        </w:numPr>
        <w:rPr>
          <w:color w:val="auto"/>
        </w:rPr>
      </w:pPr>
      <w:r>
        <w:rPr>
          <w:rFonts w:hint="eastAsia"/>
          <w:color w:val="auto"/>
        </w:rPr>
        <w:t>通过一卡通和中心系统设置车票黑名单列表；</w:t>
      </w:r>
    </w:p>
    <w:p>
      <w:pPr>
        <w:pStyle w:val="113"/>
        <w:rPr>
          <w:color w:val="auto"/>
        </w:rPr>
      </w:pPr>
      <w:r>
        <w:rPr>
          <w:rFonts w:hint="eastAsia"/>
          <w:color w:val="auto"/>
        </w:rPr>
        <w:t>在受检BOM上发售一卡通卡和一票通车票；</w:t>
      </w:r>
    </w:p>
    <w:p>
      <w:pPr>
        <w:pStyle w:val="113"/>
        <w:rPr>
          <w:color w:val="auto"/>
        </w:rPr>
      </w:pPr>
      <w:r>
        <w:rPr>
          <w:rFonts w:hint="eastAsia"/>
          <w:color w:val="auto"/>
        </w:rPr>
        <w:t>在TVM上发售一票通单程票；</w:t>
      </w:r>
    </w:p>
    <w:p>
      <w:pPr>
        <w:pStyle w:val="113"/>
        <w:rPr>
          <w:color w:val="auto"/>
        </w:rPr>
      </w:pPr>
      <w:r>
        <w:rPr>
          <w:rFonts w:hint="eastAsia"/>
          <w:color w:val="auto"/>
        </w:rPr>
        <w:t>在TVM、BOM上充值一卡通卡、一票通车票；</w:t>
      </w:r>
    </w:p>
    <w:p>
      <w:pPr>
        <w:pStyle w:val="113"/>
        <w:rPr>
          <w:color w:val="auto"/>
        </w:rPr>
      </w:pPr>
      <w:r>
        <w:rPr>
          <w:rFonts w:hint="eastAsia"/>
          <w:color w:val="auto"/>
        </w:rPr>
        <w:t>在AG上使用一卡通卡和一票通车票进站、出站；</w:t>
      </w:r>
    </w:p>
    <w:p>
      <w:pPr>
        <w:pStyle w:val="113"/>
        <w:rPr>
          <w:color w:val="auto"/>
        </w:rPr>
      </w:pPr>
      <w:r>
        <w:rPr>
          <w:rFonts w:hint="eastAsia"/>
          <w:color w:val="auto"/>
        </w:rPr>
        <w:t>查看票卡内容和生成的交易数据应符合DB11/T 1164.2要求；</w:t>
      </w:r>
    </w:p>
    <w:p>
      <w:pPr>
        <w:pStyle w:val="113"/>
        <w:rPr>
          <w:color w:val="auto"/>
        </w:rPr>
      </w:pPr>
      <w:r>
        <w:rPr>
          <w:rFonts w:hint="eastAsia"/>
          <w:color w:val="auto"/>
        </w:rPr>
        <w:t>观察受检终端的锁卡功能、票卡数据、票卡处理流程和交易数据应正确；</w:t>
      </w:r>
    </w:p>
    <w:p>
      <w:pPr>
        <w:pStyle w:val="113"/>
        <w:rPr>
          <w:color w:val="auto"/>
        </w:rPr>
      </w:pPr>
      <w:r>
        <w:rPr>
          <w:rFonts w:hint="eastAsia"/>
          <w:color w:val="auto"/>
        </w:rPr>
        <w:t>检测应覆盖DB11/T 1164.2格中定义的所有运营模式类型。</w:t>
      </w:r>
    </w:p>
    <w:p>
      <w:pPr>
        <w:pStyle w:val="69"/>
        <w:spacing w:before="156" w:after="156"/>
        <w:rPr>
          <w:color w:val="auto"/>
        </w:rPr>
      </w:pPr>
      <w:r>
        <w:rPr>
          <w:rFonts w:hint="eastAsia"/>
          <w:color w:val="auto"/>
        </w:rPr>
        <w:t>充值检测</w:t>
      </w:r>
    </w:p>
    <w:p>
      <w:pPr>
        <w:pStyle w:val="60"/>
        <w:ind w:firstLine="420"/>
        <w:rPr>
          <w:color w:val="auto"/>
        </w:rPr>
      </w:pPr>
      <w:r>
        <w:rPr>
          <w:rFonts w:hint="eastAsia"/>
          <w:color w:val="auto"/>
        </w:rPr>
        <w:t>充值检测要求如下：</w:t>
      </w:r>
    </w:p>
    <w:p>
      <w:pPr>
        <w:pStyle w:val="178"/>
        <w:numPr>
          <w:ilvl w:val="0"/>
          <w:numId w:val="674"/>
        </w:numPr>
        <w:rPr>
          <w:color w:val="auto"/>
        </w:rPr>
      </w:pPr>
      <w:r>
        <w:rPr>
          <w:rFonts w:hint="eastAsia"/>
          <w:color w:val="auto"/>
        </w:rPr>
        <w:t>检测内容应依据DB11/T 1164.2中的充值功能、票卡数据、票卡处理流程和交易数据的要求逐项检测；</w:t>
      </w:r>
    </w:p>
    <w:p>
      <w:pPr>
        <w:pStyle w:val="178"/>
        <w:rPr>
          <w:color w:val="auto"/>
        </w:rPr>
      </w:pPr>
      <w:r>
        <w:rPr>
          <w:rFonts w:hint="eastAsia"/>
          <w:color w:val="auto"/>
        </w:rPr>
        <w:t>检测方法要求如下：</w:t>
      </w:r>
    </w:p>
    <w:p>
      <w:pPr>
        <w:pStyle w:val="113"/>
        <w:numPr>
          <w:ilvl w:val="1"/>
          <w:numId w:val="675"/>
        </w:numPr>
        <w:rPr>
          <w:color w:val="auto"/>
        </w:rPr>
      </w:pPr>
      <w:r>
        <w:rPr>
          <w:rFonts w:hint="eastAsia"/>
          <w:color w:val="auto"/>
        </w:rPr>
        <w:t>在受检TVM和受检BOM上对一卡通卡进行充值操作；</w:t>
      </w:r>
    </w:p>
    <w:p>
      <w:pPr>
        <w:pStyle w:val="113"/>
        <w:rPr>
          <w:color w:val="auto"/>
        </w:rPr>
      </w:pPr>
      <w:r>
        <w:rPr>
          <w:rFonts w:hint="eastAsia"/>
          <w:color w:val="auto"/>
        </w:rPr>
        <w:t>观察受检终端的充值功能、票卡数据、票卡处理流程和交易数据应正确；</w:t>
      </w:r>
    </w:p>
    <w:p>
      <w:pPr>
        <w:pStyle w:val="113"/>
        <w:rPr>
          <w:color w:val="auto"/>
        </w:rPr>
      </w:pPr>
      <w:r>
        <w:rPr>
          <w:rFonts w:hint="eastAsia"/>
          <w:color w:val="auto"/>
        </w:rPr>
        <w:t>检测应覆盖一卡通已发行的允许充值的车票类型。</w:t>
      </w:r>
    </w:p>
    <w:p>
      <w:pPr>
        <w:pStyle w:val="69"/>
        <w:spacing w:before="156" w:after="156"/>
        <w:rPr>
          <w:color w:val="auto"/>
        </w:rPr>
      </w:pPr>
      <w:r>
        <w:rPr>
          <w:rFonts w:hint="eastAsia"/>
          <w:color w:val="auto"/>
        </w:rPr>
        <w:t>替换检测</w:t>
      </w:r>
    </w:p>
    <w:p>
      <w:pPr>
        <w:pStyle w:val="60"/>
        <w:ind w:firstLine="420"/>
        <w:rPr>
          <w:color w:val="auto"/>
        </w:rPr>
      </w:pPr>
      <w:r>
        <w:rPr>
          <w:rFonts w:hint="eastAsia"/>
          <w:color w:val="auto"/>
        </w:rPr>
        <w:t>替换检测要求如下：</w:t>
      </w:r>
    </w:p>
    <w:p>
      <w:pPr>
        <w:pStyle w:val="178"/>
        <w:numPr>
          <w:ilvl w:val="0"/>
          <w:numId w:val="676"/>
        </w:numPr>
        <w:rPr>
          <w:color w:val="auto"/>
        </w:rPr>
      </w:pPr>
      <w:r>
        <w:rPr>
          <w:rFonts w:hint="eastAsia"/>
          <w:color w:val="auto"/>
        </w:rPr>
        <w:t>检测内容应依据DB11/T 1164.2中的替换功能、票卡数据、票卡处理流程和交易数据的要求逐项检测；</w:t>
      </w:r>
    </w:p>
    <w:p>
      <w:pPr>
        <w:pStyle w:val="178"/>
        <w:rPr>
          <w:color w:val="auto"/>
        </w:rPr>
      </w:pPr>
      <w:r>
        <w:rPr>
          <w:rFonts w:hint="eastAsia"/>
          <w:color w:val="auto"/>
        </w:rPr>
        <w:t>检测方法要求如下：</w:t>
      </w:r>
    </w:p>
    <w:p>
      <w:pPr>
        <w:pStyle w:val="113"/>
        <w:numPr>
          <w:ilvl w:val="1"/>
          <w:numId w:val="677"/>
        </w:numPr>
        <w:rPr>
          <w:color w:val="auto"/>
        </w:rPr>
      </w:pPr>
      <w:r>
        <w:rPr>
          <w:rFonts w:hint="eastAsia"/>
          <w:color w:val="auto"/>
        </w:rPr>
        <w:t>在BOM上对一票通和一卡通车票进行替换操作；</w:t>
      </w:r>
    </w:p>
    <w:p>
      <w:pPr>
        <w:pStyle w:val="113"/>
        <w:rPr>
          <w:color w:val="auto"/>
        </w:rPr>
      </w:pPr>
      <w:r>
        <w:rPr>
          <w:rFonts w:hint="eastAsia"/>
          <w:color w:val="auto"/>
        </w:rPr>
        <w:t>观察受检BOM的替换功能、票卡数据、票卡处理流程和交易数据应正确；</w:t>
      </w:r>
    </w:p>
    <w:p>
      <w:pPr>
        <w:pStyle w:val="113"/>
        <w:rPr>
          <w:color w:val="auto"/>
        </w:rPr>
      </w:pPr>
      <w:r>
        <w:rPr>
          <w:rFonts w:hint="eastAsia"/>
          <w:color w:val="auto"/>
        </w:rPr>
        <w:t>检测应覆盖一票通和一卡通已发行的允许替换的车票类型。</w:t>
      </w:r>
    </w:p>
    <w:p>
      <w:pPr>
        <w:pStyle w:val="109"/>
        <w:spacing w:before="156" w:after="156"/>
        <w:rPr>
          <w:color w:val="auto"/>
        </w:rPr>
      </w:pPr>
      <w:bookmarkStart w:id="528" w:name="_Toc20549"/>
      <w:r>
        <w:rPr>
          <w:rFonts w:hint="eastAsia"/>
          <w:color w:val="auto"/>
        </w:rPr>
        <w:t>参数管理检测</w:t>
      </w:r>
      <w:bookmarkEnd w:id="528"/>
    </w:p>
    <w:p>
      <w:pPr>
        <w:pStyle w:val="60"/>
        <w:ind w:firstLine="420"/>
        <w:rPr>
          <w:color w:val="auto"/>
        </w:rPr>
      </w:pPr>
      <w:r>
        <w:rPr>
          <w:rFonts w:hint="eastAsia"/>
          <w:color w:val="auto"/>
        </w:rPr>
        <w:t>参数管理检测要求如下：</w:t>
      </w:r>
    </w:p>
    <w:p>
      <w:pPr>
        <w:pStyle w:val="178"/>
        <w:numPr>
          <w:ilvl w:val="0"/>
          <w:numId w:val="678"/>
        </w:numPr>
        <w:rPr>
          <w:color w:val="auto"/>
        </w:rPr>
      </w:pPr>
      <w:r>
        <w:rPr>
          <w:rFonts w:hint="eastAsia"/>
          <w:color w:val="auto"/>
        </w:rPr>
        <w:t>检测内容应依据DB11/T 1164.1和DB11/T 1164.2中中心系统、SLE参数管理功能的要求逐项检测；</w:t>
      </w:r>
    </w:p>
    <w:p>
      <w:pPr>
        <w:pStyle w:val="178"/>
        <w:rPr>
          <w:color w:val="auto"/>
        </w:rPr>
      </w:pPr>
      <w:r>
        <w:rPr>
          <w:rFonts w:hint="eastAsia"/>
          <w:color w:val="auto"/>
        </w:rPr>
        <w:t>检测方法要求如下：</w:t>
      </w:r>
    </w:p>
    <w:p>
      <w:pPr>
        <w:pStyle w:val="113"/>
        <w:numPr>
          <w:ilvl w:val="1"/>
          <w:numId w:val="679"/>
        </w:numPr>
        <w:rPr>
          <w:color w:val="auto"/>
        </w:rPr>
      </w:pPr>
      <w:r>
        <w:rPr>
          <w:rFonts w:hint="eastAsia"/>
          <w:color w:val="auto"/>
        </w:rPr>
        <w:t>通过受检中心系统编辑、下发参数（一卡通参数、</w:t>
      </w:r>
      <w:r>
        <w:rPr>
          <w:rFonts w:hint="eastAsia"/>
          <w:color w:val="auto"/>
          <w:lang w:val="en-US" w:eastAsia="zh-CN"/>
        </w:rPr>
        <w:t>清分</w:t>
      </w:r>
      <w:r>
        <w:rPr>
          <w:rFonts w:hint="eastAsia"/>
          <w:color w:val="auto"/>
        </w:rPr>
        <w:t>参数）；</w:t>
      </w:r>
    </w:p>
    <w:p>
      <w:pPr>
        <w:pStyle w:val="113"/>
        <w:rPr>
          <w:color w:val="auto"/>
        </w:rPr>
      </w:pPr>
      <w:r>
        <w:rPr>
          <w:rFonts w:hint="eastAsia"/>
          <w:color w:val="auto"/>
        </w:rPr>
        <w:t>查看受检中心系统中的参数版本、内容，比对受检中心系统中的参数版本和内容；</w:t>
      </w:r>
    </w:p>
    <w:p>
      <w:pPr>
        <w:pStyle w:val="113"/>
        <w:rPr>
          <w:color w:val="auto"/>
        </w:rPr>
      </w:pPr>
      <w:r>
        <w:rPr>
          <w:rFonts w:hint="eastAsia"/>
          <w:color w:val="auto"/>
        </w:rPr>
        <w:t>查看受检SLE中的参数版本、内容，比对受检中心系统中的参数版本和内容；</w:t>
      </w:r>
    </w:p>
    <w:p>
      <w:pPr>
        <w:pStyle w:val="113"/>
        <w:rPr>
          <w:color w:val="auto"/>
        </w:rPr>
      </w:pPr>
      <w:r>
        <w:rPr>
          <w:rFonts w:hint="eastAsia"/>
          <w:color w:val="auto"/>
        </w:rPr>
        <w:t>通过受检中心系统编辑、下发参数（AFC参数）；</w:t>
      </w:r>
    </w:p>
    <w:p>
      <w:pPr>
        <w:pStyle w:val="113"/>
        <w:rPr>
          <w:color w:val="auto"/>
        </w:rPr>
      </w:pPr>
      <w:r>
        <w:rPr>
          <w:rFonts w:hint="eastAsia"/>
          <w:color w:val="auto"/>
        </w:rPr>
        <w:t>查看受检中心系统中的参数版本、内容，比对受检中心系统中的参数版本和内容；</w:t>
      </w:r>
    </w:p>
    <w:p>
      <w:pPr>
        <w:pStyle w:val="113"/>
        <w:rPr>
          <w:color w:val="auto"/>
        </w:rPr>
      </w:pPr>
      <w:r>
        <w:rPr>
          <w:rFonts w:hint="eastAsia"/>
          <w:color w:val="auto"/>
        </w:rPr>
        <w:t>查看受检SLE中的参数版本、内容，比对受检中心系统中的参数版本和内容。</w:t>
      </w:r>
    </w:p>
    <w:p>
      <w:pPr>
        <w:pStyle w:val="109"/>
        <w:spacing w:before="156" w:after="156"/>
        <w:rPr>
          <w:color w:val="auto"/>
        </w:rPr>
      </w:pPr>
      <w:bookmarkStart w:id="529" w:name="_Toc32191"/>
      <w:r>
        <w:rPr>
          <w:rFonts w:hint="eastAsia"/>
          <w:color w:val="auto"/>
        </w:rPr>
        <w:t>模式处理检测</w:t>
      </w:r>
      <w:bookmarkEnd w:id="529"/>
    </w:p>
    <w:p>
      <w:pPr>
        <w:pStyle w:val="60"/>
        <w:ind w:firstLine="420"/>
        <w:rPr>
          <w:color w:val="auto"/>
        </w:rPr>
      </w:pPr>
      <w:r>
        <w:rPr>
          <w:rFonts w:hint="eastAsia"/>
          <w:color w:val="auto"/>
        </w:rPr>
        <w:t>模式处理检测要求如下：</w:t>
      </w:r>
    </w:p>
    <w:p>
      <w:pPr>
        <w:pStyle w:val="178"/>
        <w:numPr>
          <w:ilvl w:val="0"/>
          <w:numId w:val="680"/>
        </w:numPr>
        <w:rPr>
          <w:color w:val="auto"/>
        </w:rPr>
      </w:pPr>
      <w:r>
        <w:rPr>
          <w:rFonts w:hint="eastAsia"/>
          <w:color w:val="auto"/>
        </w:rPr>
        <w:t>检测内容应依据DB11/T 1164.1和DB11/T 1164.2中中心系统、AG、BOM、TVM模式管理功能的要求逐项检测；</w:t>
      </w:r>
    </w:p>
    <w:p>
      <w:pPr>
        <w:pStyle w:val="178"/>
        <w:rPr>
          <w:color w:val="auto"/>
        </w:rPr>
      </w:pPr>
      <w:r>
        <w:rPr>
          <w:rFonts w:hint="eastAsia"/>
          <w:color w:val="auto"/>
        </w:rPr>
        <w:t>检测方法要求如下：</w:t>
      </w:r>
    </w:p>
    <w:p>
      <w:pPr>
        <w:pStyle w:val="113"/>
        <w:numPr>
          <w:ilvl w:val="1"/>
          <w:numId w:val="681"/>
        </w:numPr>
        <w:rPr>
          <w:color w:val="auto"/>
        </w:rPr>
      </w:pPr>
      <w:r>
        <w:rPr>
          <w:rFonts w:hint="eastAsia"/>
          <w:color w:val="auto"/>
        </w:rPr>
        <w:t>通过受检中心系统设置所辖车站运营模式命令的处理，检测受检中心系统的处理应正确；</w:t>
      </w:r>
    </w:p>
    <w:p>
      <w:pPr>
        <w:pStyle w:val="113"/>
        <w:rPr>
          <w:color w:val="auto"/>
        </w:rPr>
      </w:pPr>
      <w:r>
        <w:rPr>
          <w:rFonts w:hint="eastAsia"/>
          <w:color w:val="auto"/>
        </w:rPr>
        <w:t>观察受检中心系统接收到的运营模式命令的处理，检测受检中心系统的处理应正确；</w:t>
      </w:r>
    </w:p>
    <w:p>
      <w:pPr>
        <w:pStyle w:val="113"/>
        <w:rPr>
          <w:color w:val="auto"/>
        </w:rPr>
      </w:pPr>
      <w:r>
        <w:rPr>
          <w:rFonts w:hint="eastAsia"/>
          <w:color w:val="auto"/>
        </w:rPr>
        <w:t>观察受检中心系统生成的车站模式变更通知的处理，检测受检中心系统的处理应正确；</w:t>
      </w:r>
    </w:p>
    <w:p>
      <w:pPr>
        <w:pStyle w:val="113"/>
        <w:rPr>
          <w:color w:val="auto"/>
        </w:rPr>
      </w:pPr>
      <w:r>
        <w:rPr>
          <w:rFonts w:hint="eastAsia"/>
          <w:color w:val="auto"/>
        </w:rPr>
        <w:t>观察受检中心系统接收到的车站模式变更通知的处理，检测受检中心系统的处理应正确；</w:t>
      </w:r>
    </w:p>
    <w:p>
      <w:pPr>
        <w:pStyle w:val="113"/>
        <w:rPr>
          <w:color w:val="auto"/>
        </w:rPr>
      </w:pPr>
      <w:r>
        <w:rPr>
          <w:rFonts w:hint="eastAsia"/>
          <w:color w:val="auto"/>
        </w:rPr>
        <w:t>观察其它受检中心系统接收到的车站模式变更通知的处理，检测受检中心系统的处理应正确；</w:t>
      </w:r>
    </w:p>
    <w:p>
      <w:pPr>
        <w:pStyle w:val="113"/>
        <w:rPr>
          <w:color w:val="auto"/>
        </w:rPr>
      </w:pPr>
      <w:r>
        <w:rPr>
          <w:rFonts w:hint="eastAsia"/>
          <w:color w:val="auto"/>
        </w:rPr>
        <w:t>观察所有受检中心系统生成的模式履历版本和内容的处理，检测受检中心系统的处理应正确；</w:t>
      </w:r>
    </w:p>
    <w:p>
      <w:pPr>
        <w:pStyle w:val="113"/>
        <w:rPr>
          <w:color w:val="auto"/>
        </w:rPr>
      </w:pPr>
      <w:r>
        <w:rPr>
          <w:rFonts w:hint="eastAsia"/>
          <w:color w:val="auto"/>
        </w:rPr>
        <w:t>观察所有受检中心系统接收的模式履历版本和内容的处理，检测受检中心系统的处理应正确；</w:t>
      </w:r>
    </w:p>
    <w:p>
      <w:pPr>
        <w:pStyle w:val="113"/>
        <w:rPr>
          <w:color w:val="auto"/>
        </w:rPr>
      </w:pPr>
      <w:r>
        <w:rPr>
          <w:rFonts w:hint="eastAsia"/>
          <w:color w:val="auto"/>
        </w:rPr>
        <w:t>观察所有受检SLE接收的模式履历版本和内容的处理，检测受检SLE的处理应正确；</w:t>
      </w:r>
    </w:p>
    <w:p>
      <w:pPr>
        <w:pStyle w:val="113"/>
        <w:rPr>
          <w:color w:val="auto"/>
        </w:rPr>
      </w:pPr>
      <w:r>
        <w:rPr>
          <w:rFonts w:hint="eastAsia"/>
          <w:color w:val="auto"/>
        </w:rPr>
        <w:t>检测应覆盖DB11/T 1164.2中定义的所有运营模式类型。</w:t>
      </w:r>
    </w:p>
    <w:p>
      <w:pPr>
        <w:pStyle w:val="109"/>
        <w:spacing w:before="156" w:after="156"/>
        <w:rPr>
          <w:color w:val="auto"/>
        </w:rPr>
      </w:pPr>
      <w:bookmarkStart w:id="530" w:name="_Toc5875"/>
      <w:r>
        <w:rPr>
          <w:rFonts w:hint="eastAsia"/>
          <w:color w:val="auto"/>
        </w:rPr>
        <w:t>清分对账检测</w:t>
      </w:r>
      <w:bookmarkEnd w:id="530"/>
    </w:p>
    <w:p>
      <w:pPr>
        <w:pStyle w:val="60"/>
        <w:ind w:firstLine="420"/>
        <w:rPr>
          <w:color w:val="auto"/>
        </w:rPr>
      </w:pPr>
      <w:r>
        <w:rPr>
          <w:rFonts w:hint="eastAsia"/>
          <w:color w:val="auto"/>
        </w:rPr>
        <w:t>清分对账检测要求如下：</w:t>
      </w:r>
    </w:p>
    <w:p>
      <w:pPr>
        <w:pStyle w:val="178"/>
        <w:numPr>
          <w:ilvl w:val="0"/>
          <w:numId w:val="682"/>
        </w:numPr>
        <w:rPr>
          <w:color w:val="auto"/>
        </w:rPr>
      </w:pPr>
      <w:r>
        <w:rPr>
          <w:rFonts w:hint="eastAsia"/>
          <w:color w:val="auto"/>
        </w:rPr>
        <w:t>检测内容应依据DB11/T 1164.1和DB11/T 1164.2中中心系统中清分对账功能的要求逐项检测；</w:t>
      </w:r>
    </w:p>
    <w:p>
      <w:pPr>
        <w:pStyle w:val="178"/>
        <w:rPr>
          <w:color w:val="auto"/>
        </w:rPr>
      </w:pPr>
      <w:r>
        <w:rPr>
          <w:rFonts w:hint="eastAsia"/>
          <w:color w:val="auto"/>
        </w:rPr>
        <w:t>检测方法要求如下：</w:t>
      </w:r>
    </w:p>
    <w:p>
      <w:pPr>
        <w:pStyle w:val="113"/>
        <w:numPr>
          <w:ilvl w:val="1"/>
          <w:numId w:val="683"/>
        </w:numPr>
        <w:rPr>
          <w:color w:val="auto"/>
        </w:rPr>
      </w:pPr>
      <w:r>
        <w:rPr>
          <w:rFonts w:hint="eastAsia"/>
          <w:color w:val="auto"/>
        </w:rPr>
        <w:t>观察受检中心系统生成的对账数据、一卡通异常数据和一票通异常数据的处理应正确；</w:t>
      </w:r>
    </w:p>
    <w:p>
      <w:pPr>
        <w:pStyle w:val="113"/>
        <w:rPr>
          <w:color w:val="auto"/>
        </w:rPr>
      </w:pPr>
      <w:r>
        <w:rPr>
          <w:rFonts w:hint="eastAsia"/>
          <w:color w:val="auto"/>
        </w:rPr>
        <w:t>通过受检中心系统向各相关系统发送对账数据、一卡通异常数据和一票通异常数据；</w:t>
      </w:r>
    </w:p>
    <w:p>
      <w:pPr>
        <w:pStyle w:val="113"/>
        <w:rPr>
          <w:color w:val="auto"/>
        </w:rPr>
      </w:pPr>
      <w:r>
        <w:rPr>
          <w:rFonts w:hint="eastAsia"/>
          <w:color w:val="auto"/>
        </w:rPr>
        <w:t>观察受检相关系统接收到的对账数据、一卡通异常数据和一票通异常数据的数量和内容，并与受测中心系统发送的相应数据进行比对；</w:t>
      </w:r>
    </w:p>
    <w:p>
      <w:pPr>
        <w:pStyle w:val="113"/>
        <w:rPr>
          <w:color w:val="auto"/>
        </w:rPr>
      </w:pPr>
      <w:r>
        <w:rPr>
          <w:rFonts w:hint="eastAsia"/>
          <w:color w:val="auto"/>
        </w:rPr>
        <w:t>观察受检中心系统生成的对账、清分、异常等报表，检查报表内容应正确。</w:t>
      </w:r>
    </w:p>
    <w:p>
      <w:pPr>
        <w:pStyle w:val="109"/>
        <w:spacing w:before="156" w:after="156"/>
        <w:rPr>
          <w:color w:val="auto"/>
        </w:rPr>
      </w:pPr>
      <w:bookmarkStart w:id="531" w:name="_Toc7523"/>
      <w:r>
        <w:rPr>
          <w:rFonts w:hint="eastAsia"/>
          <w:color w:val="auto"/>
        </w:rPr>
        <w:t>数据一致检测</w:t>
      </w:r>
      <w:bookmarkEnd w:id="531"/>
    </w:p>
    <w:p>
      <w:pPr>
        <w:pStyle w:val="60"/>
        <w:ind w:firstLine="420"/>
        <w:rPr>
          <w:color w:val="auto"/>
        </w:rPr>
      </w:pPr>
      <w:r>
        <w:rPr>
          <w:rFonts w:hint="eastAsia"/>
          <w:color w:val="auto"/>
        </w:rPr>
        <w:t>数据一致检测检测要求如下：</w:t>
      </w:r>
    </w:p>
    <w:p>
      <w:pPr>
        <w:pStyle w:val="178"/>
        <w:numPr>
          <w:ilvl w:val="0"/>
          <w:numId w:val="684"/>
        </w:numPr>
        <w:rPr>
          <w:color w:val="auto"/>
        </w:rPr>
      </w:pPr>
      <w:r>
        <w:rPr>
          <w:rFonts w:hint="eastAsia"/>
          <w:color w:val="auto"/>
        </w:rPr>
        <w:t>检测内容应依据DB11/T 1164.2定义的数据的要求逐项检测；</w:t>
      </w:r>
    </w:p>
    <w:p>
      <w:pPr>
        <w:pStyle w:val="178"/>
        <w:rPr>
          <w:color w:val="auto"/>
        </w:rPr>
      </w:pPr>
      <w:r>
        <w:rPr>
          <w:rFonts w:hint="eastAsia"/>
          <w:color w:val="auto"/>
        </w:rPr>
        <w:t>检测方法要求如下：</w:t>
      </w:r>
    </w:p>
    <w:p>
      <w:pPr>
        <w:pStyle w:val="113"/>
        <w:numPr>
          <w:ilvl w:val="1"/>
          <w:numId w:val="685"/>
        </w:numPr>
        <w:rPr>
          <w:color w:val="auto"/>
        </w:rPr>
      </w:pPr>
      <w:r>
        <w:rPr>
          <w:rFonts w:hint="eastAsia"/>
          <w:color w:val="auto"/>
        </w:rPr>
        <w:t>在受检终端上产生数据，并上传至受检中心系统，并记录数据的种类和数量；</w:t>
      </w:r>
    </w:p>
    <w:p>
      <w:pPr>
        <w:pStyle w:val="113"/>
        <w:rPr>
          <w:color w:val="auto"/>
        </w:rPr>
      </w:pPr>
      <w:r>
        <w:rPr>
          <w:rFonts w:hint="eastAsia"/>
          <w:color w:val="auto"/>
        </w:rPr>
        <w:t>观察受检中心系统上接收的数据，并记录数据的种类和数量；</w:t>
      </w:r>
    </w:p>
    <w:p>
      <w:pPr>
        <w:pStyle w:val="113"/>
        <w:rPr>
          <w:color w:val="auto"/>
        </w:rPr>
      </w:pPr>
      <w:r>
        <w:rPr>
          <w:rFonts w:hint="eastAsia"/>
          <w:color w:val="auto"/>
        </w:rPr>
        <w:t>观察OCMS系统上接收的数据，并记录数据的种类和数量；</w:t>
      </w:r>
    </w:p>
    <w:p>
      <w:pPr>
        <w:pStyle w:val="113"/>
        <w:rPr>
          <w:color w:val="auto"/>
        </w:rPr>
      </w:pPr>
      <w:r>
        <w:rPr>
          <w:rFonts w:hint="eastAsia"/>
          <w:color w:val="auto"/>
        </w:rPr>
        <w:t>逐级系统进行数据种类和数量的核对，检测受检系统数据一致性的处理应正确；</w:t>
      </w:r>
    </w:p>
    <w:p>
      <w:pPr>
        <w:pStyle w:val="113"/>
        <w:rPr>
          <w:color w:val="auto"/>
        </w:rPr>
      </w:pPr>
      <w:r>
        <w:rPr>
          <w:rFonts w:hint="eastAsia"/>
          <w:color w:val="auto"/>
        </w:rPr>
        <w:t>检测应覆盖DB11/T 1164.2定义 中定义的所有数据类型类型。</w:t>
      </w:r>
    </w:p>
    <w:p>
      <w:pPr>
        <w:pStyle w:val="60"/>
        <w:ind w:firstLine="420"/>
        <w:rPr>
          <w:color w:val="auto"/>
        </w:rPr>
      </w:pPr>
    </w:p>
    <w:p>
      <w:pPr>
        <w:pStyle w:val="60"/>
        <w:ind w:firstLine="420"/>
        <w:rPr>
          <w:color w:val="auto"/>
        </w:rPr>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bookmarkEnd w:id="34"/>
    <w:p>
      <w:pPr>
        <w:pStyle w:val="202"/>
        <w:rPr>
          <w:rFonts w:hint="eastAsia"/>
          <w:color w:val="auto"/>
        </w:rPr>
      </w:pPr>
      <w:bookmarkStart w:id="532" w:name="BookMark5"/>
    </w:p>
    <w:p>
      <w:pPr>
        <w:pStyle w:val="203"/>
        <w:rPr>
          <w:color w:val="auto"/>
        </w:rPr>
      </w:pPr>
    </w:p>
    <w:p>
      <w:pPr>
        <w:pStyle w:val="80"/>
        <w:spacing w:after="156"/>
        <w:rPr>
          <w:color w:val="auto"/>
        </w:rPr>
      </w:pPr>
      <w:bookmarkStart w:id="533" w:name="_Toc12058"/>
      <w:r>
        <w:rPr>
          <w:color w:val="auto"/>
        </w:rPr>
        <w:br w:type="textWrapping"/>
      </w:r>
      <w:r>
        <w:rPr>
          <w:rFonts w:hint="eastAsia"/>
          <w:color w:val="auto"/>
        </w:rPr>
        <w:t>（规范性）</w:t>
      </w:r>
      <w:r>
        <w:rPr>
          <w:color w:val="auto"/>
        </w:rPr>
        <w:br w:type="textWrapping"/>
      </w:r>
      <w:r>
        <w:rPr>
          <w:rFonts w:hint="eastAsia"/>
          <w:color w:val="auto"/>
        </w:rPr>
        <w:t>问题的等级划分</w:t>
      </w:r>
      <w:bookmarkEnd w:id="533"/>
    </w:p>
    <w:p>
      <w:pPr>
        <w:pStyle w:val="82"/>
        <w:spacing w:before="156" w:after="156"/>
        <w:rPr>
          <w:color w:val="auto"/>
          <w:szCs w:val="21"/>
        </w:rPr>
      </w:pPr>
      <w:bookmarkStart w:id="534" w:name="_Toc31051"/>
      <w:r>
        <w:rPr>
          <w:rFonts w:hint="eastAsia"/>
          <w:color w:val="auto"/>
        </w:rPr>
        <w:t>关键模块及终端</w:t>
      </w:r>
      <w:bookmarkEnd w:id="534"/>
    </w:p>
    <w:p>
      <w:pPr>
        <w:pStyle w:val="83"/>
        <w:spacing w:before="156" w:after="156"/>
        <w:rPr>
          <w:color w:val="auto"/>
        </w:rPr>
      </w:pPr>
      <w:r>
        <w:rPr>
          <w:rFonts w:hint="eastAsia"/>
          <w:color w:val="auto"/>
        </w:rPr>
        <w:t>AG问题内容的等级划分</w:t>
      </w:r>
    </w:p>
    <w:p>
      <w:pPr>
        <w:pStyle w:val="244"/>
        <w:rPr>
          <w:color w:val="auto"/>
        </w:rPr>
      </w:pPr>
      <w:r>
        <w:rPr>
          <w:rFonts w:hint="eastAsia" w:hAnsi="宋体"/>
          <w:color w:val="auto"/>
        </w:rPr>
        <w:t>AG问题内容的等级划分</w:t>
      </w:r>
      <w:r>
        <w:rPr>
          <w:rFonts w:hint="eastAsia" w:hAnsi="宋体"/>
          <w:color w:val="auto"/>
          <w:lang w:val="en-US" w:eastAsia="zh-CN"/>
        </w:rPr>
        <w:t>应符合</w:t>
      </w:r>
      <w:r>
        <w:rPr>
          <w:rFonts w:hint="eastAsia" w:hAnsi="宋体"/>
          <w:color w:val="auto"/>
        </w:rPr>
        <w:t>表A.1。</w:t>
      </w:r>
    </w:p>
    <w:p>
      <w:pPr>
        <w:pStyle w:val="81"/>
        <w:spacing w:before="156" w:after="156"/>
        <w:rPr>
          <w:color w:val="auto"/>
        </w:rPr>
      </w:pPr>
      <w:r>
        <w:rPr>
          <w:rFonts w:hint="eastAsia"/>
          <w:color w:val="auto"/>
        </w:rPr>
        <w:t>AG问题内容等级划分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通行逻辑传感器问题，设备可以保证乘客通行，但通行逻辑判断错误</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通行逻辑传感器问题，设备可以保证乘客通行，但通行逻辑判断正确</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闸门无法正常打开/关闭</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通行逻辑传感器问题，导致设备无法使用</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身高检测传感器问题或功能异常，导致1.</w:t>
            </w:r>
            <w:r>
              <w:rPr>
                <w:rFonts w:hint="eastAsia"/>
                <w:color w:val="auto"/>
                <w:szCs w:val="18"/>
              </w:rPr>
              <w:t>3</w:t>
            </w:r>
            <w:r>
              <w:rPr>
                <w:rFonts w:hint="eastAsia" w:hAnsi="宋体"/>
                <w:color w:val="auto"/>
                <w:szCs w:val="18"/>
              </w:rPr>
              <w:t>米以下儿童不能免票通行</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闸门安全传感器问题或功能异常，不能保证乘客安全</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回收票卡的卡票率≥0.15‰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0.1‰≤回收票卡的卡票率＜0.15‰</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0.05‰≤回收票卡的卡票率＜0.1‰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color w:val="auto"/>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通行能力性能指标不符合技术标准要求</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color w:val="auto"/>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尾随距离性能指标不符合技术标准要求</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color w:val="auto"/>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读写识别距离性能指标不符合技术标准要求</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TVM问题内容的等级划分</w:t>
      </w:r>
    </w:p>
    <w:p>
      <w:pPr>
        <w:pStyle w:val="60"/>
        <w:ind w:firstLine="420"/>
        <w:rPr>
          <w:color w:val="auto"/>
        </w:rPr>
      </w:pPr>
      <w:r>
        <w:rPr>
          <w:rFonts w:hint="eastAsia"/>
          <w:color w:val="auto"/>
        </w:rPr>
        <w:t>TVM问题内容的等级划分</w:t>
      </w:r>
      <w:r>
        <w:rPr>
          <w:rFonts w:hint="eastAsia"/>
          <w:color w:val="auto"/>
          <w:lang w:val="en-US" w:eastAsia="zh-CN"/>
        </w:rPr>
        <w:t>应符合</w:t>
      </w:r>
      <w:r>
        <w:rPr>
          <w:rFonts w:hint="eastAsia"/>
          <w:color w:val="auto"/>
        </w:rPr>
        <w:t>表A.2。</w:t>
      </w:r>
    </w:p>
    <w:p>
      <w:pPr>
        <w:pStyle w:val="81"/>
        <w:spacing w:before="156" w:after="156"/>
        <w:rPr>
          <w:color w:val="auto"/>
        </w:rPr>
      </w:pPr>
      <w:r>
        <w:rPr>
          <w:rFonts w:hint="eastAsia"/>
          <w:color w:val="auto"/>
        </w:rPr>
        <w:t>TVM问题内容</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维护打印机问题</w:t>
            </w:r>
          </w:p>
        </w:tc>
        <w:tc>
          <w:tcPr>
            <w:tcW w:w="398" w:type="pct"/>
            <w:tcBorders>
              <w:top w:val="single" w:color="auto" w:sz="8" w:space="0"/>
            </w:tcBorders>
            <w:shd w:val="clear" w:color="auto" w:fill="auto"/>
            <w:vAlign w:val="center"/>
          </w:tcPr>
          <w:p>
            <w:pPr>
              <w:pStyle w:val="182"/>
              <w:rPr>
                <w:color w:val="auto"/>
              </w:rPr>
            </w:pP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无法发售票卡</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无法充值</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纸币接收模块在接收过程中损坏纸币</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纸币接收模块接收假币</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纸币找零模块在找零过程中损坏纸币</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纸币找零模块找零错误</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硬币识别模块接收假币</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硬币找零模块找零错误</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乘客感应传感器问题，乘客无法使用的</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乘客感应传感器问题，不影响乘客使用的</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发售票卡的卡票率≥0.15‰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0.1‰≤发售票卡的卡票率＜0.15‰</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0.05‰≤发售票卡的卡票率＜0.1‰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纸币找零模块的卡币率≥0.15‰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0.1‰≤纸币找零模块的卡币率＜0.15‰</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0.05‰≤纸币找零模块的卡币率＜0.1‰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纸币接收模块的卡币率≥0.15‰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0.1‰≤纸币接收模块的卡币率＜0.15‰</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纸币未到达指定位置，并阻塞传输通道造成模块/设备无法正常运行；</w:t>
            </w:r>
          </w:p>
          <w:p>
            <w:pPr>
              <w:pStyle w:val="182"/>
              <w:jc w:val="left"/>
              <w:rPr>
                <w:color w:val="auto"/>
              </w:rPr>
            </w:pPr>
            <w:r>
              <w:rPr>
                <w:rFonts w:hint="eastAsia" w:hAnsi="宋体"/>
                <w:color w:val="auto"/>
                <w:szCs w:val="18"/>
              </w:rPr>
              <w:t>0.05‰≤纸币接收模块的卡币率＜0.1‰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bottom w:val="single" w:color="auto" w:sz="4" w:space="0"/>
            </w:tcBorders>
            <w:shd w:val="clear" w:color="auto" w:fill="auto"/>
            <w:vAlign w:val="center"/>
          </w:tcPr>
          <w:p>
            <w:pPr>
              <w:pStyle w:val="182"/>
              <w:rPr>
                <w:color w:val="auto"/>
              </w:rPr>
            </w:pPr>
            <w:r>
              <w:rPr>
                <w:rFonts w:hint="eastAsia" w:hAnsi="宋体"/>
                <w:color w:val="auto"/>
                <w:szCs w:val="18"/>
              </w:rPr>
              <w:t>21</w:t>
            </w:r>
          </w:p>
        </w:tc>
        <w:tc>
          <w:tcPr>
            <w:tcW w:w="595" w:type="pct"/>
            <w:vMerge w:val="continue"/>
            <w:tcBorders>
              <w:bottom w:val="single" w:color="auto" w:sz="4" w:space="0"/>
            </w:tcBorders>
            <w:shd w:val="clear" w:color="auto" w:fill="auto"/>
            <w:vAlign w:val="center"/>
          </w:tcPr>
          <w:p>
            <w:pPr>
              <w:pStyle w:val="182"/>
              <w:rPr>
                <w:color w:val="auto"/>
              </w:rPr>
            </w:pPr>
          </w:p>
        </w:tc>
        <w:tc>
          <w:tcPr>
            <w:tcW w:w="3003" w:type="pct"/>
            <w:tcBorders>
              <w:bottom w:val="single" w:color="auto" w:sz="4" w:space="0"/>
            </w:tcBorders>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硬币识别的卡币率≥0.15‰</w:t>
            </w:r>
          </w:p>
        </w:tc>
        <w:tc>
          <w:tcPr>
            <w:tcW w:w="398"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398" w:type="pct"/>
            <w:tcBorders>
              <w:bottom w:val="single" w:color="auto" w:sz="4" w:space="0"/>
            </w:tcBorders>
            <w:shd w:val="clear" w:color="auto" w:fill="auto"/>
            <w:vAlign w:val="center"/>
          </w:tcPr>
          <w:p>
            <w:pPr>
              <w:pStyle w:val="182"/>
              <w:rPr>
                <w:color w:val="auto"/>
              </w:rPr>
            </w:pPr>
          </w:p>
        </w:tc>
        <w:tc>
          <w:tcPr>
            <w:tcW w:w="401" w:type="pct"/>
            <w:tcBorders>
              <w:bottom w:val="single" w:color="auto" w:sz="4" w:space="0"/>
            </w:tcBorders>
            <w:shd w:val="clear" w:color="auto" w:fill="auto"/>
            <w:vAlign w:val="center"/>
          </w:tcPr>
          <w:p>
            <w:pPr>
              <w:pStyle w:val="182"/>
              <w:rPr>
                <w:color w:val="auto"/>
              </w:rPr>
            </w:pP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表A.2  TVM问题内容</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4" w:space="0"/>
              <w:bottom w:val="single" w:color="auto" w:sz="4" w:space="0"/>
            </w:tcBorders>
            <w:shd w:val="clear" w:color="auto" w:fill="auto"/>
            <w:vAlign w:val="center"/>
          </w:tcPr>
          <w:p>
            <w:pPr>
              <w:pStyle w:val="182"/>
              <w:rPr>
                <w:color w:val="auto"/>
              </w:rPr>
            </w:pPr>
            <w:r>
              <w:rPr>
                <w:rFonts w:hint="eastAsia"/>
                <w:color w:val="auto"/>
              </w:rPr>
              <w:t>22</w:t>
            </w:r>
          </w:p>
        </w:tc>
        <w:tc>
          <w:tcPr>
            <w:tcW w:w="595"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性能要求</w:t>
            </w:r>
          </w:p>
        </w:tc>
        <w:tc>
          <w:tcPr>
            <w:tcW w:w="3003" w:type="pct"/>
            <w:tcBorders>
              <w:top w:val="single" w:color="auto" w:sz="4" w:space="0"/>
              <w:bottom w:val="single" w:color="auto" w:sz="4" w:space="0"/>
            </w:tcBorders>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0.1‰≤硬币识别的卡币率＜0.15‰</w:t>
            </w:r>
          </w:p>
        </w:tc>
        <w:tc>
          <w:tcPr>
            <w:tcW w:w="398" w:type="pct"/>
            <w:tcBorders>
              <w:top w:val="single" w:color="auto" w:sz="4" w:space="0"/>
              <w:bottom w:val="single" w:color="auto" w:sz="4" w:space="0"/>
            </w:tcBorders>
            <w:shd w:val="clear" w:color="auto" w:fill="auto"/>
            <w:vAlign w:val="center"/>
          </w:tcPr>
          <w:p>
            <w:pPr>
              <w:pStyle w:val="182"/>
              <w:rPr>
                <w:color w:val="auto"/>
              </w:rPr>
            </w:pPr>
          </w:p>
        </w:tc>
        <w:tc>
          <w:tcPr>
            <w:tcW w:w="398"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01"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4" w:space="0"/>
            </w:tcBorders>
            <w:shd w:val="clear" w:color="auto" w:fill="auto"/>
            <w:vAlign w:val="center"/>
          </w:tcPr>
          <w:p>
            <w:pPr>
              <w:pStyle w:val="182"/>
              <w:rPr>
                <w:color w:val="auto"/>
              </w:rPr>
            </w:pPr>
            <w:r>
              <w:rPr>
                <w:rFonts w:hint="eastAsia" w:hAnsi="宋体"/>
                <w:color w:val="auto"/>
                <w:szCs w:val="18"/>
              </w:rPr>
              <w:t>23</w:t>
            </w:r>
          </w:p>
        </w:tc>
        <w:tc>
          <w:tcPr>
            <w:tcW w:w="595" w:type="pct"/>
            <w:vMerge w:val="continue"/>
            <w:tcBorders>
              <w:top w:val="single" w:color="auto" w:sz="4" w:space="0"/>
            </w:tcBorders>
            <w:shd w:val="clear" w:color="auto" w:fill="auto"/>
            <w:vAlign w:val="center"/>
          </w:tcPr>
          <w:p>
            <w:pPr>
              <w:pStyle w:val="182"/>
              <w:rPr>
                <w:color w:val="auto"/>
              </w:rPr>
            </w:pPr>
          </w:p>
        </w:tc>
        <w:tc>
          <w:tcPr>
            <w:tcW w:w="3003" w:type="pct"/>
            <w:tcBorders>
              <w:top w:val="single" w:color="auto" w:sz="4" w:space="0"/>
            </w:tcBorders>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05</w:t>
            </w:r>
            <w:r>
              <w:rPr>
                <w:rFonts w:hint="eastAsia" w:hAnsi="宋体"/>
                <w:color w:val="auto"/>
                <w:szCs w:val="18"/>
              </w:rPr>
              <w:t>‰≤硬币识别的卡币率＜0.1‰</w:t>
            </w:r>
          </w:p>
        </w:tc>
        <w:tc>
          <w:tcPr>
            <w:tcW w:w="398" w:type="pct"/>
            <w:tcBorders>
              <w:top w:val="single" w:color="auto" w:sz="4" w:space="0"/>
            </w:tcBorders>
            <w:shd w:val="clear" w:color="auto" w:fill="auto"/>
            <w:vAlign w:val="center"/>
          </w:tcPr>
          <w:p>
            <w:pPr>
              <w:pStyle w:val="182"/>
              <w:rPr>
                <w:color w:val="auto"/>
              </w:rPr>
            </w:pPr>
          </w:p>
        </w:tc>
        <w:tc>
          <w:tcPr>
            <w:tcW w:w="398" w:type="pct"/>
            <w:tcBorders>
              <w:top w:val="single" w:color="auto" w:sz="4" w:space="0"/>
            </w:tcBorders>
            <w:shd w:val="clear" w:color="auto" w:fill="auto"/>
            <w:vAlign w:val="center"/>
          </w:tcPr>
          <w:p>
            <w:pPr>
              <w:pStyle w:val="182"/>
              <w:rPr>
                <w:color w:val="auto"/>
              </w:rPr>
            </w:pPr>
          </w:p>
        </w:tc>
        <w:tc>
          <w:tcPr>
            <w:tcW w:w="401"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硬币找零的卡币率≥0.15‰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1</w:t>
            </w:r>
            <w:r>
              <w:rPr>
                <w:rFonts w:hint="eastAsia" w:hAnsi="宋体"/>
                <w:color w:val="auto"/>
                <w:szCs w:val="18"/>
              </w:rPr>
              <w:t>‰≤硬币找零的卡币率＜0.15‰</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26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jc w:val="left"/>
              <w:rPr>
                <w:rFonts w:ascii="宋体" w:hAnsi="Times New Roman"/>
                <w:color w:val="auto"/>
                <w:sz w:val="18"/>
                <w:szCs w:val="18"/>
              </w:rPr>
            </w:pPr>
            <w:r>
              <w:rPr>
                <w:rFonts w:hint="eastAsia" w:ascii="宋体" w:hAnsi="宋体"/>
                <w:color w:val="auto"/>
                <w:sz w:val="18"/>
                <w:szCs w:val="18"/>
              </w:rPr>
              <w:t>硬币未到达指定位置，并阻塞传输通道造成模块/设备无法正常运行；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05</w:t>
            </w:r>
            <w:r>
              <w:rPr>
                <w:rFonts w:hint="eastAsia" w:hAnsi="宋体"/>
                <w:color w:val="auto"/>
                <w:szCs w:val="18"/>
              </w:rPr>
              <w:t>‰≤硬币找零的卡币率＜0.1‰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售票速度性能指标不符合技术标准要求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28</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29</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BOM问题内容的等级划分</w:t>
      </w:r>
    </w:p>
    <w:p>
      <w:pPr>
        <w:pStyle w:val="60"/>
        <w:ind w:firstLine="420"/>
        <w:rPr>
          <w:color w:val="auto"/>
        </w:rPr>
      </w:pPr>
      <w:r>
        <w:rPr>
          <w:rFonts w:hint="eastAsia"/>
          <w:color w:val="auto"/>
        </w:rPr>
        <w:t>BOM问题内容的等级划分</w:t>
      </w:r>
      <w:r>
        <w:rPr>
          <w:rFonts w:hint="eastAsia"/>
          <w:color w:val="auto"/>
          <w:lang w:val="en-US" w:eastAsia="zh-CN"/>
        </w:rPr>
        <w:t>应符合</w:t>
      </w:r>
      <w:r>
        <w:rPr>
          <w:rFonts w:hint="eastAsia"/>
          <w:color w:val="auto"/>
        </w:rPr>
        <w:t>表A.3。</w:t>
      </w:r>
    </w:p>
    <w:p>
      <w:pPr>
        <w:pStyle w:val="81"/>
        <w:spacing w:before="156" w:after="156"/>
        <w:rPr>
          <w:color w:val="auto"/>
        </w:rPr>
      </w:pPr>
      <w:r>
        <w:rPr>
          <w:rFonts w:hint="eastAsia"/>
          <w:color w:val="auto"/>
        </w:rPr>
        <w:t>BOM问题内容等级</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打印机问题</w:t>
            </w:r>
          </w:p>
        </w:tc>
        <w:tc>
          <w:tcPr>
            <w:tcW w:w="398" w:type="pct"/>
            <w:tcBorders>
              <w:top w:val="single" w:color="auto" w:sz="8" w:space="0"/>
            </w:tcBorders>
            <w:shd w:val="clear" w:color="auto" w:fill="auto"/>
            <w:vAlign w:val="center"/>
          </w:tcPr>
          <w:p>
            <w:pPr>
              <w:pStyle w:val="182"/>
              <w:rPr>
                <w:color w:val="auto"/>
              </w:rPr>
            </w:pP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无法通过票箱发售票卡</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无法处理一票通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无法处理一卡通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5</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发售票卡的卡票率≥0.15‰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0.1‰≤发售票卡的卡票率＜0.1</w:t>
            </w:r>
            <w:r>
              <w:rPr>
                <w:rFonts w:hint="eastAsia"/>
                <w:color w:val="auto"/>
                <w:szCs w:val="18"/>
              </w:rPr>
              <w:t>5</w:t>
            </w:r>
            <w:r>
              <w:rPr>
                <w:rFonts w:hint="eastAsia" w:hAnsi="宋体"/>
                <w:color w:val="auto"/>
                <w:szCs w:val="18"/>
              </w:rPr>
              <w:t>‰</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05</w:t>
            </w:r>
            <w:r>
              <w:rPr>
                <w:rFonts w:hint="eastAsia" w:hAnsi="宋体"/>
                <w:color w:val="auto"/>
                <w:szCs w:val="18"/>
              </w:rPr>
              <w:t>‰≤发售票卡的卡票率＜0.1‰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售票速度性能指标不符合技术标准要求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9</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10</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ITVM问题内容的等级划分</w:t>
      </w:r>
    </w:p>
    <w:p>
      <w:pPr>
        <w:pStyle w:val="60"/>
        <w:ind w:firstLine="420"/>
        <w:rPr>
          <w:color w:val="auto"/>
        </w:rPr>
      </w:pPr>
      <w:r>
        <w:rPr>
          <w:rFonts w:hint="eastAsia"/>
          <w:color w:val="auto"/>
        </w:rPr>
        <w:t>ITVM问题内容的等级划分</w:t>
      </w:r>
      <w:r>
        <w:rPr>
          <w:rFonts w:hint="eastAsia"/>
          <w:color w:val="auto"/>
          <w:lang w:val="en-US" w:eastAsia="zh-CN"/>
        </w:rPr>
        <w:t>应符合</w:t>
      </w:r>
      <w:r>
        <w:rPr>
          <w:rFonts w:hint="eastAsia"/>
          <w:color w:val="auto"/>
        </w:rPr>
        <w:t>A.4。</w:t>
      </w:r>
    </w:p>
    <w:p>
      <w:pPr>
        <w:pStyle w:val="81"/>
        <w:spacing w:before="156" w:after="156"/>
        <w:rPr>
          <w:color w:val="auto"/>
        </w:rPr>
      </w:pPr>
      <w:r>
        <w:rPr>
          <w:rFonts w:hint="eastAsia"/>
          <w:color w:val="auto"/>
        </w:rPr>
        <w:t>ITVM问题内容等级</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打印机问题</w:t>
            </w:r>
          </w:p>
        </w:tc>
        <w:tc>
          <w:tcPr>
            <w:tcW w:w="398" w:type="pct"/>
            <w:tcBorders>
              <w:top w:val="single" w:color="auto" w:sz="8" w:space="0"/>
            </w:tcBorders>
            <w:shd w:val="clear" w:color="auto" w:fill="auto"/>
            <w:vAlign w:val="center"/>
          </w:tcPr>
          <w:p>
            <w:pPr>
              <w:pStyle w:val="182"/>
              <w:rPr>
                <w:color w:val="auto"/>
              </w:rPr>
            </w:pP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无法通过票箱发售票卡</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无法处理一票通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无法处理一卡通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5</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发售票卡的卡票率≥0.15‰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0.1‰≤发售票卡的卡票率＜0.1</w:t>
            </w:r>
            <w:r>
              <w:rPr>
                <w:rFonts w:hint="eastAsia"/>
                <w:color w:val="auto"/>
                <w:szCs w:val="18"/>
              </w:rPr>
              <w:t>5</w:t>
            </w:r>
            <w:r>
              <w:rPr>
                <w:rFonts w:hint="eastAsia" w:hAnsi="宋体"/>
                <w:color w:val="auto"/>
                <w:szCs w:val="18"/>
              </w:rPr>
              <w:t>‰</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05</w:t>
            </w:r>
            <w:r>
              <w:rPr>
                <w:rFonts w:hint="eastAsia" w:hAnsi="宋体"/>
                <w:color w:val="auto"/>
                <w:szCs w:val="18"/>
              </w:rPr>
              <w:t>‰≤发售票卡的卡票率＜0.1‰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售票速度性能指标不符合技术标准要求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9</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10</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TSM问题内容的等级划分</w:t>
      </w:r>
    </w:p>
    <w:p>
      <w:pPr>
        <w:pStyle w:val="60"/>
        <w:ind w:firstLine="420"/>
        <w:rPr>
          <w:color w:val="auto"/>
        </w:rPr>
      </w:pPr>
      <w:r>
        <w:rPr>
          <w:rFonts w:hint="eastAsia"/>
          <w:color w:val="auto"/>
        </w:rPr>
        <w:t>TSM问题内容的等级划分</w:t>
      </w:r>
      <w:r>
        <w:rPr>
          <w:rFonts w:hint="eastAsia"/>
          <w:color w:val="auto"/>
          <w:lang w:val="en-US" w:eastAsia="zh-CN"/>
        </w:rPr>
        <w:t>应符合</w:t>
      </w:r>
      <w:r>
        <w:rPr>
          <w:rFonts w:hint="eastAsia"/>
          <w:color w:val="auto"/>
        </w:rPr>
        <w:t>A.5。</w:t>
      </w:r>
    </w:p>
    <w:p>
      <w:pPr>
        <w:pStyle w:val="81"/>
        <w:spacing w:before="156" w:after="156"/>
        <w:rPr>
          <w:color w:val="auto"/>
        </w:rPr>
      </w:pPr>
      <w:r>
        <w:rPr>
          <w:rFonts w:hint="eastAsia"/>
          <w:color w:val="auto"/>
        </w:rPr>
        <w:t>TSM问题内容等级</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打印机问题</w:t>
            </w:r>
          </w:p>
        </w:tc>
        <w:tc>
          <w:tcPr>
            <w:tcW w:w="398" w:type="pct"/>
            <w:tcBorders>
              <w:top w:val="single" w:color="auto" w:sz="8" w:space="0"/>
            </w:tcBorders>
            <w:shd w:val="clear" w:color="auto" w:fill="auto"/>
            <w:vAlign w:val="center"/>
          </w:tcPr>
          <w:p>
            <w:pPr>
              <w:pStyle w:val="182"/>
              <w:rPr>
                <w:color w:val="auto"/>
              </w:rPr>
            </w:pP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无法通过票箱发售票卡</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无法处理一票通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无法处理一卡通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5</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发售票卡的卡票率≥0.15‰</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0.1‰≤发售票卡的卡票率＜0.1</w:t>
            </w:r>
            <w:r>
              <w:rPr>
                <w:rFonts w:hint="eastAsia"/>
                <w:color w:val="auto"/>
                <w:szCs w:val="18"/>
              </w:rPr>
              <w:t>5</w:t>
            </w:r>
            <w:r>
              <w:rPr>
                <w:rFonts w:hint="eastAsia" w:hAnsi="宋体"/>
                <w:color w:val="auto"/>
                <w:szCs w:val="18"/>
              </w:rPr>
              <w:t>‰</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rPr>
                <w:rFonts w:ascii="宋体" w:hAnsi="Times New Roman"/>
                <w:color w:val="auto"/>
                <w:sz w:val="18"/>
                <w:szCs w:val="18"/>
              </w:rPr>
            </w:pPr>
            <w:r>
              <w:rPr>
                <w:rFonts w:hint="eastAsia" w:ascii="宋体" w:hAnsi="宋体"/>
                <w:color w:val="auto"/>
                <w:sz w:val="18"/>
                <w:szCs w:val="18"/>
              </w:rPr>
              <w:t>票卡未到达指定位置，并阻塞传输通道造成模块/设备无法正常运行;</w:t>
            </w:r>
          </w:p>
          <w:p>
            <w:pPr>
              <w:pStyle w:val="182"/>
              <w:jc w:val="left"/>
              <w:rPr>
                <w:color w:val="auto"/>
              </w:rPr>
            </w:pPr>
            <w:r>
              <w:rPr>
                <w:rFonts w:hint="eastAsia" w:hAnsi="宋体"/>
                <w:color w:val="auto"/>
                <w:szCs w:val="18"/>
              </w:rPr>
              <w:t>0.</w:t>
            </w:r>
            <w:r>
              <w:rPr>
                <w:rFonts w:hint="eastAsia"/>
                <w:color w:val="auto"/>
                <w:szCs w:val="18"/>
              </w:rPr>
              <w:t>05</w:t>
            </w:r>
            <w:r>
              <w:rPr>
                <w:rFonts w:hint="eastAsia" w:hAnsi="宋体"/>
                <w:color w:val="auto"/>
                <w:szCs w:val="18"/>
              </w:rPr>
              <w:t>‰≤发售票卡的卡票率＜0.1‰</w:t>
            </w:r>
          </w:p>
        </w:tc>
        <w:tc>
          <w:tcPr>
            <w:tcW w:w="398" w:type="pct"/>
            <w:shd w:val="clear" w:color="auto" w:fill="auto"/>
            <w:vAlign w:val="center"/>
          </w:tcPr>
          <w:p>
            <w:pPr>
              <w:pStyle w:val="182"/>
              <w:rPr>
                <w:color w:val="auto"/>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售票速度性能指标不符合技术标准要求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9</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10</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PCA问题内容的等级划分</w:t>
      </w:r>
    </w:p>
    <w:p>
      <w:pPr>
        <w:pStyle w:val="60"/>
        <w:ind w:firstLine="420"/>
        <w:rPr>
          <w:color w:val="auto"/>
        </w:rPr>
      </w:pPr>
      <w:r>
        <w:rPr>
          <w:rFonts w:hint="eastAsia"/>
          <w:color w:val="auto"/>
        </w:rPr>
        <w:t>PCA问题内容的等级划分</w:t>
      </w:r>
      <w:r>
        <w:rPr>
          <w:rFonts w:hint="eastAsia"/>
          <w:color w:val="auto"/>
          <w:lang w:val="en-US" w:eastAsia="zh-CN"/>
        </w:rPr>
        <w:t>应符合</w:t>
      </w:r>
      <w:r>
        <w:rPr>
          <w:rFonts w:hint="eastAsia"/>
          <w:color w:val="auto"/>
        </w:rPr>
        <w:t>表A.6。</w:t>
      </w:r>
    </w:p>
    <w:p>
      <w:pPr>
        <w:pStyle w:val="81"/>
        <w:spacing w:before="156" w:after="156"/>
        <w:rPr>
          <w:color w:val="auto"/>
        </w:rPr>
      </w:pPr>
      <w:r>
        <w:rPr>
          <w:rFonts w:hint="eastAsia"/>
          <w:color w:val="auto"/>
        </w:rPr>
        <w:t>PCA问题内容等级</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无法处理一票通</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无法处理一卡通</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3</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color w:val="auto"/>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color w:val="auto"/>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车票发售模块问题内容的等级划分</w:t>
      </w:r>
    </w:p>
    <w:p>
      <w:pPr>
        <w:pStyle w:val="60"/>
        <w:ind w:firstLine="420"/>
        <w:rPr>
          <w:color w:val="auto"/>
        </w:rPr>
      </w:pPr>
      <w:r>
        <w:rPr>
          <w:rFonts w:hint="eastAsia"/>
          <w:color w:val="auto"/>
        </w:rPr>
        <w:t>车票发售模块问题内容的等级划分</w:t>
      </w:r>
      <w:r>
        <w:rPr>
          <w:rFonts w:hint="eastAsia"/>
          <w:color w:val="auto"/>
          <w:lang w:val="en-US" w:eastAsia="zh-CN"/>
        </w:rPr>
        <w:t>应符合</w:t>
      </w:r>
      <w:r>
        <w:rPr>
          <w:rFonts w:hint="eastAsia"/>
          <w:color w:val="auto"/>
        </w:rPr>
        <w:t>表A.7。</w:t>
      </w:r>
    </w:p>
    <w:p>
      <w:pPr>
        <w:pStyle w:val="81"/>
        <w:spacing w:before="156" w:after="156"/>
        <w:rPr>
          <w:color w:val="auto"/>
        </w:rPr>
      </w:pPr>
      <w:r>
        <w:rPr>
          <w:rFonts w:hint="eastAsia"/>
          <w:color w:val="auto"/>
        </w:rPr>
        <w:t>车票发售模块问题内容等级划分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备票功能不符合技术标准要求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送票功能不符合技术标准要求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票卡发售功能不符合技术标准要求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清理通道功能不符合技术标准要求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票箱状态报警功能不符合技术标准要求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票箱切换不符合技术标准要求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固件升级功能不符合技术标准要求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票卡发售处理速度（不考虑读写处理时间）不符合技术标准要求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储票箱数量不符合技术标准要求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废票箱总容量不符合技术标准要求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储票箱总容量不符合技术标准要求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车票回收模块问题内容的等级划分</w:t>
      </w:r>
    </w:p>
    <w:p>
      <w:pPr>
        <w:pStyle w:val="60"/>
        <w:ind w:firstLine="420"/>
        <w:rPr>
          <w:color w:val="auto"/>
        </w:rPr>
      </w:pPr>
      <w:r>
        <w:rPr>
          <w:rFonts w:hint="eastAsia"/>
          <w:color w:val="auto"/>
        </w:rPr>
        <w:t>车票回收模块问题内容的等级划分</w:t>
      </w:r>
      <w:r>
        <w:rPr>
          <w:rFonts w:hint="eastAsia"/>
          <w:color w:val="auto"/>
          <w:lang w:val="en-US" w:eastAsia="zh-CN"/>
        </w:rPr>
        <w:t>应符合</w:t>
      </w:r>
      <w:r>
        <w:rPr>
          <w:rFonts w:hint="eastAsia"/>
          <w:color w:val="auto"/>
        </w:rPr>
        <w:t>表A.8。</w:t>
      </w:r>
    </w:p>
    <w:p>
      <w:pPr>
        <w:pStyle w:val="81"/>
        <w:spacing w:before="156" w:after="156"/>
        <w:rPr>
          <w:color w:val="auto"/>
        </w:rPr>
      </w:pPr>
      <w:r>
        <w:rPr>
          <w:rFonts w:hint="eastAsia"/>
          <w:color w:val="auto"/>
        </w:rPr>
        <w:t>车票回收模块问题内容等级划分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吸卡功能不符合技术标准要求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收纳功能不符合技术标准要求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退卡功能不符合技术标准要求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防止插卡功能不符合技术标准要求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废票回收功能不符合技术标准要求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票箱切换功能不符合技术标准要求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票箱状态报警功能不符合技术标准要求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固件升级功能不符合技术标准要求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9</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票卡回收处理速度（不考虑读写处理时间）不符合技术标准要求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储票箱数量不符合技术标准要求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废票箱总容量不符合技术标准要求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储票箱总容量不符合技术标准要求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14</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闸门及通行控制装置问题内容的等级划分</w:t>
      </w:r>
    </w:p>
    <w:p>
      <w:pPr>
        <w:pStyle w:val="60"/>
        <w:ind w:firstLine="420"/>
        <w:rPr>
          <w:color w:val="auto"/>
        </w:rPr>
      </w:pPr>
      <w:r>
        <w:rPr>
          <w:rFonts w:hint="eastAsia"/>
          <w:color w:val="auto"/>
        </w:rPr>
        <w:t>闸门及通行控制装置问题内容的等级划分</w:t>
      </w:r>
      <w:r>
        <w:rPr>
          <w:rFonts w:hint="eastAsia"/>
          <w:color w:val="auto"/>
          <w:lang w:val="en-US" w:eastAsia="zh-CN"/>
        </w:rPr>
        <w:t>应符合</w:t>
      </w:r>
      <w:r>
        <w:rPr>
          <w:rFonts w:hint="eastAsia"/>
          <w:color w:val="auto"/>
        </w:rPr>
        <w:t>表A.9。</w:t>
      </w:r>
    </w:p>
    <w:p>
      <w:pPr>
        <w:pStyle w:val="81"/>
        <w:spacing w:before="156" w:after="156"/>
        <w:rPr>
          <w:color w:val="auto"/>
        </w:rPr>
      </w:pPr>
      <w:r>
        <w:rPr>
          <w:rFonts w:hint="eastAsia"/>
          <w:color w:val="auto"/>
        </w:rPr>
        <w:t>闸门及通行控制装置问题内容等级划分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失电放行功能不符合技术标准要求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模式设置功能不符合技术标准要求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安全控制功能不符合技术标准要求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通行控制功能不符合技术标准要求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其他功能不符合技术标准要求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与FAS系统的联动功能不符合技术标准要求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固件升级功能不符合技术标准要求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宽通道扇门运行时间不符合技术标准要求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标准通道扇门运行时间不符合技术标准要求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锁死力不符合技术标准要求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硬币处理模块问题内容的等级划分</w:t>
      </w:r>
    </w:p>
    <w:p>
      <w:pPr>
        <w:pStyle w:val="60"/>
        <w:ind w:firstLine="420"/>
        <w:rPr>
          <w:color w:val="auto"/>
        </w:rPr>
      </w:pPr>
      <w:r>
        <w:rPr>
          <w:rFonts w:hint="eastAsia"/>
          <w:color w:val="auto"/>
        </w:rPr>
        <w:t>硬币处理模块问题内容的等级划分</w:t>
      </w:r>
      <w:r>
        <w:rPr>
          <w:rFonts w:hint="eastAsia"/>
          <w:color w:val="auto"/>
          <w:lang w:val="en-US" w:eastAsia="zh-CN"/>
        </w:rPr>
        <w:t>应符合</w:t>
      </w:r>
      <w:r>
        <w:rPr>
          <w:rFonts w:hint="eastAsia"/>
          <w:color w:val="auto"/>
        </w:rPr>
        <w:t>表A.10。</w:t>
      </w:r>
    </w:p>
    <w:p>
      <w:pPr>
        <w:pStyle w:val="81"/>
        <w:spacing w:before="156" w:after="156"/>
        <w:rPr>
          <w:color w:val="auto"/>
        </w:rPr>
      </w:pPr>
      <w:r>
        <w:rPr>
          <w:rFonts w:hint="eastAsia"/>
          <w:color w:val="auto"/>
        </w:rPr>
        <w:t>硬币处理模块问题内容等级划分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硬币识别接收功能不符合技术标准要求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原币返还功能不符合技术标准要求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循环找零功能不符合技术标准要求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专用找零功能不符合技术标准要求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清币功能不符合技术标准要求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固件升级功能不符合技术标准要求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7</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硬币识别器假币拒收率不符合技术标准要求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硬币识别器真币接收率不符合技术标准要求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硬币识别器识别能力不符合技术标准要求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硬币识别器单枚识别时间不符合技术标准要求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硬币识别器寿命不符合技术标准要求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主找零器数量不符合技术标准要求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主找零器容量不符合技术标准要求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主找零器寿命不符合技术标准要求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主找零器找零速度不符合技术标准要求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主找零器清空率不符合技术标准要求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缓存找零器数量不符合技术标准要求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缓存找零器容量不符合技术标准要求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缓存找零器寿命不符合技术标准要求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缓存找零器找零速度不符合技术标准要求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缓存找零器清空率不符合技术标准要求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硬币暂存器数量不符合技术标准要求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硬币暂存器容量不符合技术标准要求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24</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25</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纸币接收模块问题内容的等级划分</w:t>
      </w:r>
    </w:p>
    <w:p>
      <w:pPr>
        <w:pStyle w:val="60"/>
        <w:ind w:firstLine="420"/>
        <w:rPr>
          <w:color w:val="auto"/>
        </w:rPr>
      </w:pPr>
      <w:r>
        <w:rPr>
          <w:rFonts w:hint="eastAsia"/>
          <w:color w:val="auto"/>
        </w:rPr>
        <w:t>纸币接收模块问题内容的等级划分</w:t>
      </w:r>
      <w:r>
        <w:rPr>
          <w:rFonts w:hint="eastAsia"/>
          <w:color w:val="auto"/>
          <w:lang w:val="en-US" w:eastAsia="zh-CN"/>
        </w:rPr>
        <w:t>应符合</w:t>
      </w:r>
      <w:r>
        <w:rPr>
          <w:rFonts w:hint="eastAsia"/>
          <w:color w:val="auto"/>
        </w:rPr>
        <w:t>表A.11</w:t>
      </w:r>
      <w:r>
        <w:rPr>
          <w:rFonts w:hint="eastAsia"/>
          <w:color w:val="auto"/>
          <w:lang w:eastAsia="zh-CN"/>
        </w:rPr>
        <w:t>。</w:t>
      </w:r>
    </w:p>
    <w:p>
      <w:pPr>
        <w:pStyle w:val="81"/>
        <w:spacing w:before="156" w:after="156"/>
        <w:rPr>
          <w:color w:val="auto"/>
        </w:rPr>
      </w:pPr>
      <w:r>
        <w:rPr>
          <w:rFonts w:hint="eastAsia"/>
          <w:color w:val="auto"/>
        </w:rPr>
        <w:t>纸币接收模块问题内容等级划分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钞票纠正功能不符合技术标准要求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识别功能不符合技术标准要求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退币功能不符合技术标准要求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叠钞功能不符合技术标准要求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暂存功能不符合技术标准要求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传送压箱功能不符合技术标准要求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固件升级功能不符合技术标准要求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钱箱互锁功能不符合技术标准要求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日志记录功能不符合技术标准要求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状态监测功能不符合技术标准要求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单张识别时间不符合技术标准要求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一次真钞接收率不符合技术标准要求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假币拒收率不符合技术标准要求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支持钞票种类不符合技术标准要求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识别采样手段不符合技术标准要求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纸币暂存张数不符合技术标准要求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纸币钱箱容量不符合技术标准要求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18</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19</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纸币找零模块问题内容的等级划分</w:t>
      </w:r>
    </w:p>
    <w:p>
      <w:pPr>
        <w:pStyle w:val="60"/>
        <w:ind w:firstLine="420"/>
        <w:rPr>
          <w:color w:val="auto"/>
        </w:rPr>
      </w:pPr>
      <w:r>
        <w:rPr>
          <w:rFonts w:hint="eastAsia"/>
          <w:color w:val="auto"/>
        </w:rPr>
        <w:t>纸币找零模块问题内容的等级划分</w:t>
      </w:r>
      <w:r>
        <w:rPr>
          <w:rFonts w:hint="eastAsia"/>
          <w:color w:val="auto"/>
          <w:lang w:val="en-US" w:eastAsia="zh-CN"/>
        </w:rPr>
        <w:t>应符合</w:t>
      </w:r>
      <w:r>
        <w:rPr>
          <w:rFonts w:hint="eastAsia"/>
          <w:color w:val="auto"/>
        </w:rPr>
        <w:t>表A.12。</w:t>
      </w:r>
    </w:p>
    <w:p>
      <w:pPr>
        <w:pStyle w:val="81"/>
        <w:spacing w:before="156" w:after="156"/>
        <w:rPr>
          <w:color w:val="auto"/>
        </w:rPr>
      </w:pPr>
      <w:r>
        <w:rPr>
          <w:rFonts w:hint="eastAsia"/>
          <w:color w:val="auto"/>
        </w:rPr>
        <w:t>纸币找零模块问题内容等级划分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拾钞功能不符合技术标准要求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分钞功能不符合技术标准要求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验钞功能不符合技术标准要求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回收功能不符合技术标准要求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传送功能不符合技术标准要求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少钞检测功能不符合技术标准要求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纸币自学习功能不符合技术标准要求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日志记录功能不符合技术标准要求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脱机诊断分析功能不符合技术标准要求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固件升级功能不符合技术标准要求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出钞速度不符合技术标准要求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回收率不符合技术标准要求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卡钞率不符合技术标准要求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纸币找零钱箱容量不符合技术标准要求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纸币找零钱箱数量不符合技术标准要求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16</w:t>
            </w:r>
          </w:p>
        </w:tc>
        <w:tc>
          <w:tcPr>
            <w:tcW w:w="595" w:type="pc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color w:val="auto"/>
              </w:rPr>
            </w:pPr>
            <w:r>
              <w:rPr>
                <w:rFonts w:hint="eastAsia" w:hAnsi="宋体"/>
                <w:color w:val="auto"/>
                <w:szCs w:val="18"/>
              </w:rPr>
              <w:t>17</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二维码模块问题内容的等级划分</w:t>
      </w:r>
    </w:p>
    <w:p>
      <w:pPr>
        <w:pStyle w:val="60"/>
        <w:ind w:firstLine="420"/>
        <w:rPr>
          <w:color w:val="auto"/>
        </w:rPr>
      </w:pPr>
      <w:r>
        <w:rPr>
          <w:rFonts w:hint="eastAsia"/>
          <w:color w:val="auto"/>
        </w:rPr>
        <w:t>二维码模块问题内容的等级划分</w:t>
      </w:r>
      <w:r>
        <w:rPr>
          <w:rFonts w:hint="eastAsia"/>
          <w:color w:val="auto"/>
          <w:lang w:val="en-US" w:eastAsia="zh-CN"/>
        </w:rPr>
        <w:t>应符合</w:t>
      </w:r>
      <w:r>
        <w:rPr>
          <w:rFonts w:hint="eastAsia"/>
          <w:color w:val="auto"/>
        </w:rPr>
        <w:t>表A.13。</w:t>
      </w:r>
    </w:p>
    <w:p>
      <w:pPr>
        <w:pStyle w:val="81"/>
        <w:spacing w:before="156" w:after="156"/>
        <w:rPr>
          <w:color w:val="auto"/>
        </w:rPr>
      </w:pPr>
      <w:r>
        <w:rPr>
          <w:rFonts w:hint="eastAsia"/>
          <w:color w:val="auto"/>
        </w:rPr>
        <w:t>二维码模块问题内容等级划分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业务处理功能不符合技术标准要求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远程监控功能不符合技术标准要求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识别功能不符合技术标准要求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照明功能不符合技术标准要求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提示功能不符合技术标准要求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固件升级功能不符合技术标准要求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7</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识别精度不符合技术标准要求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灵敏度不符合技术标准要求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视场角度不符合技术标准要求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识别高度不符合技术标准要求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识读速度不符合技术标准要求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环境照度不符合技术标准要求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13</w:t>
            </w:r>
          </w:p>
        </w:tc>
        <w:tc>
          <w:tcPr>
            <w:tcW w:w="595" w:type="pct"/>
            <w:vMerge w:val="restart"/>
            <w:shd w:val="clear" w:color="auto" w:fill="auto"/>
            <w:vAlign w:val="center"/>
          </w:tcPr>
          <w:p>
            <w:pPr>
              <w:pStyle w:val="182"/>
              <w:rPr>
                <w:color w:val="auto"/>
              </w:rPr>
            </w:pPr>
            <w:r>
              <w:rPr>
                <w:rFonts w:hint="eastAsia"/>
                <w:color w:val="auto"/>
              </w:rPr>
              <w:t>外观与结构</w:t>
            </w:r>
          </w:p>
        </w:tc>
        <w:tc>
          <w:tcPr>
            <w:tcW w:w="3003" w:type="pct"/>
            <w:shd w:val="clear" w:color="auto" w:fill="auto"/>
            <w:vAlign w:val="center"/>
          </w:tcPr>
          <w:p>
            <w:pPr>
              <w:pStyle w:val="182"/>
              <w:jc w:val="left"/>
              <w:rPr>
                <w:color w:val="auto"/>
              </w:rPr>
            </w:pPr>
            <w:r>
              <w:rPr>
                <w:rFonts w:hint="eastAsia" w:hAnsi="宋体"/>
                <w:color w:val="auto"/>
                <w:szCs w:val="18"/>
              </w:rPr>
              <w:t>二维码模块外形尺寸不符合技术标准要求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二维码物理尺寸超出</w:t>
            </w:r>
            <w:r>
              <w:rPr>
                <w:rFonts w:hint="eastAsia"/>
                <w:color w:val="auto"/>
                <w:szCs w:val="18"/>
              </w:rPr>
              <w:t>3.5cm</w:t>
            </w:r>
            <w:r>
              <w:rPr>
                <w:rFonts w:hint="eastAsia" w:ascii="Times New Roman"/>
                <w:color w:val="auto"/>
                <w:szCs w:val="18"/>
              </w:rPr>
              <w:t>±</w:t>
            </w:r>
            <w:r>
              <w:rPr>
                <w:rFonts w:hint="eastAsia" w:hAnsi="宋体"/>
                <w:color w:val="auto"/>
                <w:szCs w:val="18"/>
              </w:rPr>
              <w:t>0.2cm范围，且未超出</w:t>
            </w:r>
            <w:r>
              <w:rPr>
                <w:rFonts w:hint="eastAsia"/>
                <w:color w:val="auto"/>
                <w:szCs w:val="18"/>
              </w:rPr>
              <w:t>3.5cm</w:t>
            </w:r>
            <w:r>
              <w:rPr>
                <w:rFonts w:hint="eastAsia" w:ascii="Times New Roman"/>
                <w:color w:val="auto"/>
                <w:szCs w:val="18"/>
              </w:rPr>
              <w:t>±</w:t>
            </w:r>
            <w:r>
              <w:rPr>
                <w:rFonts w:hint="eastAsia" w:hAnsi="宋体"/>
                <w:color w:val="auto"/>
                <w:szCs w:val="18"/>
              </w:rPr>
              <w:t>0.5cm范围</w:t>
            </w:r>
          </w:p>
        </w:tc>
        <w:tc>
          <w:tcPr>
            <w:tcW w:w="398" w:type="pct"/>
            <w:shd w:val="clear" w:color="auto" w:fill="auto"/>
            <w:vAlign w:val="center"/>
          </w:tcPr>
          <w:p>
            <w:pPr>
              <w:pStyle w:val="182"/>
              <w:rPr>
                <w:rFonts w:hint="eastAsia" w:hAnsi="宋体"/>
                <w:color w:val="auto"/>
                <w:szCs w:val="18"/>
              </w:rPr>
            </w:pP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二维码物理尺寸超出</w:t>
            </w:r>
            <w:r>
              <w:rPr>
                <w:rFonts w:hint="eastAsia"/>
                <w:color w:val="auto"/>
                <w:szCs w:val="18"/>
              </w:rPr>
              <w:t>3.5cm</w:t>
            </w:r>
            <w:r>
              <w:rPr>
                <w:rFonts w:hint="eastAsia" w:ascii="Times New Roman"/>
                <w:color w:val="auto"/>
                <w:szCs w:val="18"/>
              </w:rPr>
              <w:t>±</w:t>
            </w:r>
            <w:r>
              <w:rPr>
                <w:rFonts w:hint="eastAsia" w:hAnsi="宋体"/>
                <w:color w:val="auto"/>
                <w:szCs w:val="18"/>
              </w:rPr>
              <w:t>0.5cm范围，且未超出</w:t>
            </w:r>
            <w:r>
              <w:rPr>
                <w:rFonts w:hint="eastAsia"/>
                <w:color w:val="auto"/>
                <w:szCs w:val="18"/>
              </w:rPr>
              <w:t>3.5cm</w:t>
            </w:r>
            <w:r>
              <w:rPr>
                <w:rFonts w:hint="eastAsia" w:ascii="Times New Roman"/>
                <w:color w:val="auto"/>
                <w:szCs w:val="18"/>
              </w:rPr>
              <w:t>±</w:t>
            </w:r>
            <w:r>
              <w:rPr>
                <w:rFonts w:hint="eastAsia" w:hAnsi="宋体"/>
                <w:color w:val="auto"/>
                <w:szCs w:val="18"/>
              </w:rPr>
              <w:t>1 cm范围</w:t>
            </w:r>
          </w:p>
        </w:tc>
        <w:tc>
          <w:tcPr>
            <w:tcW w:w="398" w:type="pct"/>
            <w:shd w:val="clear" w:color="auto" w:fill="auto"/>
            <w:vAlign w:val="center"/>
          </w:tcPr>
          <w:p>
            <w:pPr>
              <w:pStyle w:val="182"/>
              <w:rPr>
                <w:rFonts w:hint="eastAsia" w:hAnsi="宋体"/>
                <w:color w:val="auto"/>
                <w:szCs w:val="18"/>
              </w:rPr>
            </w:pPr>
          </w:p>
        </w:tc>
        <w:tc>
          <w:tcPr>
            <w:tcW w:w="398" w:type="pct"/>
            <w:shd w:val="clear" w:color="auto" w:fill="auto"/>
            <w:vAlign w:val="center"/>
          </w:tcPr>
          <w:p>
            <w:pPr>
              <w:pStyle w:val="182"/>
              <w:rPr>
                <w:color w:val="auto"/>
              </w:rPr>
            </w:pPr>
            <w:r>
              <w:rPr>
                <w:rFonts w:hint="eastAsia" w:hAnsi="宋体"/>
                <w:color w:val="auto"/>
                <w:szCs w:val="18"/>
              </w:rPr>
              <w:t>√</w:t>
            </w: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二维码物理尺寸超出</w:t>
            </w:r>
            <w:r>
              <w:rPr>
                <w:rFonts w:hint="eastAsia"/>
                <w:color w:val="auto"/>
                <w:szCs w:val="18"/>
              </w:rPr>
              <w:t>3.5cm</w:t>
            </w:r>
            <w:r>
              <w:rPr>
                <w:rFonts w:hint="eastAsia" w:ascii="Times New Roman"/>
                <w:color w:val="auto"/>
                <w:szCs w:val="18"/>
              </w:rPr>
              <w:t>±</w:t>
            </w:r>
            <w:r>
              <w:rPr>
                <w:rFonts w:hint="eastAsia" w:hAnsi="宋体"/>
                <w:color w:val="auto"/>
                <w:szCs w:val="18"/>
              </w:rPr>
              <w:t>1 cm范围</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17</w:t>
            </w:r>
          </w:p>
        </w:tc>
        <w:tc>
          <w:tcPr>
            <w:tcW w:w="595" w:type="pct"/>
            <w:vMerge w:val="restart"/>
            <w:shd w:val="clear" w:color="auto" w:fill="auto"/>
            <w:vAlign w:val="center"/>
          </w:tcPr>
          <w:p>
            <w:pPr>
              <w:pStyle w:val="182"/>
              <w:rPr>
                <w:color w:val="auto"/>
              </w:rPr>
            </w:pPr>
            <w:r>
              <w:rPr>
                <w:rFonts w:hint="eastAsia"/>
                <w:color w:val="auto"/>
              </w:rPr>
              <w:t>配置要求</w:t>
            </w:r>
          </w:p>
        </w:tc>
        <w:tc>
          <w:tcPr>
            <w:tcW w:w="3003" w:type="pct"/>
            <w:shd w:val="clear" w:color="auto" w:fill="auto"/>
            <w:vAlign w:val="center"/>
          </w:tcPr>
          <w:p>
            <w:pPr>
              <w:pStyle w:val="182"/>
              <w:jc w:val="left"/>
              <w:rPr>
                <w:color w:val="auto"/>
              </w:rPr>
            </w:pPr>
            <w:r>
              <w:rPr>
                <w:rFonts w:hint="eastAsia" w:hAnsi="宋体"/>
                <w:color w:val="auto"/>
                <w:szCs w:val="18"/>
              </w:rPr>
              <w:t>硬件配置不符合技术标准要求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软件配置不符合技术标准要求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接口要求不符合技术标准要求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3"/>
        <w:spacing w:before="156" w:after="156"/>
        <w:rPr>
          <w:color w:val="auto"/>
        </w:rPr>
      </w:pPr>
      <w:r>
        <w:rPr>
          <w:rFonts w:hint="eastAsia"/>
          <w:color w:val="auto"/>
        </w:rPr>
        <w:t>TPU问题内容的等级划分</w:t>
      </w:r>
    </w:p>
    <w:p>
      <w:pPr>
        <w:pStyle w:val="60"/>
        <w:ind w:firstLine="420"/>
        <w:rPr>
          <w:color w:val="auto"/>
        </w:rPr>
      </w:pPr>
      <w:r>
        <w:rPr>
          <w:rFonts w:hint="eastAsia"/>
          <w:color w:val="auto"/>
        </w:rPr>
        <w:t>TPU问题内容的等级划分</w:t>
      </w:r>
      <w:r>
        <w:rPr>
          <w:rFonts w:hint="eastAsia"/>
          <w:color w:val="auto"/>
          <w:lang w:val="en-US" w:eastAsia="zh-CN"/>
        </w:rPr>
        <w:t>应符合</w:t>
      </w:r>
      <w:r>
        <w:rPr>
          <w:rFonts w:hint="eastAsia"/>
          <w:color w:val="auto"/>
        </w:rPr>
        <w:t>表A.14：</w:t>
      </w:r>
    </w:p>
    <w:p>
      <w:pPr>
        <w:pStyle w:val="81"/>
        <w:spacing w:before="156" w:after="156"/>
        <w:rPr>
          <w:color w:val="auto"/>
        </w:rPr>
      </w:pPr>
      <w:r>
        <w:rPr>
          <w:rFonts w:hint="eastAsia"/>
          <w:color w:val="auto"/>
        </w:rPr>
        <w:t>TPU问题内容等级划分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595" w:type="pct"/>
            <w:vMerge w:val="restart"/>
            <w:tcBorders>
              <w:top w:val="single" w:color="auto" w:sz="8" w:space="0"/>
            </w:tcBorders>
            <w:shd w:val="clear" w:color="auto" w:fill="auto"/>
            <w:vAlign w:val="center"/>
          </w:tcPr>
          <w:p>
            <w:pPr>
              <w:pStyle w:val="182"/>
              <w:rPr>
                <w:color w:val="auto"/>
              </w:rPr>
            </w:pPr>
            <w:r>
              <w:rPr>
                <w:rFonts w:hint="eastAsia"/>
                <w:color w:val="auto"/>
              </w:rPr>
              <w:t>功能要求</w:t>
            </w:r>
          </w:p>
        </w:tc>
        <w:tc>
          <w:tcPr>
            <w:tcW w:w="3003"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初始化TPU不符合技术标准要求</w:t>
            </w:r>
          </w:p>
        </w:tc>
        <w:tc>
          <w:tcPr>
            <w:tcW w:w="398"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398" w:type="pct"/>
            <w:tcBorders>
              <w:top w:val="single" w:color="auto" w:sz="8" w:space="0"/>
            </w:tcBorders>
            <w:shd w:val="clear" w:color="auto" w:fill="auto"/>
            <w:vAlign w:val="center"/>
          </w:tcPr>
          <w:p>
            <w:pPr>
              <w:pStyle w:val="182"/>
              <w:rPr>
                <w:color w:val="auto"/>
              </w:rPr>
            </w:pPr>
          </w:p>
        </w:tc>
        <w:tc>
          <w:tcPr>
            <w:tcW w:w="401"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复位TPU不符合技术标准要求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停止TPU业务不符合技术标准要求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中止TPU当前动作不符合技术标准要求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设置TPU时钟 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下载TPU参数不符合技术标准要求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下载应用程序不符合技术标准要求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更新应用程序不符合技术标准要求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下载主控程序不符合技术标准要求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更新主控程序不符合技术标准要求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读取TPU状态不符合技术标准要求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读取TPU时钟 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读取TPU参数版本不符合技术标准要求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读取TPU基本信息 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寻卡命令不符合技术标准要求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进站交易不符合技术标准要求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出站交易不符合技术标准要求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18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获取UD数据不符合技术标准要求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19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读卡信息不符合技术标准要求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售卡交易不符合技术标准要求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补票交易不符合技术标准要求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充值交易不符合技术标准要求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退卡退资交易不符合技术标准要求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替换(旧卡) 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替换(新卡) 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激活交易不符合技术标准要求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延期交易不符合技术标准要求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挂失交易不符合技术标准要求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29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抵消交易不符合技术标准要求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30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计算一票通MAC不符合技术标准要求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31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设置TPU 24小时运营或延长运营时间不符合技术标准要求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32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设置TPU的运营模式不符合技术标准要求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33</w:t>
            </w:r>
          </w:p>
        </w:tc>
        <w:tc>
          <w:tcPr>
            <w:tcW w:w="595" w:type="pct"/>
            <w:vMerge w:val="restart"/>
            <w:shd w:val="clear" w:color="auto" w:fill="auto"/>
            <w:vAlign w:val="center"/>
          </w:tcPr>
          <w:p>
            <w:pPr>
              <w:pStyle w:val="182"/>
              <w:rPr>
                <w:color w:val="auto"/>
              </w:rPr>
            </w:pPr>
            <w:r>
              <w:rPr>
                <w:rFonts w:hint="eastAsia"/>
                <w:color w:val="auto"/>
              </w:rPr>
              <w:t>性能要求</w:t>
            </w:r>
          </w:p>
        </w:tc>
        <w:tc>
          <w:tcPr>
            <w:tcW w:w="3003" w:type="pct"/>
            <w:shd w:val="clear" w:color="auto" w:fill="auto"/>
            <w:vAlign w:val="center"/>
          </w:tcPr>
          <w:p>
            <w:pPr>
              <w:pStyle w:val="182"/>
              <w:jc w:val="left"/>
              <w:rPr>
                <w:color w:val="auto"/>
              </w:rPr>
            </w:pPr>
            <w:r>
              <w:rPr>
                <w:rFonts w:hint="eastAsia" w:hAnsi="宋体"/>
                <w:color w:val="auto"/>
                <w:szCs w:val="18"/>
              </w:rPr>
              <w:t>M1卡进出站处理时间不符合技术标准要求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color w:val="auto"/>
              </w:rPr>
            </w:pPr>
            <w:r>
              <w:rPr>
                <w:rFonts w:hint="eastAsia" w:hAnsi="宋体"/>
                <w:color w:val="auto"/>
                <w:szCs w:val="18"/>
              </w:rPr>
              <w:t>34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color w:val="auto"/>
              </w:rPr>
            </w:pPr>
            <w:r>
              <w:rPr>
                <w:rFonts w:hint="eastAsia" w:hAnsi="宋体"/>
                <w:color w:val="auto"/>
                <w:szCs w:val="18"/>
              </w:rPr>
              <w:t>UL卡进出站处理时间不符合技术标准要求</w:t>
            </w:r>
          </w:p>
        </w:tc>
        <w:tc>
          <w:tcPr>
            <w:tcW w:w="398" w:type="pct"/>
            <w:shd w:val="clear" w:color="auto" w:fill="auto"/>
            <w:vAlign w:val="center"/>
          </w:tcPr>
          <w:p>
            <w:pPr>
              <w:pStyle w:val="182"/>
              <w:rPr>
                <w:color w:val="auto"/>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bottom w:val="single" w:color="auto" w:sz="4" w:space="0"/>
            </w:tcBorders>
            <w:shd w:val="clear" w:color="auto" w:fill="auto"/>
            <w:vAlign w:val="center"/>
          </w:tcPr>
          <w:p>
            <w:pPr>
              <w:pStyle w:val="182"/>
              <w:rPr>
                <w:color w:val="auto"/>
              </w:rPr>
            </w:pPr>
            <w:r>
              <w:rPr>
                <w:rFonts w:hint="eastAsia" w:hAnsi="宋体"/>
                <w:color w:val="auto"/>
                <w:szCs w:val="18"/>
              </w:rPr>
              <w:t>35</w:t>
            </w:r>
          </w:p>
        </w:tc>
        <w:tc>
          <w:tcPr>
            <w:tcW w:w="595" w:type="pct"/>
            <w:vMerge w:val="continue"/>
            <w:tcBorders>
              <w:bottom w:val="single" w:color="auto" w:sz="4" w:space="0"/>
            </w:tcBorders>
            <w:shd w:val="clear" w:color="auto" w:fill="auto"/>
            <w:vAlign w:val="center"/>
          </w:tcPr>
          <w:p>
            <w:pPr>
              <w:pStyle w:val="182"/>
              <w:rPr>
                <w:color w:val="auto"/>
              </w:rPr>
            </w:pPr>
          </w:p>
        </w:tc>
        <w:tc>
          <w:tcPr>
            <w:tcW w:w="3003"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CPU卡进出站处理时间不符合技术标准要求</w:t>
            </w:r>
          </w:p>
        </w:tc>
        <w:tc>
          <w:tcPr>
            <w:tcW w:w="398"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398" w:type="pct"/>
            <w:tcBorders>
              <w:bottom w:val="single" w:color="auto" w:sz="4" w:space="0"/>
            </w:tcBorders>
            <w:shd w:val="clear" w:color="auto" w:fill="auto"/>
            <w:vAlign w:val="center"/>
          </w:tcPr>
          <w:p>
            <w:pPr>
              <w:pStyle w:val="182"/>
              <w:rPr>
                <w:color w:val="auto"/>
              </w:rPr>
            </w:pPr>
          </w:p>
        </w:tc>
        <w:tc>
          <w:tcPr>
            <w:tcW w:w="401" w:type="pct"/>
            <w:tcBorders>
              <w:bottom w:val="single" w:color="auto" w:sz="4" w:space="0"/>
            </w:tcBorders>
            <w:shd w:val="clear" w:color="auto" w:fill="auto"/>
            <w:vAlign w:val="center"/>
          </w:tcPr>
          <w:p>
            <w:pPr>
              <w:pStyle w:val="182"/>
              <w:rPr>
                <w:color w:val="auto"/>
              </w:rPr>
            </w:pP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表A.14  TPU问题内容等级划分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4"/>
        <w:gridCol w:w="1116"/>
        <w:gridCol w:w="5630"/>
        <w:gridCol w:w="746"/>
        <w:gridCol w:w="746"/>
        <w:gridCol w:w="7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59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问题统计方式</w:t>
            </w:r>
          </w:p>
        </w:tc>
        <w:tc>
          <w:tcPr>
            <w:tcW w:w="3003"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398"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0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tcBorders>
              <w:top w:val="single" w:color="auto" w:sz="4" w:space="0"/>
              <w:bottom w:val="single" w:color="auto" w:sz="4" w:space="0"/>
            </w:tcBorders>
            <w:shd w:val="clear" w:color="auto" w:fill="auto"/>
            <w:vAlign w:val="center"/>
          </w:tcPr>
          <w:p>
            <w:pPr>
              <w:pStyle w:val="182"/>
              <w:rPr>
                <w:rFonts w:hint="eastAsia" w:hAnsi="宋体"/>
                <w:color w:val="auto"/>
                <w:szCs w:val="18"/>
              </w:rPr>
            </w:pPr>
            <w:r>
              <w:rPr>
                <w:rFonts w:hint="eastAsia" w:hAnsi="宋体"/>
                <w:color w:val="auto"/>
                <w:szCs w:val="18"/>
              </w:rPr>
              <w:t>36</w:t>
            </w:r>
          </w:p>
        </w:tc>
        <w:tc>
          <w:tcPr>
            <w:tcW w:w="595"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性能要求</w:t>
            </w:r>
          </w:p>
        </w:tc>
        <w:tc>
          <w:tcPr>
            <w:tcW w:w="3003" w:type="pct"/>
            <w:tcBorders>
              <w:top w:val="single" w:color="auto" w:sz="4" w:space="0"/>
              <w:bottom w:val="single" w:color="auto" w:sz="4" w:space="0"/>
            </w:tcBorders>
            <w:shd w:val="clear" w:color="auto" w:fill="auto"/>
            <w:vAlign w:val="center"/>
          </w:tcPr>
          <w:p>
            <w:pPr>
              <w:pStyle w:val="182"/>
              <w:jc w:val="left"/>
              <w:rPr>
                <w:rFonts w:hint="eastAsia" w:hAnsi="宋体"/>
                <w:color w:val="auto"/>
                <w:szCs w:val="18"/>
              </w:rPr>
            </w:pPr>
            <w:r>
              <w:rPr>
                <w:rFonts w:hint="eastAsia" w:hAnsi="宋体"/>
                <w:color w:val="auto"/>
                <w:szCs w:val="18"/>
              </w:rPr>
              <w:t>M1卡其他业务处理时间不符合技术标准要求</w:t>
            </w:r>
          </w:p>
        </w:tc>
        <w:tc>
          <w:tcPr>
            <w:tcW w:w="398" w:type="pct"/>
            <w:tcBorders>
              <w:top w:val="single" w:color="auto" w:sz="4" w:space="0"/>
              <w:bottom w:val="single" w:color="auto" w:sz="4" w:space="0"/>
            </w:tcBorders>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tcBorders>
              <w:top w:val="single" w:color="auto" w:sz="4" w:space="0"/>
              <w:bottom w:val="single" w:color="auto" w:sz="4" w:space="0"/>
            </w:tcBorders>
            <w:shd w:val="clear" w:color="auto" w:fill="auto"/>
            <w:vAlign w:val="center"/>
          </w:tcPr>
          <w:p>
            <w:pPr>
              <w:pStyle w:val="182"/>
              <w:rPr>
                <w:color w:val="auto"/>
              </w:rPr>
            </w:pPr>
          </w:p>
        </w:tc>
        <w:tc>
          <w:tcPr>
            <w:tcW w:w="401"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tcBorders>
              <w:top w:val="single" w:color="auto" w:sz="4" w:space="0"/>
            </w:tcBorders>
            <w:shd w:val="clear" w:color="auto" w:fill="auto"/>
            <w:vAlign w:val="center"/>
          </w:tcPr>
          <w:p>
            <w:pPr>
              <w:pStyle w:val="182"/>
              <w:rPr>
                <w:rFonts w:hint="eastAsia" w:hAnsi="宋体"/>
                <w:color w:val="auto"/>
                <w:szCs w:val="18"/>
              </w:rPr>
            </w:pPr>
            <w:r>
              <w:rPr>
                <w:rFonts w:hint="eastAsia" w:hAnsi="宋体"/>
                <w:color w:val="auto"/>
                <w:szCs w:val="18"/>
              </w:rPr>
              <w:t>37</w:t>
            </w:r>
          </w:p>
        </w:tc>
        <w:tc>
          <w:tcPr>
            <w:tcW w:w="595" w:type="pct"/>
            <w:vMerge w:val="continue"/>
            <w:tcBorders>
              <w:top w:val="single" w:color="auto" w:sz="4" w:space="0"/>
            </w:tcBorders>
            <w:shd w:val="clear" w:color="auto" w:fill="auto"/>
            <w:vAlign w:val="center"/>
          </w:tcPr>
          <w:p>
            <w:pPr>
              <w:pStyle w:val="182"/>
              <w:rPr>
                <w:color w:val="auto"/>
              </w:rPr>
            </w:pPr>
          </w:p>
        </w:tc>
        <w:tc>
          <w:tcPr>
            <w:tcW w:w="3003" w:type="pct"/>
            <w:tcBorders>
              <w:top w:val="single" w:color="auto" w:sz="4" w:space="0"/>
            </w:tcBorders>
            <w:shd w:val="clear" w:color="auto" w:fill="auto"/>
            <w:vAlign w:val="center"/>
          </w:tcPr>
          <w:p>
            <w:pPr>
              <w:pStyle w:val="182"/>
              <w:jc w:val="left"/>
              <w:rPr>
                <w:rFonts w:hint="eastAsia" w:hAnsi="宋体"/>
                <w:color w:val="auto"/>
                <w:szCs w:val="18"/>
              </w:rPr>
            </w:pPr>
            <w:r>
              <w:rPr>
                <w:rFonts w:hint="eastAsia" w:hAnsi="宋体"/>
                <w:color w:val="auto"/>
                <w:szCs w:val="18"/>
              </w:rPr>
              <w:t>UL卡其他业务处理时间不符合技术标准要求</w:t>
            </w:r>
          </w:p>
        </w:tc>
        <w:tc>
          <w:tcPr>
            <w:tcW w:w="398" w:type="pct"/>
            <w:tcBorders>
              <w:top w:val="single" w:color="auto" w:sz="4" w:space="0"/>
            </w:tcBorders>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tcBorders>
              <w:top w:val="single" w:color="auto" w:sz="4" w:space="0"/>
            </w:tcBorders>
            <w:shd w:val="clear" w:color="auto" w:fill="auto"/>
            <w:vAlign w:val="center"/>
          </w:tcPr>
          <w:p>
            <w:pPr>
              <w:pStyle w:val="182"/>
              <w:rPr>
                <w:color w:val="auto"/>
              </w:rPr>
            </w:pPr>
          </w:p>
        </w:tc>
        <w:tc>
          <w:tcPr>
            <w:tcW w:w="401" w:type="pct"/>
            <w:tcBorders>
              <w:top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38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CPU卡其他业务处理时间不符合技术标准要求</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39</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IC卡识别功能</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40</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天线线缆长度</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41</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天线读写距离</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42</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天线干扰</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43</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防冲突</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44</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断点保护</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45</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SAM卡支持类型</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46</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SAM模块速率</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47</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交易数据存取</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05" w:type="pct"/>
            <w:shd w:val="clear" w:color="auto" w:fill="auto"/>
            <w:vAlign w:val="center"/>
          </w:tcPr>
          <w:p>
            <w:pPr>
              <w:pStyle w:val="182"/>
              <w:rPr>
                <w:rFonts w:hint="eastAsia" w:hAnsi="宋体"/>
                <w:color w:val="auto"/>
                <w:szCs w:val="18"/>
              </w:rPr>
            </w:pPr>
            <w:r>
              <w:rPr>
                <w:rFonts w:hint="eastAsia" w:hAnsi="宋体"/>
                <w:color w:val="auto"/>
                <w:szCs w:val="18"/>
              </w:rPr>
              <w:t>48</w:t>
            </w:r>
          </w:p>
        </w:tc>
        <w:tc>
          <w:tcPr>
            <w:tcW w:w="595" w:type="pct"/>
            <w:vMerge w:val="continue"/>
            <w:shd w:val="clear" w:color="auto" w:fill="auto"/>
            <w:vAlign w:val="center"/>
          </w:tcPr>
          <w:p>
            <w:pPr>
              <w:pStyle w:val="182"/>
              <w:rPr>
                <w:color w:val="auto"/>
              </w:rPr>
            </w:pPr>
          </w:p>
        </w:tc>
        <w:tc>
          <w:tcPr>
            <w:tcW w:w="3003" w:type="pct"/>
            <w:shd w:val="clear" w:color="auto" w:fill="auto"/>
            <w:vAlign w:val="center"/>
          </w:tcPr>
          <w:p>
            <w:pPr>
              <w:pStyle w:val="182"/>
              <w:jc w:val="left"/>
              <w:rPr>
                <w:rFonts w:hint="eastAsia" w:hAnsi="宋体"/>
                <w:color w:val="auto"/>
                <w:szCs w:val="18"/>
              </w:rPr>
            </w:pPr>
            <w:r>
              <w:rPr>
                <w:rFonts w:hint="eastAsia" w:hAnsi="宋体"/>
                <w:color w:val="auto"/>
                <w:szCs w:val="18"/>
              </w:rPr>
              <w:t>日志数据存取</w:t>
            </w:r>
          </w:p>
        </w:tc>
        <w:tc>
          <w:tcPr>
            <w:tcW w:w="398"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398" w:type="pct"/>
            <w:shd w:val="clear" w:color="auto" w:fill="auto"/>
            <w:vAlign w:val="center"/>
          </w:tcPr>
          <w:p>
            <w:pPr>
              <w:pStyle w:val="182"/>
              <w:rPr>
                <w:color w:val="auto"/>
              </w:rPr>
            </w:pPr>
          </w:p>
        </w:tc>
        <w:tc>
          <w:tcPr>
            <w:tcW w:w="401" w:type="pct"/>
            <w:shd w:val="clear" w:color="auto" w:fill="auto"/>
            <w:vAlign w:val="center"/>
          </w:tcPr>
          <w:p>
            <w:pPr>
              <w:pStyle w:val="182"/>
              <w:rPr>
                <w:color w:val="auto"/>
              </w:rPr>
            </w:pPr>
          </w:p>
        </w:tc>
      </w:tr>
    </w:tbl>
    <w:p>
      <w:pPr>
        <w:pStyle w:val="60"/>
        <w:ind w:firstLine="420"/>
        <w:rPr>
          <w:color w:val="auto"/>
        </w:rPr>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82"/>
        <w:spacing w:before="156" w:after="156"/>
        <w:rPr>
          <w:color w:val="auto"/>
        </w:rPr>
      </w:pPr>
      <w:bookmarkStart w:id="535" w:name="_Toc4458"/>
      <w:r>
        <w:rPr>
          <w:rFonts w:hint="eastAsia"/>
          <w:color w:val="auto"/>
        </w:rPr>
        <w:t>应用系统</w:t>
      </w:r>
      <w:bookmarkEnd w:id="535"/>
    </w:p>
    <w:p>
      <w:pPr>
        <w:pStyle w:val="60"/>
        <w:ind w:firstLine="420"/>
        <w:rPr>
          <w:color w:val="auto"/>
        </w:rPr>
      </w:pPr>
      <w:r>
        <w:rPr>
          <w:rFonts w:hint="eastAsia"/>
          <w:color w:val="auto"/>
        </w:rPr>
        <w:t>应用系统问题内容的等级划分</w:t>
      </w:r>
      <w:r>
        <w:rPr>
          <w:rFonts w:hint="eastAsia"/>
          <w:color w:val="auto"/>
          <w:lang w:val="en-US" w:eastAsia="zh-CN"/>
        </w:rPr>
        <w:t>应符合</w:t>
      </w:r>
      <w:r>
        <w:rPr>
          <w:rFonts w:hint="eastAsia"/>
          <w:color w:val="auto"/>
        </w:rPr>
        <w:t>表A.15</w:t>
      </w:r>
      <w:r>
        <w:rPr>
          <w:rFonts w:hint="eastAsia"/>
          <w:color w:val="auto"/>
          <w:lang w:eastAsia="zh-CN"/>
        </w:rPr>
        <w:t>。</w:t>
      </w:r>
    </w:p>
    <w:p>
      <w:pPr>
        <w:pStyle w:val="81"/>
        <w:spacing w:before="156" w:after="156"/>
        <w:rPr>
          <w:color w:val="auto"/>
        </w:rPr>
      </w:pPr>
      <w:r>
        <w:rPr>
          <w:rFonts w:hint="eastAsia"/>
          <w:color w:val="auto"/>
        </w:rPr>
        <w:t>应用系统问题内容等级划分</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8" w:space="0"/>
            </w:tcBorders>
            <w:shd w:val="clear" w:color="auto" w:fill="auto"/>
            <w:vAlign w:val="center"/>
          </w:tcPr>
          <w:p>
            <w:pPr>
              <w:pStyle w:val="182"/>
              <w:rPr>
                <w:color w:val="auto"/>
              </w:rPr>
            </w:pPr>
            <w:r>
              <w:rPr>
                <w:rFonts w:hint="eastAsia" w:hAnsi="宋体"/>
                <w:color w:val="auto"/>
                <w:szCs w:val="18"/>
              </w:rPr>
              <w:t>1</w:t>
            </w:r>
          </w:p>
        </w:tc>
        <w:tc>
          <w:tcPr>
            <w:tcW w:w="289" w:type="pct"/>
            <w:vMerge w:val="restart"/>
            <w:tcBorders>
              <w:top w:val="single" w:color="auto" w:sz="8" w:space="0"/>
            </w:tcBorders>
            <w:shd w:val="clear" w:color="auto" w:fill="auto"/>
            <w:vAlign w:val="center"/>
          </w:tcPr>
          <w:p>
            <w:pPr>
              <w:pStyle w:val="182"/>
              <w:rPr>
                <w:color w:val="auto"/>
              </w:rPr>
            </w:pPr>
            <w:r>
              <w:rPr>
                <w:rFonts w:hint="eastAsia"/>
                <w:color w:val="auto"/>
              </w:rPr>
              <w:t>运营管理</w:t>
            </w:r>
          </w:p>
        </w:tc>
        <w:tc>
          <w:tcPr>
            <w:tcW w:w="510" w:type="pct"/>
            <w:vMerge w:val="restart"/>
            <w:tcBorders>
              <w:top w:val="single" w:color="auto" w:sz="8" w:space="0"/>
            </w:tcBorders>
            <w:shd w:val="clear" w:color="auto" w:fill="auto"/>
            <w:vAlign w:val="center"/>
          </w:tcPr>
          <w:p>
            <w:pPr>
              <w:pStyle w:val="182"/>
              <w:rPr>
                <w:color w:val="auto"/>
              </w:rPr>
            </w:pPr>
            <w:r>
              <w:rPr>
                <w:rFonts w:hint="eastAsia"/>
                <w:color w:val="auto"/>
              </w:rPr>
              <w:t>设备监视/车站监视</w:t>
            </w:r>
          </w:p>
        </w:tc>
        <w:tc>
          <w:tcPr>
            <w:tcW w:w="905" w:type="pct"/>
            <w:vMerge w:val="restart"/>
            <w:tcBorders>
              <w:top w:val="single" w:color="auto" w:sz="8" w:space="0"/>
            </w:tcBorders>
            <w:shd w:val="clear" w:color="auto" w:fill="auto"/>
            <w:vAlign w:val="center"/>
          </w:tcPr>
          <w:p>
            <w:pPr>
              <w:pStyle w:val="182"/>
              <w:rPr>
                <w:color w:val="auto"/>
              </w:rPr>
            </w:pPr>
            <w:r>
              <w:rPr>
                <w:rFonts w:hint="eastAsia" w:hAnsi="宋体"/>
                <w:color w:val="auto"/>
                <w:szCs w:val="18"/>
              </w:rPr>
              <w:t>全部状态数据</w:t>
            </w:r>
          </w:p>
        </w:tc>
        <w:tc>
          <w:tcPr>
            <w:tcW w:w="1692" w:type="pct"/>
            <w:tcBorders>
              <w:top w:val="single" w:color="auto" w:sz="8" w:space="0"/>
            </w:tcBorders>
            <w:shd w:val="clear" w:color="auto" w:fill="auto"/>
            <w:vAlign w:val="center"/>
          </w:tcPr>
          <w:p>
            <w:pPr>
              <w:pStyle w:val="182"/>
              <w:jc w:val="left"/>
              <w:rPr>
                <w:color w:val="auto"/>
              </w:rPr>
            </w:pPr>
            <w:r>
              <w:rPr>
                <w:rFonts w:hint="eastAsia" w:hAnsi="宋体"/>
                <w:color w:val="auto"/>
                <w:szCs w:val="18"/>
              </w:rPr>
              <w:t>数据内容不准确</w:t>
            </w:r>
          </w:p>
        </w:tc>
        <w:tc>
          <w:tcPr>
            <w:tcW w:w="456" w:type="pct"/>
            <w:tcBorders>
              <w:top w:val="single" w:color="auto" w:sz="8" w:space="0"/>
            </w:tcBorders>
            <w:shd w:val="clear" w:color="auto" w:fill="auto"/>
            <w:vAlign w:val="center"/>
          </w:tcPr>
          <w:p>
            <w:pPr>
              <w:pStyle w:val="182"/>
              <w:rPr>
                <w:color w:val="auto"/>
              </w:rPr>
            </w:pPr>
          </w:p>
        </w:tc>
        <w:tc>
          <w:tcPr>
            <w:tcW w:w="456" w:type="pct"/>
            <w:tcBorders>
              <w:top w:val="single" w:color="auto" w:sz="8" w:space="0"/>
            </w:tcBorders>
            <w:shd w:val="clear" w:color="auto" w:fill="auto"/>
            <w:vAlign w:val="center"/>
          </w:tcPr>
          <w:p>
            <w:pPr>
              <w:pStyle w:val="182"/>
              <w:rPr>
                <w:color w:val="auto"/>
              </w:rPr>
            </w:pPr>
            <w:r>
              <w:rPr>
                <w:rFonts w:hint="eastAsia" w:hAnsi="宋体"/>
                <w:color w:val="auto"/>
                <w:szCs w:val="18"/>
              </w:rPr>
              <w:t>√</w:t>
            </w:r>
          </w:p>
        </w:tc>
        <w:tc>
          <w:tcPr>
            <w:tcW w:w="455" w:type="pct"/>
            <w:tcBorders>
              <w:top w:val="single" w:color="auto" w:sz="8"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24小时运营通知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延长运营通知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7" w:type="pct"/>
            <w:shd w:val="clear" w:color="auto" w:fill="auto"/>
            <w:vAlign w:val="center"/>
          </w:tcPr>
          <w:p>
            <w:pPr>
              <w:pStyle w:val="182"/>
              <w:rPr>
                <w:color w:val="auto"/>
              </w:rPr>
            </w:pPr>
            <w:r>
              <w:rPr>
                <w:rFonts w:hint="eastAsia" w:hAnsi="宋体"/>
                <w:color w:val="auto"/>
                <w:szCs w:val="18"/>
              </w:rPr>
              <w:t>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车站运营通知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7" w:type="pct"/>
            <w:shd w:val="clear" w:color="auto" w:fill="auto"/>
            <w:vAlign w:val="center"/>
          </w:tcPr>
          <w:p>
            <w:pPr>
              <w:pStyle w:val="182"/>
              <w:rPr>
                <w:color w:val="auto"/>
              </w:rPr>
            </w:pPr>
            <w:r>
              <w:rPr>
                <w:rFonts w:hint="eastAsia" w:hAnsi="宋体"/>
                <w:color w:val="auto"/>
                <w:szCs w:val="18"/>
              </w:rPr>
              <w:t>10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设备状态查询</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设备部件构成</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设备状态改变事件</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23</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客流监视</w:t>
            </w:r>
          </w:p>
        </w:tc>
        <w:tc>
          <w:tcPr>
            <w:tcW w:w="905" w:type="pct"/>
            <w:vMerge w:val="restart"/>
            <w:shd w:val="clear" w:color="auto" w:fill="auto"/>
            <w:vAlign w:val="center"/>
          </w:tcPr>
          <w:p>
            <w:pPr>
              <w:pStyle w:val="182"/>
              <w:rPr>
                <w:color w:val="auto"/>
              </w:rPr>
            </w:pPr>
            <w:r>
              <w:rPr>
                <w:rFonts w:hint="eastAsia" w:hAnsi="宋体"/>
                <w:color w:val="auto"/>
                <w:szCs w:val="18"/>
              </w:rPr>
              <w:t>客流数据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28</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招援服务</w:t>
            </w:r>
          </w:p>
        </w:tc>
        <w:tc>
          <w:tcPr>
            <w:tcW w:w="905" w:type="pct"/>
            <w:vMerge w:val="restart"/>
            <w:shd w:val="clear" w:color="auto" w:fill="auto"/>
            <w:vAlign w:val="center"/>
          </w:tcPr>
          <w:p>
            <w:pPr>
              <w:pStyle w:val="182"/>
              <w:rPr>
                <w:color w:val="auto"/>
              </w:rPr>
            </w:pPr>
            <w:r>
              <w:rPr>
                <w:rFonts w:hint="eastAsia" w:hAnsi="宋体"/>
                <w:color w:val="auto"/>
                <w:szCs w:val="18"/>
              </w:rPr>
              <w:t>TVM招援请求</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30</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运营模式</w:t>
            </w:r>
          </w:p>
        </w:tc>
        <w:tc>
          <w:tcPr>
            <w:tcW w:w="905" w:type="pct"/>
            <w:vMerge w:val="restart"/>
            <w:shd w:val="clear" w:color="auto" w:fill="auto"/>
            <w:vAlign w:val="center"/>
          </w:tcPr>
          <w:p>
            <w:pPr>
              <w:pStyle w:val="182"/>
              <w:rPr>
                <w:color w:val="auto"/>
              </w:rPr>
            </w:pPr>
            <w:r>
              <w:rPr>
                <w:rFonts w:hint="eastAsia" w:hAnsi="宋体"/>
                <w:color w:val="auto"/>
                <w:szCs w:val="18"/>
              </w:rPr>
              <w:t>车站模式变更通知</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vAlign w:val="center"/>
          </w:tcPr>
          <w:p>
            <w:pPr>
              <w:pStyle w:val="182"/>
              <w:rPr>
                <w:color w:val="auto"/>
              </w:rPr>
            </w:pPr>
            <w:r>
              <w:rPr>
                <w:rFonts w:hint="eastAsia" w:hAnsi="宋体"/>
                <w:color w:val="auto"/>
                <w:szCs w:val="18"/>
              </w:rPr>
              <w:t>34</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vMerge w:val="continue"/>
            <w:tcBorders>
              <w:bottom w:val="single" w:color="auto" w:sz="4" w:space="0"/>
            </w:tcBorders>
            <w:shd w:val="clear" w:color="auto" w:fill="auto"/>
            <w:vAlign w:val="center"/>
          </w:tcPr>
          <w:p>
            <w:pPr>
              <w:pStyle w:val="182"/>
              <w:rPr>
                <w:color w:val="auto"/>
              </w:rPr>
            </w:pPr>
          </w:p>
        </w:tc>
        <w:tc>
          <w:tcPr>
            <w:tcW w:w="905" w:type="pct"/>
            <w:tcBorders>
              <w:bottom w:val="single" w:color="auto" w:sz="4" w:space="0"/>
            </w:tcBorders>
            <w:shd w:val="clear" w:color="auto" w:fill="auto"/>
            <w:vAlign w:val="center"/>
          </w:tcPr>
          <w:p>
            <w:pPr>
              <w:pStyle w:val="182"/>
              <w:rPr>
                <w:color w:val="auto"/>
              </w:rPr>
            </w:pPr>
            <w:r>
              <w:rPr>
                <w:rFonts w:hint="eastAsia" w:hAnsi="宋体"/>
                <w:color w:val="auto"/>
                <w:szCs w:val="18"/>
              </w:rPr>
              <w:t>运营模式控制命令</w:t>
            </w: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35</w:t>
            </w:r>
          </w:p>
        </w:tc>
        <w:tc>
          <w:tcPr>
            <w:tcW w:w="289" w:type="pct"/>
            <w:vMerge w:val="restart"/>
            <w:tcBorders>
              <w:top w:val="single" w:color="auto" w:sz="4" w:space="0"/>
            </w:tcBorders>
            <w:shd w:val="clear" w:color="auto" w:fill="auto"/>
            <w:vAlign w:val="center"/>
          </w:tcPr>
          <w:p>
            <w:pPr>
              <w:pStyle w:val="182"/>
              <w:rPr>
                <w:color w:val="auto"/>
              </w:rPr>
            </w:pPr>
            <w:r>
              <w:rPr>
                <w:rFonts w:hint="eastAsia"/>
                <w:color w:val="auto"/>
              </w:rPr>
              <w:t>运营管理</w:t>
            </w:r>
          </w:p>
        </w:tc>
        <w:tc>
          <w:tcPr>
            <w:tcW w:w="510"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运营模式</w:t>
            </w:r>
          </w:p>
        </w:tc>
        <w:tc>
          <w:tcPr>
            <w:tcW w:w="905"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运营模式控制命令</w:t>
            </w:r>
          </w:p>
        </w:tc>
        <w:tc>
          <w:tcPr>
            <w:tcW w:w="1692"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5"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vAlign w:val="center"/>
          </w:tcPr>
          <w:p>
            <w:pPr>
              <w:pStyle w:val="182"/>
              <w:rPr>
                <w:color w:val="auto"/>
              </w:rPr>
            </w:pPr>
            <w:r>
              <w:rPr>
                <w:rFonts w:hint="eastAsia" w:hAnsi="宋体"/>
                <w:color w:val="auto"/>
                <w:szCs w:val="18"/>
              </w:rPr>
              <w:t>36</w:t>
            </w:r>
          </w:p>
        </w:tc>
        <w:tc>
          <w:tcPr>
            <w:tcW w:w="289" w:type="pct"/>
            <w:vMerge w:val="continue"/>
            <w:shd w:val="clear" w:color="auto" w:fill="auto"/>
            <w:vAlign w:val="center"/>
          </w:tcPr>
          <w:p>
            <w:pPr>
              <w:pStyle w:val="182"/>
              <w:rPr>
                <w:color w:val="auto"/>
              </w:rPr>
            </w:pPr>
          </w:p>
        </w:tc>
        <w:tc>
          <w:tcPr>
            <w:tcW w:w="510" w:type="pct"/>
            <w:vMerge w:val="restart"/>
            <w:tcBorders>
              <w:top w:val="single" w:color="auto" w:sz="4" w:space="0"/>
            </w:tcBorders>
            <w:shd w:val="clear" w:color="auto" w:fill="auto"/>
            <w:vAlign w:val="center"/>
          </w:tcPr>
          <w:p>
            <w:pPr>
              <w:pStyle w:val="182"/>
              <w:rPr>
                <w:color w:val="auto"/>
              </w:rPr>
            </w:pPr>
            <w:r>
              <w:rPr>
                <w:rFonts w:hint="eastAsia" w:hAnsi="宋体"/>
                <w:color w:val="auto"/>
                <w:szCs w:val="18"/>
              </w:rPr>
              <w:t>设备控制/车站控制</w:t>
            </w:r>
          </w:p>
        </w:tc>
        <w:tc>
          <w:tcPr>
            <w:tcW w:w="905" w:type="pct"/>
            <w:vMerge w:val="restart"/>
            <w:tcBorders>
              <w:top w:val="single" w:color="auto" w:sz="4" w:space="0"/>
            </w:tcBorders>
            <w:shd w:val="clear" w:color="auto" w:fill="auto"/>
            <w:vAlign w:val="center"/>
          </w:tcPr>
          <w:p>
            <w:pPr>
              <w:pStyle w:val="182"/>
              <w:rPr>
                <w:color w:val="auto"/>
              </w:rPr>
            </w:pPr>
            <w:r>
              <w:rPr>
                <w:rFonts w:hint="eastAsia" w:hAnsi="宋体"/>
                <w:color w:val="auto"/>
                <w:szCs w:val="18"/>
              </w:rPr>
              <w:t>设备运行控制命令</w:t>
            </w:r>
          </w:p>
        </w:tc>
        <w:tc>
          <w:tcPr>
            <w:tcW w:w="1692"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手动设置运营开始命令，服务器发送命令失败，导致设备无法进入正常运行</w:t>
            </w:r>
          </w:p>
        </w:tc>
        <w:tc>
          <w:tcPr>
            <w:tcW w:w="456" w:type="pct"/>
            <w:tcBorders>
              <w:top w:val="single" w:color="auto" w:sz="4" w:space="0"/>
            </w:tcBorders>
            <w:shd w:val="clear" w:color="auto" w:fill="auto"/>
            <w:vAlign w:val="center"/>
          </w:tcPr>
          <w:p>
            <w:pPr>
              <w:pStyle w:val="182"/>
              <w:rPr>
                <w:color w:val="auto"/>
              </w:rPr>
            </w:pPr>
          </w:p>
        </w:tc>
        <w:tc>
          <w:tcPr>
            <w:tcW w:w="456"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c>
          <w:tcPr>
            <w:tcW w:w="455" w:type="pct"/>
            <w:tcBorders>
              <w:top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rFonts w:hint="eastAsia" w:hAnsi="宋体"/>
                <w:color w:val="auto"/>
                <w:szCs w:val="18"/>
              </w:rPr>
            </w:pPr>
            <w:r>
              <w:rPr>
                <w:rFonts w:hint="eastAsia" w:hAnsi="宋体"/>
                <w:color w:val="auto"/>
                <w:szCs w:val="18"/>
              </w:rPr>
              <w:t>37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rFonts w:hint="eastAsia" w:hAnsi="宋体"/>
                <w:color w:val="auto"/>
                <w:szCs w:val="18"/>
              </w:rPr>
            </w:pPr>
          </w:p>
        </w:tc>
        <w:tc>
          <w:tcPr>
            <w:tcW w:w="905" w:type="pct"/>
            <w:vMerge w:val="continue"/>
            <w:shd w:val="clear" w:color="auto" w:fill="auto"/>
            <w:vAlign w:val="center"/>
          </w:tcPr>
          <w:p>
            <w:pPr>
              <w:pStyle w:val="182"/>
              <w:rPr>
                <w:rFonts w:hint="eastAsia" w:hAnsi="宋体"/>
                <w:color w:val="auto"/>
                <w:szCs w:val="18"/>
              </w:rPr>
            </w:pPr>
          </w:p>
        </w:tc>
        <w:tc>
          <w:tcPr>
            <w:tcW w:w="1692" w:type="pct"/>
            <w:shd w:val="clear" w:color="auto" w:fill="auto"/>
            <w:vAlign w:val="center"/>
          </w:tcPr>
          <w:p>
            <w:pPr>
              <w:pStyle w:val="182"/>
              <w:jc w:val="left"/>
              <w:rPr>
                <w:rFonts w:hint="eastAsia" w:hAnsi="宋体"/>
                <w:color w:val="auto"/>
                <w:szCs w:val="18"/>
              </w:rPr>
            </w:pPr>
            <w:r>
              <w:rPr>
                <w:rFonts w:hint="eastAsia" w:hAnsi="宋体"/>
                <w:color w:val="auto"/>
                <w:szCs w:val="18"/>
              </w:rPr>
              <w:t>手动设置运营开始命令，设备接收命令，但未正确执行</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rFonts w:hint="eastAsia" w:hAnsi="宋体"/>
                <w:color w:val="auto"/>
                <w:szCs w:val="18"/>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rFonts w:hint="eastAsia" w:hAnsi="宋体"/>
                <w:color w:val="auto"/>
                <w:szCs w:val="18"/>
              </w:rPr>
            </w:pPr>
            <w:r>
              <w:rPr>
                <w:rFonts w:hint="eastAsia" w:hAnsi="宋体"/>
                <w:color w:val="auto"/>
                <w:szCs w:val="18"/>
              </w:rPr>
              <w:t>38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rFonts w:hint="eastAsia" w:hAnsi="宋体"/>
                <w:color w:val="auto"/>
                <w:szCs w:val="18"/>
              </w:rPr>
            </w:pPr>
          </w:p>
        </w:tc>
        <w:tc>
          <w:tcPr>
            <w:tcW w:w="905" w:type="pct"/>
            <w:vMerge w:val="continue"/>
            <w:shd w:val="clear" w:color="auto" w:fill="auto"/>
            <w:vAlign w:val="center"/>
          </w:tcPr>
          <w:p>
            <w:pPr>
              <w:pStyle w:val="182"/>
              <w:rPr>
                <w:rFonts w:hint="eastAsia" w:hAnsi="宋体"/>
                <w:color w:val="auto"/>
                <w:szCs w:val="18"/>
              </w:rPr>
            </w:pPr>
          </w:p>
        </w:tc>
        <w:tc>
          <w:tcPr>
            <w:tcW w:w="1692" w:type="pct"/>
            <w:shd w:val="clear" w:color="auto" w:fill="auto"/>
            <w:vAlign w:val="center"/>
          </w:tcPr>
          <w:p>
            <w:pPr>
              <w:pStyle w:val="182"/>
              <w:jc w:val="left"/>
              <w:rPr>
                <w:rFonts w:hint="eastAsia" w:hAnsi="宋体"/>
                <w:color w:val="auto"/>
                <w:szCs w:val="18"/>
              </w:rPr>
            </w:pPr>
            <w:r>
              <w:rPr>
                <w:rFonts w:hint="eastAsia" w:hAnsi="宋体"/>
                <w:color w:val="auto"/>
                <w:szCs w:val="18"/>
              </w:rPr>
              <w:t>手动设置以下命令：电源关闭、重新启动、运营结束、睡眠模式、远程唤醒、开始服务、暂停服务、进站、出站、双向、闸门常开、闸门常闭、降级运行开、降级运行关、无找零模式、不收纸币模式、无售票模式、无打印模式、无纸币找零、无硬币找零、恢复正常模式、清空钱币、售票模式、补票模式、售补票模式时，设备无法正确执行</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rFonts w:hint="eastAsia" w:hAnsi="宋体"/>
                <w:color w:val="auto"/>
                <w:szCs w:val="18"/>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39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自动运行参数启用控制</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TVM售票限制命令</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43</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参数管理</w:t>
            </w:r>
          </w:p>
        </w:tc>
        <w:tc>
          <w:tcPr>
            <w:tcW w:w="905" w:type="pct"/>
            <w:vMerge w:val="restart"/>
            <w:shd w:val="clear" w:color="auto" w:fill="auto"/>
            <w:vAlign w:val="center"/>
          </w:tcPr>
          <w:p>
            <w:pPr>
              <w:pStyle w:val="182"/>
              <w:rPr>
                <w:color w:val="auto"/>
              </w:rPr>
            </w:pPr>
            <w:r>
              <w:rPr>
                <w:rFonts w:hint="eastAsia" w:hAnsi="宋体"/>
                <w:color w:val="auto"/>
                <w:szCs w:val="18"/>
              </w:rPr>
              <w:t>参数和程序更新</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参数和程序版本切换</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特定范围参数和程序下发</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49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参数修改请求</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上传参数和程序版本命令</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全部参数数据</w:t>
            </w:r>
          </w:p>
        </w:tc>
        <w:tc>
          <w:tcPr>
            <w:tcW w:w="1692" w:type="pct"/>
            <w:shd w:val="clear" w:color="auto" w:fill="auto"/>
            <w:vAlign w:val="center"/>
          </w:tcPr>
          <w:p>
            <w:pPr>
              <w:pStyle w:val="182"/>
              <w:jc w:val="left"/>
              <w:rPr>
                <w:color w:val="auto"/>
              </w:rPr>
            </w:pPr>
            <w:r>
              <w:rPr>
                <w:rFonts w:hint="eastAsia" w:hAnsi="宋体"/>
                <w:color w:val="auto"/>
                <w:szCs w:val="18"/>
              </w:rPr>
              <w:t>参数同步失败</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参数自动生效失败</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参数版本上传失败</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特定范围参数和程序下发失败</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特定范围参数和程序生效失败</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58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参数数据导入/导出失败</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7" w:type="pct"/>
            <w:shd w:val="clear" w:color="auto" w:fill="auto"/>
          </w:tcPr>
          <w:p>
            <w:pPr>
              <w:pStyle w:val="182"/>
              <w:rPr>
                <w:color w:val="auto"/>
              </w:rPr>
            </w:pPr>
            <w:r>
              <w:rPr>
                <w:rFonts w:hint="eastAsia" w:hAnsi="宋体"/>
                <w:color w:val="auto"/>
                <w:szCs w:val="18"/>
              </w:rPr>
              <w:t>59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参数数据处理失败</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tcPr>
          <w:p>
            <w:pPr>
              <w:pStyle w:val="182"/>
              <w:rPr>
                <w:color w:val="auto"/>
              </w:rPr>
            </w:pPr>
            <w:r>
              <w:rPr>
                <w:rFonts w:hint="eastAsia" w:hAnsi="宋体"/>
                <w:color w:val="auto"/>
                <w:szCs w:val="18"/>
              </w:rPr>
              <w:t>60</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tcBorders>
              <w:bottom w:val="single" w:color="auto" w:sz="4" w:space="0"/>
            </w:tcBorders>
            <w:shd w:val="clear" w:color="auto" w:fill="auto"/>
            <w:vAlign w:val="center"/>
          </w:tcPr>
          <w:p>
            <w:pPr>
              <w:pStyle w:val="182"/>
              <w:rPr>
                <w:color w:val="auto"/>
              </w:rPr>
            </w:pPr>
            <w:r>
              <w:rPr>
                <w:rFonts w:hint="eastAsia" w:hAnsi="宋体"/>
                <w:color w:val="auto"/>
                <w:szCs w:val="18"/>
              </w:rPr>
              <w:t>运营日控制</w:t>
            </w:r>
          </w:p>
        </w:tc>
        <w:tc>
          <w:tcPr>
            <w:tcW w:w="905" w:type="pct"/>
            <w:tcBorders>
              <w:bottom w:val="single" w:color="auto" w:sz="4" w:space="0"/>
            </w:tcBorders>
            <w:shd w:val="clear" w:color="auto" w:fill="auto"/>
            <w:vAlign w:val="center"/>
          </w:tcPr>
          <w:p>
            <w:pPr>
              <w:pStyle w:val="182"/>
              <w:rPr>
                <w:color w:val="auto"/>
              </w:rPr>
            </w:pPr>
            <w:r>
              <w:rPr>
                <w:rFonts w:hint="eastAsia" w:hAnsi="宋体"/>
                <w:color w:val="auto"/>
                <w:szCs w:val="18"/>
              </w:rPr>
              <w:t>24小时运营控制</w:t>
            </w: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设置失败且影响开机、票卡处理等业务</w:t>
            </w:r>
          </w:p>
        </w:tc>
        <w:tc>
          <w:tcPr>
            <w:tcW w:w="456"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7" w:type="pct"/>
            <w:tcBorders>
              <w:top w:val="single" w:color="auto" w:sz="4" w:space="0"/>
              <w:bottom w:val="single" w:color="auto" w:sz="4" w:space="0"/>
            </w:tcBorders>
            <w:shd w:val="clear" w:color="auto" w:fill="auto"/>
          </w:tcPr>
          <w:p>
            <w:pPr>
              <w:pStyle w:val="182"/>
              <w:rPr>
                <w:color w:val="auto"/>
              </w:rPr>
            </w:pPr>
            <w:r>
              <w:rPr>
                <w:rFonts w:ascii="Calibri" w:hAnsi="Calibri"/>
                <w:color w:val="auto"/>
                <w:kern w:val="2"/>
                <w:sz w:val="21"/>
                <w:szCs w:val="21"/>
              </w:rPr>
              <w:br w:type="page"/>
            </w:r>
            <w:r>
              <w:rPr>
                <w:rFonts w:hint="eastAsia" w:hAnsi="宋体"/>
                <w:color w:val="auto"/>
                <w:szCs w:val="18"/>
              </w:rPr>
              <w:t>61</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运营管理</w:t>
            </w:r>
          </w:p>
        </w:tc>
        <w:tc>
          <w:tcPr>
            <w:tcW w:w="510" w:type="pct"/>
            <w:vMerge w:val="restart"/>
            <w:tcBorders>
              <w:top w:val="single" w:color="auto" w:sz="4" w:space="0"/>
              <w:bottom w:val="single" w:color="auto" w:sz="4" w:space="0"/>
            </w:tcBorders>
            <w:shd w:val="clear" w:color="auto" w:fill="auto"/>
          </w:tcPr>
          <w:p>
            <w:pPr>
              <w:pStyle w:val="182"/>
              <w:rPr>
                <w:color w:val="auto"/>
              </w:rPr>
            </w:pPr>
            <w:r>
              <w:rPr>
                <w:rFonts w:hint="eastAsia" w:hAnsi="宋体"/>
                <w:color w:val="auto"/>
                <w:szCs w:val="18"/>
              </w:rPr>
              <w:t>运营日控制</w:t>
            </w:r>
          </w:p>
        </w:tc>
        <w:tc>
          <w:tcPr>
            <w:tcW w:w="905" w:type="pct"/>
            <w:tcBorders>
              <w:top w:val="single" w:color="auto" w:sz="4" w:space="0"/>
              <w:bottom w:val="single" w:color="auto" w:sz="4" w:space="0"/>
            </w:tcBorders>
            <w:shd w:val="clear" w:color="auto" w:fill="auto"/>
          </w:tcPr>
          <w:p>
            <w:pPr>
              <w:pStyle w:val="182"/>
              <w:rPr>
                <w:color w:val="auto"/>
              </w:rPr>
            </w:pPr>
            <w:r>
              <w:rPr>
                <w:rFonts w:hint="eastAsia" w:hAnsi="宋体"/>
                <w:color w:val="auto"/>
                <w:szCs w:val="18"/>
              </w:rPr>
              <w:t>24小时运营控制</w:t>
            </w:r>
          </w:p>
        </w:tc>
        <w:tc>
          <w:tcPr>
            <w:tcW w:w="1692" w:type="pct"/>
            <w:tcBorders>
              <w:top w:val="single" w:color="auto" w:sz="4" w:space="0"/>
              <w:bottom w:val="single" w:color="auto" w:sz="4" w:space="0"/>
            </w:tcBorders>
            <w:shd w:val="clear" w:color="auto" w:fill="auto"/>
          </w:tcPr>
          <w:p>
            <w:pPr>
              <w:pStyle w:val="182"/>
              <w:jc w:val="left"/>
              <w:rPr>
                <w:color w:val="auto"/>
              </w:rPr>
            </w:pPr>
            <w:r>
              <w:rPr>
                <w:rFonts w:hint="eastAsia" w:hAnsi="宋体"/>
                <w:color w:val="auto"/>
                <w:szCs w:val="18"/>
              </w:rPr>
              <w:t>设置失败但不影响开机、票卡处理等业务</w:t>
            </w:r>
          </w:p>
        </w:tc>
        <w:tc>
          <w:tcPr>
            <w:tcW w:w="456" w:type="pct"/>
            <w:tcBorders>
              <w:top w:val="single" w:color="auto" w:sz="4" w:space="0"/>
              <w:bottom w:val="single" w:color="auto" w:sz="4" w:space="0"/>
            </w:tcBorders>
            <w:shd w:val="clear" w:color="auto" w:fill="auto"/>
          </w:tcPr>
          <w:p>
            <w:pPr>
              <w:pStyle w:val="182"/>
              <w:rPr>
                <w:color w:val="auto"/>
              </w:rPr>
            </w:pPr>
          </w:p>
        </w:tc>
        <w:tc>
          <w:tcPr>
            <w:tcW w:w="456" w:type="pct"/>
            <w:tcBorders>
              <w:top w:val="single" w:color="auto" w:sz="4" w:space="0"/>
              <w:bottom w:val="single" w:color="auto" w:sz="4" w:space="0"/>
            </w:tcBorders>
            <w:shd w:val="clear" w:color="auto" w:fill="auto"/>
          </w:tcPr>
          <w:p>
            <w:pPr>
              <w:pStyle w:val="182"/>
              <w:rPr>
                <w:color w:val="auto"/>
              </w:rPr>
            </w:pPr>
            <w:r>
              <w:rPr>
                <w:rFonts w:hint="eastAsia" w:hAnsi="宋体"/>
                <w:color w:val="auto"/>
                <w:szCs w:val="18"/>
              </w:rPr>
              <w:t>√</w:t>
            </w:r>
          </w:p>
        </w:tc>
        <w:tc>
          <w:tcPr>
            <w:tcW w:w="455" w:type="pct"/>
            <w:tcBorders>
              <w:top w:val="single" w:color="auto" w:sz="4" w:space="0"/>
              <w:bottom w:val="single" w:color="auto" w:sz="4" w:space="0"/>
            </w:tcBorders>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tcPr>
          <w:p>
            <w:pPr>
              <w:pStyle w:val="182"/>
              <w:rPr>
                <w:color w:val="auto"/>
              </w:rPr>
            </w:pPr>
            <w:r>
              <w:rPr>
                <w:rFonts w:hint="eastAsia" w:hAnsi="宋体"/>
                <w:color w:val="auto"/>
                <w:szCs w:val="18"/>
              </w:rPr>
              <w:t>62</w:t>
            </w:r>
          </w:p>
        </w:tc>
        <w:tc>
          <w:tcPr>
            <w:tcW w:w="289" w:type="pct"/>
            <w:vMerge w:val="continue"/>
            <w:tcBorders>
              <w:top w:val="single" w:color="auto" w:sz="4" w:space="0"/>
            </w:tcBorders>
            <w:shd w:val="clear" w:color="auto" w:fill="auto"/>
            <w:vAlign w:val="center"/>
          </w:tcPr>
          <w:p>
            <w:pPr>
              <w:pStyle w:val="182"/>
              <w:rPr>
                <w:color w:val="auto"/>
              </w:rPr>
            </w:pPr>
          </w:p>
        </w:tc>
        <w:tc>
          <w:tcPr>
            <w:tcW w:w="510" w:type="pct"/>
            <w:vMerge w:val="continue"/>
            <w:tcBorders>
              <w:top w:val="single" w:color="auto" w:sz="4" w:space="0"/>
            </w:tcBorders>
            <w:shd w:val="clear" w:color="auto" w:fill="auto"/>
          </w:tcPr>
          <w:p>
            <w:pPr>
              <w:pStyle w:val="182"/>
              <w:rPr>
                <w:color w:val="auto"/>
              </w:rPr>
            </w:pPr>
          </w:p>
        </w:tc>
        <w:tc>
          <w:tcPr>
            <w:tcW w:w="905" w:type="pct"/>
            <w:vMerge w:val="restart"/>
            <w:tcBorders>
              <w:top w:val="single" w:color="auto" w:sz="4" w:space="0"/>
            </w:tcBorders>
            <w:shd w:val="clear" w:color="auto" w:fill="auto"/>
            <w:vAlign w:val="center"/>
          </w:tcPr>
          <w:p>
            <w:pPr>
              <w:pStyle w:val="182"/>
              <w:rPr>
                <w:color w:val="auto"/>
              </w:rPr>
            </w:pPr>
            <w:r>
              <w:rPr>
                <w:rFonts w:hint="eastAsia" w:hAnsi="宋体"/>
                <w:color w:val="auto"/>
                <w:szCs w:val="18"/>
              </w:rPr>
              <w:t>延长运营时间</w:t>
            </w:r>
          </w:p>
        </w:tc>
        <w:tc>
          <w:tcPr>
            <w:tcW w:w="1692" w:type="pct"/>
            <w:tcBorders>
              <w:top w:val="single" w:color="auto" w:sz="4" w:space="0"/>
            </w:tcBorders>
            <w:shd w:val="clear" w:color="auto" w:fill="auto"/>
          </w:tcPr>
          <w:p>
            <w:pPr>
              <w:pStyle w:val="182"/>
              <w:jc w:val="left"/>
              <w:rPr>
                <w:color w:val="auto"/>
              </w:rPr>
            </w:pPr>
            <w:r>
              <w:rPr>
                <w:rFonts w:hint="eastAsia" w:hAnsi="宋体"/>
                <w:color w:val="auto"/>
                <w:szCs w:val="18"/>
              </w:rPr>
              <w:t>设置失败且影响开机、票卡处理等业务</w:t>
            </w:r>
          </w:p>
        </w:tc>
        <w:tc>
          <w:tcPr>
            <w:tcW w:w="456" w:type="pct"/>
            <w:tcBorders>
              <w:top w:val="single" w:color="auto" w:sz="4" w:space="0"/>
            </w:tcBorders>
            <w:shd w:val="clear" w:color="auto" w:fill="auto"/>
          </w:tcPr>
          <w:p>
            <w:pPr>
              <w:pStyle w:val="182"/>
              <w:rPr>
                <w:color w:val="auto"/>
              </w:rPr>
            </w:pPr>
            <w:r>
              <w:rPr>
                <w:rFonts w:hint="eastAsia" w:hAnsi="宋体"/>
                <w:color w:val="auto"/>
                <w:szCs w:val="18"/>
              </w:rPr>
              <w:t>√</w:t>
            </w:r>
          </w:p>
        </w:tc>
        <w:tc>
          <w:tcPr>
            <w:tcW w:w="456" w:type="pct"/>
            <w:tcBorders>
              <w:top w:val="single" w:color="auto" w:sz="4" w:space="0"/>
            </w:tcBorders>
            <w:shd w:val="clear" w:color="auto" w:fill="auto"/>
          </w:tcPr>
          <w:p>
            <w:pPr>
              <w:pStyle w:val="182"/>
              <w:rPr>
                <w:color w:val="auto"/>
              </w:rPr>
            </w:pPr>
          </w:p>
        </w:tc>
        <w:tc>
          <w:tcPr>
            <w:tcW w:w="455" w:type="pct"/>
            <w:tcBorders>
              <w:top w:val="single" w:color="auto" w:sz="4" w:space="0"/>
            </w:tcBorders>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63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设置失败但不影响开机、票卡处理等业务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64</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权限管理</w:t>
            </w:r>
          </w:p>
        </w:tc>
        <w:tc>
          <w:tcPr>
            <w:tcW w:w="905" w:type="pct"/>
            <w:vMerge w:val="restart"/>
            <w:shd w:val="clear" w:color="auto" w:fill="auto"/>
            <w:vAlign w:val="center"/>
          </w:tcPr>
          <w:p>
            <w:pPr>
              <w:pStyle w:val="182"/>
              <w:rPr>
                <w:color w:val="auto"/>
              </w:rPr>
            </w:pPr>
            <w:r>
              <w:rPr>
                <w:rFonts w:hint="eastAsia" w:hAnsi="宋体"/>
                <w:color w:val="auto"/>
                <w:szCs w:val="18"/>
              </w:rPr>
              <w:t>登录登出请求</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密码修改请求</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账户锁定通知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69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账户解锁通知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账户停用通知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密码终止通知</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37" w:type="pct"/>
            <w:shd w:val="clear" w:color="auto" w:fill="auto"/>
            <w:vAlign w:val="center"/>
          </w:tcPr>
          <w:p>
            <w:pPr>
              <w:pStyle w:val="182"/>
              <w:rPr>
                <w:color w:val="auto"/>
              </w:rPr>
            </w:pPr>
            <w:r>
              <w:rPr>
                <w:rFonts w:hint="eastAsia" w:hAnsi="宋体"/>
                <w:color w:val="auto"/>
                <w:szCs w:val="18"/>
              </w:rPr>
              <w:t>75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账户锁定（业务数据）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79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账户解锁（业务数据）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数据未及时上传，须人工干预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84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85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数据重复上传</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86</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审计管理</w:t>
            </w:r>
          </w:p>
        </w:tc>
        <w:tc>
          <w:tcPr>
            <w:tcW w:w="905" w:type="pct"/>
            <w:vMerge w:val="restart"/>
            <w:shd w:val="clear" w:color="auto" w:fill="auto"/>
            <w:vAlign w:val="center"/>
          </w:tcPr>
          <w:p>
            <w:pPr>
              <w:pStyle w:val="182"/>
              <w:rPr>
                <w:color w:val="auto"/>
              </w:rPr>
            </w:pPr>
            <w:r>
              <w:rPr>
                <w:rFonts w:hint="eastAsia" w:hAnsi="宋体"/>
                <w:color w:val="auto"/>
                <w:szCs w:val="18"/>
              </w:rPr>
              <w:t>AG日结数据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89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TVM日结数据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vAlign w:val="center"/>
          </w:tcPr>
          <w:p>
            <w:pPr>
              <w:pStyle w:val="182"/>
              <w:rPr>
                <w:color w:val="auto"/>
              </w:rPr>
            </w:pPr>
            <w:r>
              <w:rPr>
                <w:rFonts w:hint="eastAsia" w:hAnsi="宋体"/>
                <w:color w:val="auto"/>
                <w:szCs w:val="18"/>
              </w:rPr>
              <w:t>95</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vMerge w:val="continue"/>
            <w:tcBorders>
              <w:bottom w:val="single" w:color="auto" w:sz="4" w:space="0"/>
            </w:tcBorders>
            <w:shd w:val="clear" w:color="auto" w:fill="auto"/>
            <w:vAlign w:val="center"/>
          </w:tcPr>
          <w:p>
            <w:pPr>
              <w:pStyle w:val="182"/>
              <w:rPr>
                <w:color w:val="auto"/>
              </w:rPr>
            </w:pPr>
          </w:p>
        </w:tc>
        <w:tc>
          <w:tcPr>
            <w:tcW w:w="905" w:type="pct"/>
            <w:vMerge w:val="continue"/>
            <w:tcBorders>
              <w:bottom w:val="single" w:color="auto" w:sz="4" w:space="0"/>
            </w:tcBorders>
            <w:shd w:val="clear" w:color="auto" w:fill="auto"/>
            <w:vAlign w:val="center"/>
          </w:tcPr>
          <w:p>
            <w:pPr>
              <w:pStyle w:val="182"/>
              <w:rPr>
                <w:color w:val="auto"/>
              </w:rPr>
            </w:pP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tcBorders>
              <w:bottom w:val="single" w:color="auto" w:sz="4" w:space="0"/>
            </w:tcBorders>
            <w:shd w:val="clear" w:color="auto" w:fill="auto"/>
            <w:vAlign w:val="center"/>
          </w:tcPr>
          <w:p>
            <w:pPr>
              <w:pStyle w:val="182"/>
              <w:rPr>
                <w:color w:val="auto"/>
              </w:rPr>
            </w:pP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96</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运营管理</w:t>
            </w:r>
          </w:p>
        </w:tc>
        <w:tc>
          <w:tcPr>
            <w:tcW w:w="510"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审计管理</w:t>
            </w:r>
          </w:p>
        </w:tc>
        <w:tc>
          <w:tcPr>
            <w:tcW w:w="905"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BOM审计数据</w:t>
            </w:r>
          </w:p>
        </w:tc>
        <w:tc>
          <w:tcPr>
            <w:tcW w:w="1692"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数据内容不准确</w:t>
            </w:r>
          </w:p>
        </w:tc>
        <w:tc>
          <w:tcPr>
            <w:tcW w:w="45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5"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vAlign w:val="center"/>
          </w:tcPr>
          <w:p>
            <w:pPr>
              <w:pStyle w:val="182"/>
              <w:rPr>
                <w:color w:val="auto"/>
              </w:rPr>
            </w:pPr>
            <w:r>
              <w:rPr>
                <w:rFonts w:hint="eastAsia" w:hAnsi="宋体"/>
                <w:color w:val="auto"/>
                <w:szCs w:val="18"/>
              </w:rPr>
              <w:t>97</w:t>
            </w:r>
          </w:p>
        </w:tc>
        <w:tc>
          <w:tcPr>
            <w:tcW w:w="289" w:type="pct"/>
            <w:vMerge w:val="continue"/>
            <w:tcBorders>
              <w:top w:val="single" w:color="auto" w:sz="4" w:space="0"/>
            </w:tcBorders>
            <w:shd w:val="clear" w:color="auto" w:fill="auto"/>
            <w:vAlign w:val="center"/>
          </w:tcPr>
          <w:p>
            <w:pPr>
              <w:pStyle w:val="182"/>
              <w:rPr>
                <w:color w:val="auto"/>
              </w:rPr>
            </w:pPr>
          </w:p>
        </w:tc>
        <w:tc>
          <w:tcPr>
            <w:tcW w:w="510" w:type="pct"/>
            <w:vMerge w:val="continue"/>
            <w:tcBorders>
              <w:top w:val="single" w:color="auto" w:sz="4" w:space="0"/>
            </w:tcBorders>
            <w:shd w:val="clear" w:color="auto" w:fill="auto"/>
            <w:vAlign w:val="center"/>
          </w:tcPr>
          <w:p>
            <w:pPr>
              <w:pStyle w:val="182"/>
              <w:rPr>
                <w:color w:val="auto"/>
              </w:rPr>
            </w:pPr>
          </w:p>
        </w:tc>
        <w:tc>
          <w:tcPr>
            <w:tcW w:w="905" w:type="pct"/>
            <w:vMerge w:val="continue"/>
            <w:tcBorders>
              <w:top w:val="single" w:color="auto" w:sz="4" w:space="0"/>
            </w:tcBorders>
            <w:shd w:val="clear" w:color="auto" w:fill="auto"/>
            <w:vAlign w:val="center"/>
          </w:tcPr>
          <w:p>
            <w:pPr>
              <w:pStyle w:val="182"/>
              <w:rPr>
                <w:color w:val="auto"/>
              </w:rPr>
            </w:pPr>
          </w:p>
        </w:tc>
        <w:tc>
          <w:tcPr>
            <w:tcW w:w="1692"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tcBorders>
              <w:top w:val="single" w:color="auto" w:sz="4" w:space="0"/>
            </w:tcBorders>
            <w:shd w:val="clear" w:color="auto" w:fill="auto"/>
            <w:vAlign w:val="center"/>
          </w:tcPr>
          <w:p>
            <w:pPr>
              <w:pStyle w:val="182"/>
              <w:rPr>
                <w:color w:val="auto"/>
              </w:rPr>
            </w:pPr>
          </w:p>
        </w:tc>
        <w:tc>
          <w:tcPr>
            <w:tcW w:w="456"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c>
          <w:tcPr>
            <w:tcW w:w="455" w:type="pct"/>
            <w:tcBorders>
              <w:top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98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99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100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101</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收益管理</w:t>
            </w:r>
          </w:p>
        </w:tc>
        <w:tc>
          <w:tcPr>
            <w:tcW w:w="905" w:type="pct"/>
            <w:vMerge w:val="restart"/>
            <w:shd w:val="clear" w:color="auto" w:fill="auto"/>
            <w:vAlign w:val="center"/>
          </w:tcPr>
          <w:p>
            <w:pPr>
              <w:jc w:val="center"/>
              <w:rPr>
                <w:rFonts w:hint="eastAsia" w:ascii="宋体" w:hAnsi="宋体"/>
                <w:color w:val="auto"/>
                <w:sz w:val="18"/>
                <w:szCs w:val="18"/>
              </w:rPr>
            </w:pPr>
            <w:r>
              <w:rPr>
                <w:rFonts w:hint="eastAsia" w:ascii="宋体" w:hAnsi="宋体"/>
                <w:color w:val="auto"/>
                <w:sz w:val="18"/>
                <w:szCs w:val="18"/>
              </w:rPr>
              <w:t>实收款与设备水单及车站统计明细数据</w:t>
            </w:r>
          </w:p>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数据内容不准确</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102</w:t>
            </w:r>
          </w:p>
        </w:tc>
        <w:tc>
          <w:tcPr>
            <w:tcW w:w="289" w:type="pct"/>
            <w:vMerge w:val="continue"/>
            <w:shd w:val="clear" w:color="auto" w:fill="auto"/>
            <w:vAlign w:val="center"/>
          </w:tcPr>
          <w:p>
            <w:pPr>
              <w:pStyle w:val="182"/>
              <w:rPr>
                <w:color w:val="auto"/>
              </w:rPr>
            </w:pPr>
          </w:p>
        </w:tc>
        <w:tc>
          <w:tcPr>
            <w:tcW w:w="510" w:type="pct"/>
            <w:vMerge w:val="continue"/>
            <w:shd w:val="clear" w:color="auto" w:fill="auto"/>
          </w:tcPr>
          <w:p>
            <w:pPr>
              <w:pStyle w:val="182"/>
              <w:rPr>
                <w:color w:val="auto"/>
              </w:rPr>
            </w:pPr>
          </w:p>
        </w:tc>
        <w:tc>
          <w:tcPr>
            <w:tcW w:w="905" w:type="pct"/>
            <w:vMerge w:val="continue"/>
            <w:shd w:val="clear" w:color="auto" w:fill="auto"/>
          </w:tcPr>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数据24小时内上传，无人工干预</w:t>
            </w:r>
          </w:p>
        </w:tc>
        <w:tc>
          <w:tcPr>
            <w:tcW w:w="456" w:type="pct"/>
            <w:shd w:val="clear" w:color="auto" w:fill="auto"/>
          </w:tcPr>
          <w:p>
            <w:pPr>
              <w:pStyle w:val="182"/>
              <w:rPr>
                <w:color w:val="auto"/>
              </w:rPr>
            </w:pPr>
          </w:p>
        </w:tc>
        <w:tc>
          <w:tcPr>
            <w:tcW w:w="456" w:type="pct"/>
            <w:shd w:val="clear" w:color="auto" w:fill="auto"/>
          </w:tcPr>
          <w:p>
            <w:pPr>
              <w:pStyle w:val="182"/>
              <w:rPr>
                <w:color w:val="auto"/>
              </w:rPr>
            </w:pPr>
            <w:r>
              <w:rPr>
                <w:rFonts w:hint="eastAsia" w:hAnsi="宋体"/>
                <w:color w:val="auto"/>
                <w:szCs w:val="18"/>
              </w:rPr>
              <w:t>√</w:t>
            </w: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103</w:t>
            </w:r>
          </w:p>
        </w:tc>
        <w:tc>
          <w:tcPr>
            <w:tcW w:w="289" w:type="pct"/>
            <w:vMerge w:val="continue"/>
            <w:shd w:val="clear" w:color="auto" w:fill="auto"/>
            <w:vAlign w:val="center"/>
          </w:tcPr>
          <w:p>
            <w:pPr>
              <w:pStyle w:val="182"/>
              <w:rPr>
                <w:color w:val="auto"/>
              </w:rPr>
            </w:pPr>
          </w:p>
        </w:tc>
        <w:tc>
          <w:tcPr>
            <w:tcW w:w="510" w:type="pct"/>
            <w:vMerge w:val="continue"/>
            <w:shd w:val="clear" w:color="auto" w:fill="auto"/>
          </w:tcPr>
          <w:p>
            <w:pPr>
              <w:pStyle w:val="182"/>
              <w:rPr>
                <w:color w:val="auto"/>
              </w:rPr>
            </w:pPr>
          </w:p>
        </w:tc>
        <w:tc>
          <w:tcPr>
            <w:tcW w:w="905" w:type="pct"/>
            <w:vMerge w:val="continue"/>
            <w:shd w:val="clear" w:color="auto" w:fill="auto"/>
          </w:tcPr>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数据超过24小时上传或须人工干预</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操作员现金归还</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107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108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109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110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中心系统现金交易统计数据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TVM现金核算数据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119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班次现金核算数据</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备用金领用归还</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129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131</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时钟管理</w:t>
            </w:r>
          </w:p>
        </w:tc>
        <w:tc>
          <w:tcPr>
            <w:tcW w:w="905" w:type="pct"/>
            <w:vMerge w:val="restart"/>
            <w:shd w:val="clear" w:color="auto" w:fill="auto"/>
            <w:vAlign w:val="center"/>
          </w:tcPr>
          <w:p>
            <w:pPr>
              <w:pStyle w:val="182"/>
              <w:rPr>
                <w:color w:val="auto"/>
              </w:rPr>
            </w:pPr>
            <w:r>
              <w:rPr>
                <w:rFonts w:hint="eastAsia" w:hAnsi="宋体"/>
                <w:color w:val="auto"/>
                <w:szCs w:val="18"/>
              </w:rPr>
              <w:t>强制时钟同步命令</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vAlign w:val="center"/>
          </w:tcPr>
          <w:p>
            <w:pPr>
              <w:pStyle w:val="182"/>
              <w:rPr>
                <w:color w:val="auto"/>
              </w:rPr>
            </w:pPr>
            <w:r>
              <w:rPr>
                <w:rFonts w:hint="eastAsia" w:hAnsi="宋体"/>
                <w:color w:val="auto"/>
                <w:szCs w:val="18"/>
              </w:rPr>
              <w:t>1</w:t>
            </w:r>
            <w:r>
              <w:rPr>
                <w:rFonts w:hint="eastAsia"/>
                <w:color w:val="auto"/>
                <w:szCs w:val="18"/>
              </w:rPr>
              <w:t>32</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vMerge w:val="continue"/>
            <w:tcBorders>
              <w:bottom w:val="single" w:color="auto" w:sz="4" w:space="0"/>
            </w:tcBorders>
            <w:shd w:val="clear" w:color="auto" w:fill="auto"/>
            <w:vAlign w:val="center"/>
          </w:tcPr>
          <w:p>
            <w:pPr>
              <w:pStyle w:val="182"/>
              <w:rPr>
                <w:color w:val="auto"/>
              </w:rPr>
            </w:pPr>
          </w:p>
        </w:tc>
        <w:tc>
          <w:tcPr>
            <w:tcW w:w="905" w:type="pct"/>
            <w:vMerge w:val="continue"/>
            <w:tcBorders>
              <w:bottom w:val="single" w:color="auto" w:sz="4" w:space="0"/>
            </w:tcBorders>
            <w:shd w:val="clear" w:color="auto" w:fill="auto"/>
            <w:vAlign w:val="center"/>
          </w:tcPr>
          <w:p>
            <w:pPr>
              <w:pStyle w:val="182"/>
              <w:rPr>
                <w:color w:val="auto"/>
              </w:rPr>
            </w:pP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tcBorders>
              <w:bottom w:val="single" w:color="auto" w:sz="4" w:space="0"/>
            </w:tcBorders>
            <w:shd w:val="clear" w:color="auto" w:fill="auto"/>
            <w:vAlign w:val="center"/>
          </w:tcPr>
          <w:p>
            <w:pPr>
              <w:pStyle w:val="182"/>
              <w:rPr>
                <w:color w:val="auto"/>
              </w:rPr>
            </w:pP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133</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运营管理</w:t>
            </w:r>
          </w:p>
        </w:tc>
        <w:tc>
          <w:tcPr>
            <w:tcW w:w="510"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运营结束</w:t>
            </w:r>
          </w:p>
        </w:tc>
        <w:tc>
          <w:tcPr>
            <w:tcW w:w="905"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运营结束</w:t>
            </w:r>
          </w:p>
        </w:tc>
        <w:tc>
          <w:tcPr>
            <w:tcW w:w="1692"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系统/设备无法正常进行运营结束</w:t>
            </w:r>
          </w:p>
        </w:tc>
        <w:tc>
          <w:tcPr>
            <w:tcW w:w="45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5"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vAlign w:val="center"/>
          </w:tcPr>
          <w:p>
            <w:pPr>
              <w:pStyle w:val="182"/>
              <w:rPr>
                <w:color w:val="auto"/>
              </w:rPr>
            </w:pPr>
            <w:r>
              <w:rPr>
                <w:rFonts w:hint="eastAsia" w:hAnsi="宋体"/>
                <w:color w:val="auto"/>
                <w:szCs w:val="18"/>
              </w:rPr>
              <w:t>134</w:t>
            </w:r>
          </w:p>
        </w:tc>
        <w:tc>
          <w:tcPr>
            <w:tcW w:w="289" w:type="pct"/>
            <w:vMerge w:val="continue"/>
            <w:tcBorders>
              <w:top w:val="single" w:color="auto" w:sz="4" w:space="0"/>
            </w:tcBorders>
            <w:shd w:val="clear" w:color="auto" w:fill="auto"/>
            <w:vAlign w:val="center"/>
          </w:tcPr>
          <w:p>
            <w:pPr>
              <w:pStyle w:val="182"/>
              <w:rPr>
                <w:color w:val="auto"/>
              </w:rPr>
            </w:pPr>
          </w:p>
        </w:tc>
        <w:tc>
          <w:tcPr>
            <w:tcW w:w="510" w:type="pct"/>
            <w:vMerge w:val="restart"/>
            <w:tcBorders>
              <w:top w:val="single" w:color="auto" w:sz="4" w:space="0"/>
            </w:tcBorders>
            <w:shd w:val="clear" w:color="auto" w:fill="auto"/>
            <w:vAlign w:val="center"/>
          </w:tcPr>
          <w:p>
            <w:pPr>
              <w:pStyle w:val="182"/>
              <w:rPr>
                <w:color w:val="auto"/>
              </w:rPr>
            </w:pPr>
            <w:r>
              <w:rPr>
                <w:rFonts w:hint="eastAsia" w:hAnsi="宋体"/>
                <w:color w:val="auto"/>
                <w:szCs w:val="18"/>
              </w:rPr>
              <w:t>数据管理</w:t>
            </w:r>
          </w:p>
        </w:tc>
        <w:tc>
          <w:tcPr>
            <w:tcW w:w="905" w:type="pct"/>
            <w:vMerge w:val="restart"/>
            <w:tcBorders>
              <w:top w:val="single" w:color="auto" w:sz="4" w:space="0"/>
            </w:tcBorders>
            <w:shd w:val="clear" w:color="auto" w:fill="auto"/>
            <w:vAlign w:val="center"/>
          </w:tcPr>
          <w:p>
            <w:pPr>
              <w:pStyle w:val="182"/>
              <w:rPr>
                <w:color w:val="auto"/>
              </w:rPr>
            </w:pPr>
            <w:r>
              <w:rPr>
                <w:rFonts w:hint="eastAsia" w:hAnsi="宋体"/>
                <w:color w:val="auto"/>
                <w:szCs w:val="18"/>
              </w:rPr>
              <w:t>全部交易数据</w:t>
            </w:r>
          </w:p>
        </w:tc>
        <w:tc>
          <w:tcPr>
            <w:tcW w:w="1692"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数据内容不准确</w:t>
            </w:r>
          </w:p>
        </w:tc>
        <w:tc>
          <w:tcPr>
            <w:tcW w:w="456"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tcBorders>
            <w:shd w:val="clear" w:color="auto" w:fill="auto"/>
            <w:vAlign w:val="center"/>
          </w:tcPr>
          <w:p>
            <w:pPr>
              <w:pStyle w:val="182"/>
              <w:rPr>
                <w:color w:val="auto"/>
              </w:rPr>
            </w:pPr>
          </w:p>
        </w:tc>
        <w:tc>
          <w:tcPr>
            <w:tcW w:w="455" w:type="pct"/>
            <w:tcBorders>
              <w:top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w:t>
            </w:r>
            <w:r>
              <w:rPr>
                <w:rFonts w:hint="eastAsia"/>
                <w:color w:val="auto"/>
                <w:szCs w:val="18"/>
              </w:rPr>
              <w:t>36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139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数据导出失败</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140</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日志管理</w:t>
            </w:r>
          </w:p>
        </w:tc>
        <w:tc>
          <w:tcPr>
            <w:tcW w:w="905" w:type="pct"/>
            <w:vMerge w:val="restart"/>
            <w:shd w:val="clear" w:color="auto" w:fill="auto"/>
            <w:vAlign w:val="center"/>
          </w:tcPr>
          <w:p>
            <w:pPr>
              <w:pStyle w:val="182"/>
              <w:rPr>
                <w:color w:val="auto"/>
              </w:rPr>
            </w:pPr>
            <w:r>
              <w:rPr>
                <w:rFonts w:hint="eastAsia" w:hAnsi="宋体"/>
                <w:color w:val="auto"/>
                <w:szCs w:val="18"/>
              </w:rPr>
              <w:t>上传设备调试数据</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操作日志</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144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145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146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147</w:t>
            </w:r>
          </w:p>
        </w:tc>
        <w:tc>
          <w:tcPr>
            <w:tcW w:w="289" w:type="pct"/>
            <w:vMerge w:val="continue"/>
            <w:shd w:val="clear" w:color="auto" w:fill="auto"/>
            <w:vAlign w:val="center"/>
          </w:tcPr>
          <w:p>
            <w:pPr>
              <w:pStyle w:val="182"/>
              <w:rPr>
                <w:color w:val="auto"/>
              </w:rPr>
            </w:pPr>
          </w:p>
        </w:tc>
        <w:tc>
          <w:tcPr>
            <w:tcW w:w="510" w:type="pct"/>
            <w:shd w:val="clear" w:color="auto" w:fill="auto"/>
          </w:tcPr>
          <w:p>
            <w:pPr>
              <w:pStyle w:val="182"/>
              <w:rPr>
                <w:color w:val="auto"/>
              </w:rPr>
            </w:pPr>
            <w:r>
              <w:rPr>
                <w:rFonts w:hint="eastAsia" w:hAnsi="宋体"/>
                <w:color w:val="auto"/>
                <w:szCs w:val="18"/>
              </w:rPr>
              <w:t>报表管理</w:t>
            </w:r>
          </w:p>
        </w:tc>
        <w:tc>
          <w:tcPr>
            <w:tcW w:w="905" w:type="pct"/>
            <w:shd w:val="clear" w:color="auto" w:fill="auto"/>
          </w:tcPr>
          <w:p>
            <w:pPr>
              <w:pStyle w:val="182"/>
              <w:rPr>
                <w:color w:val="auto"/>
              </w:rPr>
            </w:pPr>
            <w:r>
              <w:rPr>
                <w:rFonts w:hint="eastAsia" w:hAnsi="宋体"/>
                <w:color w:val="auto"/>
                <w:szCs w:val="18"/>
              </w:rPr>
              <w:t>报表管理</w:t>
            </w:r>
          </w:p>
        </w:tc>
        <w:tc>
          <w:tcPr>
            <w:tcW w:w="1692" w:type="pct"/>
            <w:shd w:val="clear" w:color="auto" w:fill="auto"/>
          </w:tcPr>
          <w:p>
            <w:pPr>
              <w:pStyle w:val="182"/>
              <w:jc w:val="left"/>
              <w:rPr>
                <w:color w:val="auto"/>
              </w:rPr>
            </w:pPr>
            <w:r>
              <w:rPr>
                <w:rFonts w:hint="eastAsia" w:hAnsi="宋体"/>
                <w:color w:val="auto"/>
                <w:szCs w:val="18"/>
              </w:rPr>
              <w:t>报表统计错误</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148</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审计管理</w:t>
            </w:r>
          </w:p>
        </w:tc>
        <w:tc>
          <w:tcPr>
            <w:tcW w:w="905" w:type="pct"/>
            <w:vMerge w:val="restart"/>
            <w:shd w:val="clear" w:color="auto" w:fill="auto"/>
            <w:vAlign w:val="center"/>
          </w:tcPr>
          <w:p>
            <w:pPr>
              <w:pStyle w:val="182"/>
              <w:rPr>
                <w:color w:val="auto"/>
              </w:rPr>
            </w:pPr>
            <w:r>
              <w:rPr>
                <w:rFonts w:hint="eastAsia" w:hAnsi="宋体"/>
                <w:color w:val="auto"/>
                <w:szCs w:val="18"/>
              </w:rPr>
              <w:t>包传输审计数据</w:t>
            </w:r>
          </w:p>
        </w:tc>
        <w:tc>
          <w:tcPr>
            <w:tcW w:w="1692" w:type="pct"/>
            <w:shd w:val="clear" w:color="auto" w:fill="auto"/>
          </w:tcPr>
          <w:p>
            <w:pPr>
              <w:pStyle w:val="182"/>
              <w:jc w:val="left"/>
              <w:rPr>
                <w:color w:val="auto"/>
              </w:rPr>
            </w:pPr>
            <w:r>
              <w:rPr>
                <w:rFonts w:hint="eastAsia" w:hAnsi="宋体"/>
                <w:color w:val="auto"/>
                <w:szCs w:val="18"/>
              </w:rPr>
              <w:t>数据内容不准确</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tcPr>
          <w:p>
            <w:pPr>
              <w:pStyle w:val="182"/>
              <w:rPr>
                <w:color w:val="auto"/>
              </w:rPr>
            </w:pPr>
            <w:r>
              <w:rPr>
                <w:rFonts w:hint="eastAsia" w:hAnsi="宋体"/>
                <w:color w:val="auto"/>
                <w:szCs w:val="18"/>
              </w:rPr>
              <w:t>149</w:t>
            </w:r>
          </w:p>
        </w:tc>
        <w:tc>
          <w:tcPr>
            <w:tcW w:w="289" w:type="pct"/>
            <w:vMerge w:val="continue"/>
            <w:shd w:val="clear" w:color="auto" w:fill="auto"/>
            <w:vAlign w:val="center"/>
          </w:tcPr>
          <w:p>
            <w:pPr>
              <w:pStyle w:val="182"/>
              <w:rPr>
                <w:color w:val="auto"/>
              </w:rPr>
            </w:pPr>
          </w:p>
        </w:tc>
        <w:tc>
          <w:tcPr>
            <w:tcW w:w="510" w:type="pct"/>
            <w:vMerge w:val="continue"/>
            <w:shd w:val="clear" w:color="auto" w:fill="auto"/>
          </w:tcPr>
          <w:p>
            <w:pPr>
              <w:pStyle w:val="182"/>
              <w:rPr>
                <w:color w:val="auto"/>
              </w:rPr>
            </w:pPr>
          </w:p>
        </w:tc>
        <w:tc>
          <w:tcPr>
            <w:tcW w:w="905" w:type="pct"/>
            <w:vMerge w:val="continue"/>
            <w:shd w:val="clear" w:color="auto" w:fill="auto"/>
          </w:tcPr>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数据24小时内上传，无人工干预</w:t>
            </w:r>
          </w:p>
        </w:tc>
        <w:tc>
          <w:tcPr>
            <w:tcW w:w="456" w:type="pct"/>
            <w:shd w:val="clear" w:color="auto" w:fill="auto"/>
          </w:tcPr>
          <w:p>
            <w:pPr>
              <w:pStyle w:val="182"/>
              <w:rPr>
                <w:color w:val="auto"/>
              </w:rPr>
            </w:pPr>
          </w:p>
        </w:tc>
        <w:tc>
          <w:tcPr>
            <w:tcW w:w="456" w:type="pct"/>
            <w:shd w:val="clear" w:color="auto" w:fill="auto"/>
          </w:tcPr>
          <w:p>
            <w:pPr>
              <w:pStyle w:val="182"/>
              <w:rPr>
                <w:color w:val="auto"/>
              </w:rPr>
            </w:pPr>
            <w:r>
              <w:rPr>
                <w:rFonts w:hint="eastAsia" w:hAnsi="宋体"/>
                <w:color w:val="auto"/>
                <w:szCs w:val="18"/>
              </w:rPr>
              <w:t>√</w:t>
            </w: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150</w:t>
            </w:r>
          </w:p>
        </w:tc>
        <w:tc>
          <w:tcPr>
            <w:tcW w:w="289" w:type="pct"/>
            <w:vMerge w:val="continue"/>
            <w:shd w:val="clear" w:color="auto" w:fill="auto"/>
            <w:vAlign w:val="center"/>
          </w:tcPr>
          <w:p>
            <w:pPr>
              <w:pStyle w:val="182"/>
              <w:rPr>
                <w:color w:val="auto"/>
              </w:rPr>
            </w:pPr>
          </w:p>
        </w:tc>
        <w:tc>
          <w:tcPr>
            <w:tcW w:w="510" w:type="pct"/>
            <w:vMerge w:val="continue"/>
            <w:shd w:val="clear" w:color="auto" w:fill="auto"/>
          </w:tcPr>
          <w:p>
            <w:pPr>
              <w:pStyle w:val="182"/>
              <w:rPr>
                <w:color w:val="auto"/>
              </w:rPr>
            </w:pPr>
          </w:p>
        </w:tc>
        <w:tc>
          <w:tcPr>
            <w:tcW w:w="905" w:type="pct"/>
            <w:vMerge w:val="continue"/>
            <w:shd w:val="clear" w:color="auto" w:fill="auto"/>
          </w:tcPr>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数据超过24小时上传或须人工干预</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151</w:t>
            </w:r>
          </w:p>
        </w:tc>
        <w:tc>
          <w:tcPr>
            <w:tcW w:w="289" w:type="pct"/>
            <w:vMerge w:val="continue"/>
            <w:shd w:val="clear" w:color="auto" w:fill="auto"/>
            <w:vAlign w:val="center"/>
          </w:tcPr>
          <w:p>
            <w:pPr>
              <w:pStyle w:val="182"/>
              <w:rPr>
                <w:color w:val="auto"/>
              </w:rPr>
            </w:pPr>
          </w:p>
        </w:tc>
        <w:tc>
          <w:tcPr>
            <w:tcW w:w="510" w:type="pct"/>
            <w:vMerge w:val="continue"/>
            <w:shd w:val="clear" w:color="auto" w:fill="auto"/>
          </w:tcPr>
          <w:p>
            <w:pPr>
              <w:pStyle w:val="182"/>
              <w:rPr>
                <w:color w:val="auto"/>
              </w:rPr>
            </w:pPr>
          </w:p>
        </w:tc>
        <w:tc>
          <w:tcPr>
            <w:tcW w:w="905" w:type="pct"/>
            <w:vMerge w:val="continue"/>
            <w:shd w:val="clear" w:color="auto" w:fill="auto"/>
          </w:tcPr>
          <w:p>
            <w:pPr>
              <w:pStyle w:val="182"/>
              <w:rPr>
                <w:color w:val="auto"/>
              </w:rPr>
            </w:pPr>
          </w:p>
        </w:tc>
        <w:tc>
          <w:tcPr>
            <w:tcW w:w="1692" w:type="pct"/>
            <w:shd w:val="clear" w:color="auto" w:fill="auto"/>
          </w:tcPr>
          <w:p>
            <w:pPr>
              <w:pStyle w:val="182"/>
              <w:jc w:val="left"/>
              <w:rPr>
                <w:color w:val="auto"/>
              </w:rPr>
            </w:pPr>
            <w:r>
              <w:rPr>
                <w:rFonts w:hint="eastAsia" w:hAnsi="宋体"/>
                <w:color w:val="auto"/>
                <w:szCs w:val="18"/>
              </w:rPr>
              <w:t>数据丢失</w:t>
            </w:r>
          </w:p>
        </w:tc>
        <w:tc>
          <w:tcPr>
            <w:tcW w:w="456" w:type="pct"/>
            <w:shd w:val="clear" w:color="auto" w:fill="auto"/>
          </w:tcPr>
          <w:p>
            <w:pPr>
              <w:pStyle w:val="182"/>
              <w:rPr>
                <w:color w:val="auto"/>
              </w:rPr>
            </w:pPr>
            <w:r>
              <w:rPr>
                <w:rFonts w:hint="eastAsia" w:hAnsi="宋体"/>
                <w:color w:val="auto"/>
                <w:szCs w:val="18"/>
              </w:rPr>
              <w:t>√</w:t>
            </w:r>
          </w:p>
        </w:tc>
        <w:tc>
          <w:tcPr>
            <w:tcW w:w="456" w:type="pct"/>
            <w:shd w:val="clear" w:color="auto" w:fill="auto"/>
          </w:tcPr>
          <w:p>
            <w:pPr>
              <w:pStyle w:val="182"/>
              <w:rPr>
                <w:color w:val="auto"/>
              </w:rPr>
            </w:pPr>
          </w:p>
        </w:tc>
        <w:tc>
          <w:tcPr>
            <w:tcW w:w="455" w:type="pct"/>
            <w:shd w:val="clear" w:color="auto" w:fill="auto"/>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上传指定包编号数据命令</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上传指定时间数据命令</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157</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设备签到签退</w:t>
            </w:r>
          </w:p>
        </w:tc>
        <w:tc>
          <w:tcPr>
            <w:tcW w:w="905" w:type="pct"/>
            <w:vMerge w:val="restart"/>
            <w:shd w:val="clear" w:color="auto" w:fill="auto"/>
            <w:vAlign w:val="center"/>
          </w:tcPr>
          <w:p>
            <w:pPr>
              <w:pStyle w:val="182"/>
              <w:rPr>
                <w:color w:val="auto"/>
              </w:rPr>
            </w:pPr>
            <w:r>
              <w:rPr>
                <w:rFonts w:hint="eastAsia" w:hAnsi="宋体"/>
                <w:color w:val="auto"/>
                <w:szCs w:val="18"/>
              </w:rPr>
              <w:t>设备签到签退请求</w:t>
            </w:r>
          </w:p>
        </w:tc>
        <w:tc>
          <w:tcPr>
            <w:tcW w:w="1692"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159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ISAM签到/签退</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签到/签退异常</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设备认证事件</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168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vAlign w:val="center"/>
          </w:tcPr>
          <w:p>
            <w:pPr>
              <w:pStyle w:val="182"/>
              <w:rPr>
                <w:color w:val="auto"/>
              </w:rPr>
            </w:pPr>
            <w:r>
              <w:rPr>
                <w:rFonts w:hint="eastAsia" w:hAnsi="宋体"/>
                <w:color w:val="auto"/>
                <w:szCs w:val="18"/>
              </w:rPr>
              <w:t>169</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vMerge w:val="continue"/>
            <w:tcBorders>
              <w:bottom w:val="single" w:color="auto" w:sz="4" w:space="0"/>
            </w:tcBorders>
            <w:shd w:val="clear" w:color="auto" w:fill="auto"/>
            <w:vAlign w:val="center"/>
          </w:tcPr>
          <w:p>
            <w:pPr>
              <w:pStyle w:val="182"/>
              <w:rPr>
                <w:color w:val="auto"/>
              </w:rPr>
            </w:pPr>
          </w:p>
        </w:tc>
        <w:tc>
          <w:tcPr>
            <w:tcW w:w="905" w:type="pct"/>
            <w:vMerge w:val="continue"/>
            <w:tcBorders>
              <w:bottom w:val="single" w:color="auto" w:sz="4" w:space="0"/>
            </w:tcBorders>
            <w:shd w:val="clear" w:color="auto" w:fill="auto"/>
            <w:vAlign w:val="center"/>
          </w:tcPr>
          <w:p>
            <w:pPr>
              <w:pStyle w:val="182"/>
              <w:rPr>
                <w:color w:val="auto"/>
              </w:rPr>
            </w:pP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tcBorders>
              <w:bottom w:val="single" w:color="auto" w:sz="4" w:space="0"/>
            </w:tcBorders>
            <w:shd w:val="clear" w:color="auto" w:fill="auto"/>
            <w:vAlign w:val="center"/>
          </w:tcPr>
          <w:p>
            <w:pPr>
              <w:pStyle w:val="182"/>
              <w:rPr>
                <w:color w:val="auto"/>
              </w:rPr>
            </w:pP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170</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运营管理</w:t>
            </w:r>
          </w:p>
        </w:tc>
        <w:tc>
          <w:tcPr>
            <w:tcW w:w="510"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通信恢复</w:t>
            </w:r>
          </w:p>
        </w:tc>
        <w:tc>
          <w:tcPr>
            <w:tcW w:w="905"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连接认证请求</w:t>
            </w:r>
          </w:p>
        </w:tc>
        <w:tc>
          <w:tcPr>
            <w:tcW w:w="1692"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5"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vAlign w:val="center"/>
          </w:tcPr>
          <w:p>
            <w:pPr>
              <w:pStyle w:val="182"/>
              <w:rPr>
                <w:color w:val="auto"/>
              </w:rPr>
            </w:pPr>
            <w:r>
              <w:rPr>
                <w:rFonts w:hint="eastAsia" w:hAnsi="宋体"/>
                <w:color w:val="auto"/>
                <w:szCs w:val="18"/>
              </w:rPr>
              <w:t>171</w:t>
            </w:r>
          </w:p>
        </w:tc>
        <w:tc>
          <w:tcPr>
            <w:tcW w:w="289" w:type="pct"/>
            <w:vMerge w:val="continue"/>
            <w:tcBorders>
              <w:top w:val="single" w:color="auto" w:sz="4" w:space="0"/>
            </w:tcBorders>
            <w:shd w:val="clear" w:color="auto" w:fill="auto"/>
            <w:vAlign w:val="center"/>
          </w:tcPr>
          <w:p>
            <w:pPr>
              <w:pStyle w:val="182"/>
              <w:rPr>
                <w:color w:val="auto"/>
              </w:rPr>
            </w:pPr>
          </w:p>
        </w:tc>
        <w:tc>
          <w:tcPr>
            <w:tcW w:w="510" w:type="pct"/>
            <w:vMerge w:val="continue"/>
            <w:tcBorders>
              <w:top w:val="single" w:color="auto" w:sz="4" w:space="0"/>
            </w:tcBorders>
            <w:shd w:val="clear" w:color="auto" w:fill="auto"/>
            <w:vAlign w:val="center"/>
          </w:tcPr>
          <w:p>
            <w:pPr>
              <w:pStyle w:val="182"/>
              <w:rPr>
                <w:color w:val="auto"/>
              </w:rPr>
            </w:pPr>
          </w:p>
        </w:tc>
        <w:tc>
          <w:tcPr>
            <w:tcW w:w="905" w:type="pct"/>
            <w:vMerge w:val="continue"/>
            <w:tcBorders>
              <w:top w:val="single" w:color="auto" w:sz="4" w:space="0"/>
            </w:tcBorders>
            <w:shd w:val="clear" w:color="auto" w:fill="auto"/>
            <w:vAlign w:val="center"/>
          </w:tcPr>
          <w:p>
            <w:pPr>
              <w:pStyle w:val="182"/>
              <w:rPr>
                <w:color w:val="auto"/>
              </w:rPr>
            </w:pPr>
          </w:p>
        </w:tc>
        <w:tc>
          <w:tcPr>
            <w:tcW w:w="1692"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tcBorders>
              <w:top w:val="single" w:color="auto" w:sz="4" w:space="0"/>
            </w:tcBorders>
            <w:shd w:val="clear" w:color="auto" w:fill="auto"/>
            <w:vAlign w:val="center"/>
          </w:tcPr>
          <w:p>
            <w:pPr>
              <w:pStyle w:val="182"/>
              <w:rPr>
                <w:color w:val="auto"/>
              </w:rPr>
            </w:pPr>
          </w:p>
        </w:tc>
        <w:tc>
          <w:tcPr>
            <w:tcW w:w="456" w:type="pct"/>
            <w:tcBorders>
              <w:top w:val="single" w:color="auto" w:sz="4" w:space="0"/>
            </w:tcBorders>
            <w:shd w:val="clear" w:color="auto" w:fill="auto"/>
            <w:vAlign w:val="center"/>
          </w:tcPr>
          <w:p>
            <w:pPr>
              <w:pStyle w:val="182"/>
              <w:rPr>
                <w:color w:val="auto"/>
              </w:rPr>
            </w:pPr>
          </w:p>
        </w:tc>
        <w:tc>
          <w:tcPr>
            <w:tcW w:w="455"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172</w:t>
            </w:r>
          </w:p>
        </w:tc>
        <w:tc>
          <w:tcPr>
            <w:tcW w:w="289" w:type="pct"/>
            <w:vMerge w:val="continue"/>
            <w:shd w:val="clear" w:color="auto" w:fill="auto"/>
            <w:vAlign w:val="center"/>
          </w:tcPr>
          <w:p>
            <w:pPr>
              <w:pStyle w:val="182"/>
              <w:rPr>
                <w:color w:val="auto"/>
              </w:rPr>
            </w:pPr>
          </w:p>
        </w:tc>
        <w:tc>
          <w:tcPr>
            <w:tcW w:w="510" w:type="pct"/>
            <w:vMerge w:val="restart"/>
            <w:shd w:val="clear" w:color="auto" w:fill="auto"/>
            <w:vAlign w:val="center"/>
          </w:tcPr>
          <w:p>
            <w:pPr>
              <w:pStyle w:val="182"/>
              <w:rPr>
                <w:color w:val="auto"/>
              </w:rPr>
            </w:pPr>
            <w:r>
              <w:rPr>
                <w:rFonts w:hint="eastAsia" w:hAnsi="宋体"/>
                <w:color w:val="auto"/>
                <w:szCs w:val="18"/>
              </w:rPr>
              <w:t>钱箱/票箱管理</w:t>
            </w:r>
          </w:p>
        </w:tc>
        <w:tc>
          <w:tcPr>
            <w:tcW w:w="905" w:type="pct"/>
            <w:vMerge w:val="restart"/>
            <w:shd w:val="clear" w:color="auto" w:fill="auto"/>
            <w:vAlign w:val="center"/>
          </w:tcPr>
          <w:p>
            <w:pPr>
              <w:pStyle w:val="182"/>
              <w:rPr>
                <w:color w:val="auto"/>
              </w:rPr>
            </w:pPr>
            <w:r>
              <w:rPr>
                <w:rFonts w:hint="eastAsia" w:hAnsi="宋体"/>
                <w:color w:val="auto"/>
                <w:szCs w:val="18"/>
              </w:rPr>
              <w:t>TVM钱箱信息查询请求</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w:t>
            </w:r>
            <w:r>
              <w:rPr>
                <w:rFonts w:hint="eastAsia"/>
                <w:color w:val="auto"/>
                <w:szCs w:val="18"/>
              </w:rPr>
              <w:t>75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票箱更换</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179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钱箱更换</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钱箱领用/归还</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189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票箱压票/清点</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钱/票箱登记</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199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票箱库存报告</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w:t>
            </w:r>
            <w:r>
              <w:rPr>
                <w:rFonts w:hint="eastAsia"/>
                <w:color w:val="auto"/>
                <w:szCs w:val="18"/>
              </w:rPr>
              <w:t>04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205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bottom w:val="single" w:color="auto" w:sz="4" w:space="0"/>
            </w:tcBorders>
            <w:shd w:val="clear" w:color="auto" w:fill="auto"/>
            <w:vAlign w:val="center"/>
          </w:tcPr>
          <w:p>
            <w:pPr>
              <w:pStyle w:val="182"/>
              <w:rPr>
                <w:color w:val="auto"/>
              </w:rPr>
            </w:pPr>
            <w:r>
              <w:rPr>
                <w:rFonts w:hint="eastAsia" w:hAnsi="宋体"/>
                <w:color w:val="auto"/>
                <w:szCs w:val="18"/>
              </w:rPr>
              <w:t>206</w:t>
            </w:r>
          </w:p>
        </w:tc>
        <w:tc>
          <w:tcPr>
            <w:tcW w:w="289" w:type="pct"/>
            <w:vMerge w:val="continue"/>
            <w:tcBorders>
              <w:bottom w:val="single" w:color="auto" w:sz="4" w:space="0"/>
            </w:tcBorders>
            <w:shd w:val="clear" w:color="auto" w:fill="auto"/>
            <w:vAlign w:val="center"/>
          </w:tcPr>
          <w:p>
            <w:pPr>
              <w:pStyle w:val="182"/>
              <w:rPr>
                <w:color w:val="auto"/>
              </w:rPr>
            </w:pPr>
          </w:p>
        </w:tc>
        <w:tc>
          <w:tcPr>
            <w:tcW w:w="510" w:type="pct"/>
            <w:vMerge w:val="continue"/>
            <w:tcBorders>
              <w:bottom w:val="single" w:color="auto" w:sz="4" w:space="0"/>
            </w:tcBorders>
            <w:shd w:val="clear" w:color="auto" w:fill="auto"/>
            <w:vAlign w:val="center"/>
          </w:tcPr>
          <w:p>
            <w:pPr>
              <w:pStyle w:val="182"/>
              <w:rPr>
                <w:color w:val="auto"/>
              </w:rPr>
            </w:pPr>
          </w:p>
        </w:tc>
        <w:tc>
          <w:tcPr>
            <w:tcW w:w="905" w:type="pct"/>
            <w:vMerge w:val="continue"/>
            <w:tcBorders>
              <w:bottom w:val="single" w:color="auto" w:sz="4" w:space="0"/>
            </w:tcBorders>
            <w:shd w:val="clear" w:color="auto" w:fill="auto"/>
            <w:vAlign w:val="center"/>
          </w:tcPr>
          <w:p>
            <w:pPr>
              <w:pStyle w:val="182"/>
              <w:rPr>
                <w:color w:val="auto"/>
              </w:rPr>
            </w:pPr>
          </w:p>
        </w:tc>
        <w:tc>
          <w:tcPr>
            <w:tcW w:w="1692"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tcBorders>
              <w:bottom w:val="single" w:color="auto" w:sz="4" w:space="0"/>
            </w:tcBorders>
            <w:shd w:val="clear" w:color="auto" w:fill="auto"/>
            <w:vAlign w:val="center"/>
          </w:tcPr>
          <w:p>
            <w:pPr>
              <w:pStyle w:val="182"/>
              <w:rPr>
                <w:color w:val="auto"/>
              </w:rPr>
            </w:pPr>
          </w:p>
        </w:tc>
        <w:tc>
          <w:tcPr>
            <w:tcW w:w="456" w:type="pct"/>
            <w:tcBorders>
              <w:bottom w:val="single" w:color="auto" w:sz="4" w:space="0"/>
            </w:tcBorders>
            <w:shd w:val="clear" w:color="auto" w:fill="auto"/>
            <w:vAlign w:val="center"/>
          </w:tcPr>
          <w:p>
            <w:pPr>
              <w:pStyle w:val="182"/>
              <w:rPr>
                <w:color w:val="auto"/>
              </w:rPr>
            </w:pPr>
          </w:p>
        </w:tc>
        <w:tc>
          <w:tcPr>
            <w:tcW w:w="455"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1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3"/>
        <w:gridCol w:w="957"/>
        <w:gridCol w:w="1702"/>
        <w:gridCol w:w="3179"/>
        <w:gridCol w:w="857"/>
        <w:gridCol w:w="857"/>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0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1"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4"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207</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color w:val="auto"/>
              </w:rPr>
              <w:t>运营管理</w:t>
            </w:r>
          </w:p>
        </w:tc>
        <w:tc>
          <w:tcPr>
            <w:tcW w:w="50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钱箱/票箱管理</w:t>
            </w:r>
          </w:p>
        </w:tc>
        <w:tc>
          <w:tcPr>
            <w:tcW w:w="905"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钱箱数量报告</w:t>
            </w:r>
          </w:p>
        </w:tc>
        <w:tc>
          <w:tcPr>
            <w:tcW w:w="1691"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数据内容不准确</w:t>
            </w:r>
          </w:p>
        </w:tc>
        <w:tc>
          <w:tcPr>
            <w:tcW w:w="45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4"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tcBorders>
              <w:top w:val="single" w:color="auto" w:sz="4" w:space="0"/>
            </w:tcBorders>
            <w:shd w:val="clear" w:color="auto" w:fill="auto"/>
            <w:vAlign w:val="center"/>
          </w:tcPr>
          <w:p>
            <w:pPr>
              <w:pStyle w:val="182"/>
              <w:rPr>
                <w:color w:val="auto"/>
              </w:rPr>
            </w:pPr>
            <w:r>
              <w:rPr>
                <w:rFonts w:hint="eastAsia" w:hAnsi="宋体"/>
                <w:color w:val="auto"/>
                <w:szCs w:val="18"/>
              </w:rPr>
              <w:t>208</w:t>
            </w:r>
          </w:p>
        </w:tc>
        <w:tc>
          <w:tcPr>
            <w:tcW w:w="289" w:type="pct"/>
            <w:vMerge w:val="continue"/>
            <w:tcBorders>
              <w:top w:val="single" w:color="auto" w:sz="4" w:space="0"/>
            </w:tcBorders>
            <w:shd w:val="clear" w:color="auto" w:fill="auto"/>
            <w:vAlign w:val="center"/>
          </w:tcPr>
          <w:p>
            <w:pPr>
              <w:pStyle w:val="182"/>
              <w:rPr>
                <w:color w:val="auto"/>
              </w:rPr>
            </w:pPr>
          </w:p>
        </w:tc>
        <w:tc>
          <w:tcPr>
            <w:tcW w:w="509" w:type="pct"/>
            <w:vMerge w:val="continue"/>
            <w:tcBorders>
              <w:top w:val="single" w:color="auto" w:sz="4" w:space="0"/>
            </w:tcBorders>
            <w:shd w:val="clear" w:color="auto" w:fill="auto"/>
            <w:vAlign w:val="center"/>
          </w:tcPr>
          <w:p>
            <w:pPr>
              <w:pStyle w:val="182"/>
              <w:rPr>
                <w:color w:val="auto"/>
              </w:rPr>
            </w:pPr>
          </w:p>
        </w:tc>
        <w:tc>
          <w:tcPr>
            <w:tcW w:w="905" w:type="pct"/>
            <w:vMerge w:val="continue"/>
            <w:tcBorders>
              <w:top w:val="single" w:color="auto" w:sz="4" w:space="0"/>
            </w:tcBorders>
            <w:shd w:val="clear" w:color="auto" w:fill="auto"/>
            <w:vAlign w:val="center"/>
          </w:tcPr>
          <w:p>
            <w:pPr>
              <w:pStyle w:val="182"/>
              <w:rPr>
                <w:color w:val="auto"/>
              </w:rPr>
            </w:pPr>
          </w:p>
        </w:tc>
        <w:tc>
          <w:tcPr>
            <w:tcW w:w="1691"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tcBorders>
              <w:top w:val="single" w:color="auto" w:sz="4" w:space="0"/>
            </w:tcBorders>
            <w:shd w:val="clear" w:color="auto" w:fill="auto"/>
            <w:vAlign w:val="center"/>
          </w:tcPr>
          <w:p>
            <w:pPr>
              <w:pStyle w:val="182"/>
              <w:rPr>
                <w:color w:val="auto"/>
              </w:rPr>
            </w:pPr>
          </w:p>
        </w:tc>
        <w:tc>
          <w:tcPr>
            <w:tcW w:w="456"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c>
          <w:tcPr>
            <w:tcW w:w="454" w:type="pct"/>
            <w:tcBorders>
              <w:top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209</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210</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211</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212</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TVM钱箱清空</w:t>
            </w:r>
          </w:p>
        </w:tc>
        <w:tc>
          <w:tcPr>
            <w:tcW w:w="1691"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213</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214</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215</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216</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217</w:t>
            </w:r>
          </w:p>
        </w:tc>
        <w:tc>
          <w:tcPr>
            <w:tcW w:w="289" w:type="pct"/>
            <w:vMerge w:val="restart"/>
            <w:shd w:val="clear" w:color="auto" w:fill="auto"/>
            <w:vAlign w:val="center"/>
          </w:tcPr>
          <w:p>
            <w:pPr>
              <w:pStyle w:val="182"/>
              <w:rPr>
                <w:color w:val="auto"/>
              </w:rPr>
            </w:pPr>
            <w:r>
              <w:rPr>
                <w:rFonts w:hint="eastAsia"/>
                <w:color w:val="auto"/>
              </w:rPr>
              <w:t>维修维护</w:t>
            </w:r>
          </w:p>
        </w:tc>
        <w:tc>
          <w:tcPr>
            <w:tcW w:w="509" w:type="pct"/>
            <w:vMerge w:val="restart"/>
            <w:shd w:val="clear" w:color="auto" w:fill="auto"/>
            <w:vAlign w:val="center"/>
          </w:tcPr>
          <w:p>
            <w:pPr>
              <w:pStyle w:val="182"/>
              <w:rPr>
                <w:color w:val="auto"/>
              </w:rPr>
            </w:pPr>
            <w:r>
              <w:rPr>
                <w:rFonts w:hint="eastAsia" w:hAnsi="宋体"/>
                <w:color w:val="auto"/>
                <w:szCs w:val="18"/>
              </w:rPr>
              <w:t>问题状态监视</w:t>
            </w:r>
          </w:p>
        </w:tc>
        <w:tc>
          <w:tcPr>
            <w:tcW w:w="905" w:type="pct"/>
            <w:vMerge w:val="restart"/>
            <w:shd w:val="clear" w:color="auto" w:fill="auto"/>
            <w:vAlign w:val="center"/>
          </w:tcPr>
          <w:p>
            <w:pPr>
              <w:pStyle w:val="182"/>
              <w:rPr>
                <w:color w:val="auto"/>
              </w:rPr>
            </w:pPr>
            <w:r>
              <w:rPr>
                <w:rFonts w:hint="eastAsia" w:hAnsi="宋体"/>
                <w:color w:val="auto"/>
                <w:szCs w:val="18"/>
              </w:rPr>
              <w:t>设备问题数据</w:t>
            </w:r>
          </w:p>
        </w:tc>
        <w:tc>
          <w:tcPr>
            <w:tcW w:w="1691"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218</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219</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220</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221</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2</w:t>
            </w:r>
          </w:p>
        </w:tc>
        <w:tc>
          <w:tcPr>
            <w:tcW w:w="289" w:type="pct"/>
            <w:vMerge w:val="continue"/>
            <w:shd w:val="clear" w:color="auto" w:fill="auto"/>
            <w:vAlign w:val="center"/>
          </w:tcPr>
          <w:p>
            <w:pPr>
              <w:pStyle w:val="182"/>
              <w:rPr>
                <w:color w:val="auto"/>
              </w:rPr>
            </w:pPr>
          </w:p>
        </w:tc>
        <w:tc>
          <w:tcPr>
            <w:tcW w:w="509" w:type="pct"/>
            <w:vMerge w:val="restart"/>
            <w:shd w:val="clear" w:color="auto" w:fill="auto"/>
            <w:vAlign w:val="center"/>
          </w:tcPr>
          <w:p>
            <w:pPr>
              <w:pStyle w:val="182"/>
              <w:rPr>
                <w:color w:val="auto"/>
              </w:rPr>
            </w:pPr>
            <w:r>
              <w:rPr>
                <w:rFonts w:hint="eastAsia" w:hAnsi="宋体"/>
                <w:color w:val="auto"/>
                <w:szCs w:val="18"/>
              </w:rPr>
              <w:t>备件管理</w:t>
            </w:r>
          </w:p>
        </w:tc>
        <w:tc>
          <w:tcPr>
            <w:tcW w:w="905" w:type="pct"/>
            <w:vMerge w:val="restart"/>
            <w:shd w:val="clear" w:color="auto" w:fill="auto"/>
            <w:vAlign w:val="center"/>
          </w:tcPr>
          <w:p>
            <w:pPr>
              <w:pStyle w:val="182"/>
              <w:rPr>
                <w:color w:val="auto"/>
              </w:rPr>
            </w:pPr>
            <w:r>
              <w:rPr>
                <w:rFonts w:hint="eastAsia" w:hAnsi="宋体"/>
                <w:color w:val="auto"/>
                <w:szCs w:val="18"/>
              </w:rPr>
              <w:t>部件更换</w:t>
            </w:r>
          </w:p>
        </w:tc>
        <w:tc>
          <w:tcPr>
            <w:tcW w:w="1691"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3</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4</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5</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6</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7</w:t>
            </w:r>
          </w:p>
        </w:tc>
        <w:tc>
          <w:tcPr>
            <w:tcW w:w="289" w:type="pct"/>
            <w:vMerge w:val="restart"/>
            <w:shd w:val="clear" w:color="auto" w:fill="auto"/>
            <w:vAlign w:val="center"/>
          </w:tcPr>
          <w:p>
            <w:pPr>
              <w:pStyle w:val="182"/>
              <w:rPr>
                <w:color w:val="auto"/>
              </w:rPr>
            </w:pPr>
            <w:r>
              <w:rPr>
                <w:rFonts w:hint="eastAsia" w:hAnsi="宋体"/>
                <w:color w:val="auto"/>
                <w:szCs w:val="18"/>
              </w:rPr>
              <w:t>票务管理</w:t>
            </w:r>
          </w:p>
        </w:tc>
        <w:tc>
          <w:tcPr>
            <w:tcW w:w="509" w:type="pct"/>
            <w:vMerge w:val="restart"/>
            <w:shd w:val="clear" w:color="auto" w:fill="auto"/>
            <w:vAlign w:val="center"/>
          </w:tcPr>
          <w:p>
            <w:pPr>
              <w:pStyle w:val="182"/>
              <w:rPr>
                <w:color w:val="auto"/>
              </w:rPr>
            </w:pPr>
            <w:r>
              <w:rPr>
                <w:rFonts w:hint="eastAsia" w:hAnsi="宋体"/>
                <w:color w:val="auto"/>
                <w:szCs w:val="18"/>
              </w:rPr>
              <w:t>调配管理</w:t>
            </w:r>
          </w:p>
        </w:tc>
        <w:tc>
          <w:tcPr>
            <w:tcW w:w="905" w:type="pct"/>
            <w:vMerge w:val="restart"/>
            <w:shd w:val="clear" w:color="auto" w:fill="auto"/>
            <w:vAlign w:val="center"/>
          </w:tcPr>
          <w:p>
            <w:pPr>
              <w:pStyle w:val="182"/>
              <w:rPr>
                <w:color w:val="auto"/>
              </w:rPr>
            </w:pPr>
            <w:r>
              <w:rPr>
                <w:rFonts w:hint="eastAsia" w:hAnsi="宋体"/>
                <w:color w:val="auto"/>
                <w:szCs w:val="18"/>
              </w:rPr>
              <w:t>库存调配请求</w:t>
            </w:r>
          </w:p>
        </w:tc>
        <w:tc>
          <w:tcPr>
            <w:tcW w:w="1691"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22</w:t>
            </w:r>
            <w:r>
              <w:rPr>
                <w:rFonts w:hint="eastAsia" w:hAnsi="宋体"/>
                <w:color w:val="auto"/>
                <w:szCs w:val="18"/>
                <w:lang w:val="en-US" w:eastAsia="zh-CN"/>
              </w:rPr>
              <w:t>8</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w:t>
            </w:r>
            <w:r>
              <w:rPr>
                <w:rFonts w:hint="eastAsia" w:hAnsi="宋体"/>
                <w:color w:val="auto"/>
                <w:szCs w:val="18"/>
                <w:lang w:val="en-US" w:eastAsia="zh-CN"/>
              </w:rPr>
              <w:t>29</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库存调配命令</w:t>
            </w:r>
          </w:p>
        </w:tc>
        <w:tc>
          <w:tcPr>
            <w:tcW w:w="1691"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0</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1</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库存调配通知</w:t>
            </w:r>
          </w:p>
        </w:tc>
        <w:tc>
          <w:tcPr>
            <w:tcW w:w="1691"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2</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3</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库存调配反馈通知</w:t>
            </w:r>
          </w:p>
        </w:tc>
        <w:tc>
          <w:tcPr>
            <w:tcW w:w="1691" w:type="pct"/>
            <w:shd w:val="clear" w:color="auto" w:fill="auto"/>
            <w:vAlign w:val="center"/>
          </w:tcPr>
          <w:p>
            <w:pPr>
              <w:pStyle w:val="182"/>
              <w:jc w:val="left"/>
              <w:rPr>
                <w:color w:val="auto"/>
              </w:rPr>
            </w:pPr>
            <w:r>
              <w:rPr>
                <w:rFonts w:hint="eastAsia" w:hAnsi="宋体"/>
                <w:color w:val="auto"/>
                <w:szCs w:val="18"/>
              </w:rPr>
              <w:t>程序问题导致的问题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4</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运行配置问题导致的问题</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5</w:t>
            </w:r>
          </w:p>
        </w:tc>
        <w:tc>
          <w:tcPr>
            <w:tcW w:w="289" w:type="pct"/>
            <w:vMerge w:val="continue"/>
            <w:shd w:val="clear" w:color="auto" w:fill="auto"/>
            <w:vAlign w:val="center"/>
          </w:tcPr>
          <w:p>
            <w:pPr>
              <w:pStyle w:val="182"/>
              <w:rPr>
                <w:color w:val="auto"/>
              </w:rPr>
            </w:pPr>
          </w:p>
        </w:tc>
        <w:tc>
          <w:tcPr>
            <w:tcW w:w="509" w:type="pct"/>
            <w:vMerge w:val="restart"/>
            <w:shd w:val="clear" w:color="auto" w:fill="auto"/>
            <w:vAlign w:val="center"/>
          </w:tcPr>
          <w:p>
            <w:pPr>
              <w:pStyle w:val="182"/>
              <w:rPr>
                <w:color w:val="auto"/>
              </w:rPr>
            </w:pPr>
            <w:r>
              <w:rPr>
                <w:rFonts w:hint="eastAsia" w:hAnsi="宋体"/>
                <w:color w:val="auto"/>
                <w:szCs w:val="18"/>
              </w:rPr>
              <w:t>库存管理</w:t>
            </w:r>
          </w:p>
        </w:tc>
        <w:tc>
          <w:tcPr>
            <w:tcW w:w="905" w:type="pct"/>
            <w:vMerge w:val="restart"/>
            <w:shd w:val="clear" w:color="auto" w:fill="auto"/>
            <w:vAlign w:val="center"/>
          </w:tcPr>
          <w:p>
            <w:pPr>
              <w:pStyle w:val="182"/>
              <w:rPr>
                <w:color w:val="auto"/>
              </w:rPr>
            </w:pPr>
            <w:r>
              <w:rPr>
                <w:rFonts w:hint="eastAsia" w:hAnsi="宋体"/>
                <w:color w:val="auto"/>
                <w:szCs w:val="18"/>
              </w:rPr>
              <w:t>票卡调配出/人库</w:t>
            </w:r>
          </w:p>
        </w:tc>
        <w:tc>
          <w:tcPr>
            <w:tcW w:w="1691"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6</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7</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23</w:t>
            </w:r>
            <w:r>
              <w:rPr>
                <w:rFonts w:hint="eastAsia" w:hAnsi="宋体"/>
                <w:color w:val="auto"/>
                <w:szCs w:val="18"/>
                <w:lang w:val="en-US" w:eastAsia="zh-CN"/>
              </w:rPr>
              <w:t>8</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w:t>
            </w:r>
            <w:r>
              <w:rPr>
                <w:rFonts w:hint="eastAsia" w:hAnsi="宋体"/>
                <w:color w:val="auto"/>
                <w:szCs w:val="18"/>
                <w:lang w:val="en-US" w:eastAsia="zh-CN"/>
              </w:rPr>
              <w:t>39</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0</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库存数量调整</w:t>
            </w:r>
          </w:p>
        </w:tc>
        <w:tc>
          <w:tcPr>
            <w:tcW w:w="1691"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1</w:t>
            </w:r>
          </w:p>
        </w:tc>
        <w:tc>
          <w:tcPr>
            <w:tcW w:w="289" w:type="pct"/>
            <w:vMerge w:val="continue"/>
            <w:shd w:val="clear" w:color="auto" w:fill="auto"/>
            <w:vAlign w:val="center"/>
          </w:tcPr>
          <w:p>
            <w:pPr>
              <w:pStyle w:val="182"/>
              <w:rPr>
                <w:color w:val="auto"/>
              </w:rPr>
            </w:pPr>
          </w:p>
        </w:tc>
        <w:tc>
          <w:tcPr>
            <w:tcW w:w="509"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1"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4"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6" w:type="pct"/>
            <w:tcBorders>
              <w:bottom w:val="single" w:color="auto" w:sz="4" w:space="0"/>
            </w:tcBorders>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2</w:t>
            </w:r>
          </w:p>
        </w:tc>
        <w:tc>
          <w:tcPr>
            <w:tcW w:w="289" w:type="pct"/>
            <w:vMerge w:val="continue"/>
            <w:tcBorders>
              <w:bottom w:val="single" w:color="auto" w:sz="4" w:space="0"/>
            </w:tcBorders>
            <w:shd w:val="clear" w:color="auto" w:fill="auto"/>
            <w:vAlign w:val="center"/>
          </w:tcPr>
          <w:p>
            <w:pPr>
              <w:pStyle w:val="182"/>
              <w:rPr>
                <w:color w:val="auto"/>
              </w:rPr>
            </w:pPr>
          </w:p>
        </w:tc>
        <w:tc>
          <w:tcPr>
            <w:tcW w:w="509" w:type="pct"/>
            <w:vMerge w:val="continue"/>
            <w:tcBorders>
              <w:bottom w:val="single" w:color="auto" w:sz="4" w:space="0"/>
            </w:tcBorders>
            <w:shd w:val="clear" w:color="auto" w:fill="auto"/>
            <w:vAlign w:val="center"/>
          </w:tcPr>
          <w:p>
            <w:pPr>
              <w:pStyle w:val="182"/>
              <w:rPr>
                <w:color w:val="auto"/>
              </w:rPr>
            </w:pPr>
          </w:p>
        </w:tc>
        <w:tc>
          <w:tcPr>
            <w:tcW w:w="905" w:type="pct"/>
            <w:vMerge w:val="continue"/>
            <w:tcBorders>
              <w:bottom w:val="single" w:color="auto" w:sz="4" w:space="0"/>
            </w:tcBorders>
            <w:shd w:val="clear" w:color="auto" w:fill="auto"/>
            <w:vAlign w:val="center"/>
          </w:tcPr>
          <w:p>
            <w:pPr>
              <w:pStyle w:val="182"/>
              <w:rPr>
                <w:color w:val="auto"/>
              </w:rPr>
            </w:pPr>
          </w:p>
        </w:tc>
        <w:tc>
          <w:tcPr>
            <w:tcW w:w="1691" w:type="pct"/>
            <w:tcBorders>
              <w:bottom w:val="single" w:color="auto" w:sz="4" w:space="0"/>
            </w:tcBorders>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tcBorders>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bottom w:val="single" w:color="auto" w:sz="4" w:space="0"/>
            </w:tcBorders>
            <w:shd w:val="clear" w:color="auto" w:fill="auto"/>
            <w:vAlign w:val="center"/>
          </w:tcPr>
          <w:p>
            <w:pPr>
              <w:pStyle w:val="182"/>
              <w:rPr>
                <w:color w:val="auto"/>
              </w:rPr>
            </w:pPr>
          </w:p>
        </w:tc>
        <w:tc>
          <w:tcPr>
            <w:tcW w:w="454" w:type="pct"/>
            <w:tcBorders>
              <w:bottom w:val="single" w:color="auto" w:sz="4" w:space="0"/>
            </w:tcBorders>
            <w:shd w:val="clear" w:color="auto" w:fill="auto"/>
            <w:vAlign w:val="center"/>
          </w:tcPr>
          <w:p>
            <w:pPr>
              <w:pStyle w:val="182"/>
              <w:rPr>
                <w:color w:val="auto"/>
              </w:rPr>
            </w:pPr>
          </w:p>
        </w:tc>
      </w:tr>
    </w:tbl>
    <w:p>
      <w:pPr>
        <w:rPr>
          <w:color w:val="auto"/>
        </w:rPr>
      </w:pPr>
      <w:r>
        <w:rPr>
          <w:color w:val="auto"/>
        </w:rPr>
        <w:br w:type="page"/>
      </w:r>
    </w:p>
    <w:p>
      <w:pPr>
        <w:pStyle w:val="60"/>
        <w:pageBreakBefore/>
        <w:spacing w:before="156" w:beforeLines="50" w:after="156" w:afterLines="50"/>
        <w:ind w:firstLine="0" w:firstLineChars="0"/>
        <w:jc w:val="center"/>
        <w:rPr>
          <w:rFonts w:hint="eastAsia" w:hAnsi="宋体"/>
          <w:color w:val="auto"/>
        </w:rPr>
      </w:pPr>
      <w:r>
        <w:rPr>
          <w:rFonts w:hint="eastAsia" w:ascii="黑体" w:hAnsi="黑体" w:eastAsia="黑体"/>
          <w:color w:val="auto"/>
        </w:rPr>
        <w:t>表A.15  应用系统问题内容等级划分</w:t>
      </w:r>
      <w:r>
        <w:rPr>
          <w:rFonts w:hint="eastAsia" w:hAnsi="宋体"/>
          <w:color w:val="auto"/>
        </w:rPr>
        <w:t>（续）</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44"/>
        <w:gridCol w:w="542"/>
        <w:gridCol w:w="956"/>
        <w:gridCol w:w="1697"/>
        <w:gridCol w:w="3172"/>
        <w:gridCol w:w="855"/>
        <w:gridCol w:w="855"/>
        <w:gridCol w:w="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7"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序号</w:t>
            </w:r>
          </w:p>
        </w:tc>
        <w:tc>
          <w:tcPr>
            <w:tcW w:w="289"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系统功能</w:t>
            </w:r>
          </w:p>
        </w:tc>
        <w:tc>
          <w:tcPr>
            <w:tcW w:w="510"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子功能</w:t>
            </w:r>
          </w:p>
        </w:tc>
        <w:tc>
          <w:tcPr>
            <w:tcW w:w="90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通信数据</w:t>
            </w:r>
          </w:p>
        </w:tc>
        <w:tc>
          <w:tcPr>
            <w:tcW w:w="1692"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问题描述</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严重问题</w:t>
            </w:r>
          </w:p>
        </w:tc>
        <w:tc>
          <w:tcPr>
            <w:tcW w:w="456"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一般问题</w:t>
            </w:r>
          </w:p>
        </w:tc>
        <w:tc>
          <w:tcPr>
            <w:tcW w:w="455" w:type="pct"/>
            <w:tcBorders>
              <w:top w:val="single" w:color="auto" w:sz="8" w:space="0"/>
              <w:bottom w:val="single" w:color="auto" w:sz="8" w:space="0"/>
            </w:tcBorders>
            <w:shd w:val="clear" w:color="auto" w:fill="auto"/>
            <w:vAlign w:val="center"/>
          </w:tcPr>
          <w:p>
            <w:pPr>
              <w:pStyle w:val="182"/>
              <w:rPr>
                <w:color w:val="auto"/>
              </w:rPr>
            </w:pPr>
            <w:r>
              <w:rPr>
                <w:rFonts w:hint="eastAsia" w:hAnsi="宋体"/>
                <w:color w:val="auto"/>
                <w:szCs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3</w:t>
            </w:r>
          </w:p>
        </w:tc>
        <w:tc>
          <w:tcPr>
            <w:tcW w:w="289"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票务管理</w:t>
            </w:r>
          </w:p>
        </w:tc>
        <w:tc>
          <w:tcPr>
            <w:tcW w:w="510" w:type="pct"/>
            <w:vMerge w:val="restar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库存管理</w:t>
            </w:r>
          </w:p>
        </w:tc>
        <w:tc>
          <w:tcPr>
            <w:tcW w:w="905" w:type="pct"/>
            <w:vMerge w:val="restart"/>
            <w:tcBorders>
              <w:top w:val="single" w:color="auto" w:sz="4" w:space="0"/>
              <w:bottom w:val="single" w:color="auto" w:sz="4" w:space="0"/>
            </w:tcBorders>
            <w:shd w:val="clear" w:color="auto" w:fill="auto"/>
            <w:vAlign w:val="center"/>
          </w:tcPr>
          <w:p>
            <w:pPr>
              <w:pStyle w:val="182"/>
              <w:rPr>
                <w:color w:val="auto"/>
              </w:rPr>
            </w:pPr>
          </w:p>
        </w:tc>
        <w:tc>
          <w:tcPr>
            <w:tcW w:w="1692" w:type="pct"/>
            <w:tcBorders>
              <w:top w:val="single" w:color="auto" w:sz="4" w:space="0"/>
              <w:bottom w:val="single" w:color="auto" w:sz="4" w:space="0"/>
            </w:tcBorders>
            <w:shd w:val="clear" w:color="auto" w:fill="auto"/>
            <w:vAlign w:val="center"/>
          </w:tcPr>
          <w:p>
            <w:pPr>
              <w:pStyle w:val="182"/>
              <w:jc w:val="left"/>
              <w:rPr>
                <w:color w:val="auto"/>
              </w:rPr>
            </w:pPr>
            <w:r>
              <w:rPr>
                <w:rFonts w:hint="eastAsia" w:hAnsi="宋体"/>
                <w:color w:val="auto"/>
                <w:szCs w:val="18"/>
              </w:rPr>
              <w:t>数据丢失</w:t>
            </w:r>
          </w:p>
        </w:tc>
        <w:tc>
          <w:tcPr>
            <w:tcW w:w="456" w:type="pct"/>
            <w:tcBorders>
              <w:top w:val="single" w:color="auto" w:sz="4" w:space="0"/>
              <w:bottom w:val="single" w:color="auto" w:sz="4" w:space="0"/>
            </w:tcBorders>
            <w:shd w:val="clear" w:color="auto" w:fill="auto"/>
            <w:vAlign w:val="center"/>
          </w:tcPr>
          <w:p>
            <w:pPr>
              <w:pStyle w:val="182"/>
              <w:rPr>
                <w:color w:val="auto"/>
              </w:rPr>
            </w:pPr>
            <w:r>
              <w:rPr>
                <w:rFonts w:hint="eastAsia" w:hAnsi="宋体"/>
                <w:color w:val="auto"/>
                <w:szCs w:val="18"/>
              </w:rPr>
              <w:t>√</w:t>
            </w:r>
          </w:p>
        </w:tc>
        <w:tc>
          <w:tcPr>
            <w:tcW w:w="456" w:type="pct"/>
            <w:tcBorders>
              <w:top w:val="single" w:color="auto" w:sz="4" w:space="0"/>
              <w:bottom w:val="single" w:color="auto" w:sz="4" w:space="0"/>
            </w:tcBorders>
            <w:shd w:val="clear" w:color="auto" w:fill="auto"/>
            <w:vAlign w:val="center"/>
          </w:tcPr>
          <w:p>
            <w:pPr>
              <w:pStyle w:val="182"/>
              <w:rPr>
                <w:color w:val="auto"/>
              </w:rPr>
            </w:pPr>
          </w:p>
        </w:tc>
        <w:tc>
          <w:tcPr>
            <w:tcW w:w="455" w:type="pct"/>
            <w:tcBorders>
              <w:top w:val="single" w:color="auto" w:sz="4" w:space="0"/>
              <w:bottom w:val="single" w:color="auto" w:sz="4" w:space="0"/>
            </w:tcBorders>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tcBorders>
              <w:top w:val="single" w:color="auto" w:sz="4" w:space="0"/>
            </w:tcBorders>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4</w:t>
            </w:r>
          </w:p>
        </w:tc>
        <w:tc>
          <w:tcPr>
            <w:tcW w:w="289" w:type="pct"/>
            <w:vMerge w:val="continue"/>
            <w:tcBorders>
              <w:top w:val="single" w:color="auto" w:sz="4" w:space="0"/>
            </w:tcBorders>
            <w:shd w:val="clear" w:color="auto" w:fill="auto"/>
            <w:vAlign w:val="center"/>
          </w:tcPr>
          <w:p>
            <w:pPr>
              <w:pStyle w:val="182"/>
              <w:rPr>
                <w:color w:val="auto"/>
              </w:rPr>
            </w:pPr>
          </w:p>
        </w:tc>
        <w:tc>
          <w:tcPr>
            <w:tcW w:w="510" w:type="pct"/>
            <w:vMerge w:val="continue"/>
            <w:tcBorders>
              <w:top w:val="single" w:color="auto" w:sz="4" w:space="0"/>
            </w:tcBorders>
            <w:shd w:val="clear" w:color="auto" w:fill="auto"/>
            <w:vAlign w:val="center"/>
          </w:tcPr>
          <w:p>
            <w:pPr>
              <w:pStyle w:val="182"/>
              <w:rPr>
                <w:color w:val="auto"/>
              </w:rPr>
            </w:pPr>
          </w:p>
        </w:tc>
        <w:tc>
          <w:tcPr>
            <w:tcW w:w="905" w:type="pct"/>
            <w:vMerge w:val="continue"/>
            <w:tcBorders>
              <w:top w:val="single" w:color="auto" w:sz="4" w:space="0"/>
            </w:tcBorders>
            <w:shd w:val="clear" w:color="auto" w:fill="auto"/>
            <w:vAlign w:val="center"/>
          </w:tcPr>
          <w:p>
            <w:pPr>
              <w:pStyle w:val="182"/>
              <w:rPr>
                <w:color w:val="auto"/>
              </w:rPr>
            </w:pPr>
          </w:p>
        </w:tc>
        <w:tc>
          <w:tcPr>
            <w:tcW w:w="1692" w:type="pct"/>
            <w:tcBorders>
              <w:top w:val="single" w:color="auto" w:sz="4" w:space="0"/>
            </w:tcBorders>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tcBorders>
              <w:top w:val="single" w:color="auto" w:sz="4" w:space="0"/>
            </w:tcBorders>
            <w:shd w:val="clear" w:color="auto" w:fill="auto"/>
            <w:vAlign w:val="center"/>
          </w:tcPr>
          <w:p>
            <w:pPr>
              <w:pStyle w:val="182"/>
              <w:rPr>
                <w:color w:val="auto"/>
              </w:rPr>
            </w:pPr>
          </w:p>
        </w:tc>
        <w:tc>
          <w:tcPr>
            <w:tcW w:w="456" w:type="pct"/>
            <w:tcBorders>
              <w:top w:val="single" w:color="auto" w:sz="4" w:space="0"/>
            </w:tcBorders>
            <w:shd w:val="clear" w:color="auto" w:fill="auto"/>
            <w:vAlign w:val="center"/>
          </w:tcPr>
          <w:p>
            <w:pPr>
              <w:pStyle w:val="182"/>
              <w:rPr>
                <w:color w:val="auto"/>
              </w:rPr>
            </w:pPr>
          </w:p>
        </w:tc>
        <w:tc>
          <w:tcPr>
            <w:tcW w:w="455" w:type="pct"/>
            <w:tcBorders>
              <w:top w:val="single" w:color="auto" w:sz="4" w:space="0"/>
            </w:tcBorders>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5</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向中心系统上报库存</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24</w:t>
            </w:r>
            <w:r>
              <w:rPr>
                <w:rFonts w:hint="eastAsia" w:hAnsi="宋体"/>
                <w:color w:val="auto"/>
                <w:szCs w:val="18"/>
                <w:lang w:val="en-US" w:eastAsia="zh-CN"/>
              </w:rPr>
              <w:t>8</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w:t>
            </w:r>
            <w:r>
              <w:rPr>
                <w:rFonts w:hint="eastAsia" w:hAnsi="宋体"/>
                <w:color w:val="auto"/>
                <w:szCs w:val="18"/>
                <w:lang w:val="en-US" w:eastAsia="zh-CN"/>
              </w:rPr>
              <w:t>49</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0</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restart"/>
            <w:shd w:val="clear" w:color="auto" w:fill="auto"/>
            <w:vAlign w:val="center"/>
          </w:tcPr>
          <w:p>
            <w:pPr>
              <w:pStyle w:val="182"/>
              <w:rPr>
                <w:color w:val="auto"/>
              </w:rPr>
            </w:pPr>
            <w:r>
              <w:rPr>
                <w:rFonts w:hint="eastAsia" w:hAnsi="宋体"/>
                <w:color w:val="auto"/>
                <w:szCs w:val="18"/>
              </w:rPr>
              <w:t>车站车票库存报告</w:t>
            </w:r>
          </w:p>
        </w:tc>
        <w:tc>
          <w:tcPr>
            <w:tcW w:w="1692" w:type="pct"/>
            <w:shd w:val="clear" w:color="auto" w:fill="auto"/>
            <w:vAlign w:val="center"/>
          </w:tcPr>
          <w:p>
            <w:pPr>
              <w:pStyle w:val="182"/>
              <w:jc w:val="left"/>
              <w:rPr>
                <w:color w:val="auto"/>
              </w:rPr>
            </w:pPr>
            <w:r>
              <w:rPr>
                <w:rFonts w:hint="eastAsia" w:hAnsi="宋体"/>
                <w:color w:val="auto"/>
                <w:szCs w:val="18"/>
              </w:rPr>
              <w:t>数据内容不准确</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1</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数据24小时内上传，无人工干预</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r>
              <w:rPr>
                <w:rFonts w:hint="eastAsia" w:hAnsi="宋体"/>
                <w:color w:val="auto"/>
                <w:szCs w:val="18"/>
              </w:rPr>
              <w:t>√</w:t>
            </w: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2</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数据超过24小时上传或须人工干预</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3</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数据丢失</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4</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vMerge w:val="continue"/>
            <w:shd w:val="clear" w:color="auto" w:fill="auto"/>
            <w:vAlign w:val="center"/>
          </w:tcPr>
          <w:p>
            <w:pPr>
              <w:pStyle w:val="182"/>
              <w:rPr>
                <w:color w:val="auto"/>
              </w:rPr>
            </w:pPr>
          </w:p>
        </w:tc>
        <w:tc>
          <w:tcPr>
            <w:tcW w:w="1692" w:type="pct"/>
            <w:shd w:val="clear" w:color="auto" w:fill="auto"/>
            <w:vAlign w:val="center"/>
          </w:tcPr>
          <w:p>
            <w:pPr>
              <w:pStyle w:val="182"/>
              <w:jc w:val="left"/>
              <w:rPr>
                <w:color w:val="auto"/>
              </w:rPr>
            </w:pPr>
            <w:r>
              <w:rPr>
                <w:rFonts w:hint="eastAsia" w:hAnsi="宋体"/>
                <w:color w:val="auto"/>
                <w:szCs w:val="18"/>
              </w:rPr>
              <w:t>同一数据重复上传3次</w:t>
            </w:r>
          </w:p>
        </w:tc>
        <w:tc>
          <w:tcPr>
            <w:tcW w:w="456" w:type="pct"/>
            <w:shd w:val="clear" w:color="auto" w:fill="auto"/>
            <w:vAlign w:val="center"/>
          </w:tcPr>
          <w:p>
            <w:pPr>
              <w:pStyle w:val="182"/>
              <w:rPr>
                <w:color w:val="auto"/>
              </w:rPr>
            </w:pP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r>
              <w:rPr>
                <w:rFonts w:hint="eastAsia" w:hAnsi="宋体"/>
                <w:color w:val="auto"/>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hAnsi="宋体"/>
                <w:color w:val="auto"/>
                <w:szCs w:val="18"/>
              </w:rPr>
              <w:t>25</w:t>
            </w:r>
            <w:r>
              <w:rPr>
                <w:rFonts w:hint="eastAsia" w:hAnsi="宋体"/>
                <w:color w:val="auto"/>
                <w:szCs w:val="18"/>
                <w:lang w:val="en-US" w:eastAsia="zh-CN"/>
              </w:rPr>
              <w:t>5</w:t>
            </w:r>
          </w:p>
        </w:tc>
        <w:tc>
          <w:tcPr>
            <w:tcW w:w="289" w:type="pct"/>
            <w:vMerge w:val="restart"/>
            <w:shd w:val="clear" w:color="auto" w:fill="auto"/>
            <w:vAlign w:val="center"/>
          </w:tcPr>
          <w:p>
            <w:pPr>
              <w:pStyle w:val="182"/>
              <w:rPr>
                <w:color w:val="auto"/>
              </w:rPr>
            </w:pPr>
            <w:r>
              <w:rPr>
                <w:rFonts w:hint="eastAsia" w:hAnsi="宋体"/>
                <w:color w:val="auto"/>
                <w:szCs w:val="18"/>
              </w:rPr>
              <w:t>系统处理</w:t>
            </w:r>
          </w:p>
        </w:tc>
        <w:tc>
          <w:tcPr>
            <w:tcW w:w="510" w:type="pct"/>
            <w:vMerge w:val="restart"/>
            <w:shd w:val="clear" w:color="auto" w:fill="auto"/>
            <w:vAlign w:val="center"/>
          </w:tcPr>
          <w:p>
            <w:pPr>
              <w:pStyle w:val="182"/>
              <w:rPr>
                <w:color w:val="auto"/>
              </w:rPr>
            </w:pPr>
            <w:r>
              <w:rPr>
                <w:rFonts w:hint="eastAsia" w:hAnsi="宋体"/>
                <w:color w:val="auto"/>
                <w:szCs w:val="18"/>
              </w:rPr>
              <w:t>系统性能</w:t>
            </w:r>
          </w:p>
        </w:tc>
        <w:tc>
          <w:tcPr>
            <w:tcW w:w="905" w:type="pct"/>
            <w:shd w:val="clear" w:color="auto" w:fill="auto"/>
            <w:vAlign w:val="center"/>
          </w:tcPr>
          <w:p>
            <w:pPr>
              <w:pStyle w:val="182"/>
              <w:rPr>
                <w:color w:val="auto"/>
              </w:rPr>
            </w:pPr>
            <w:r>
              <w:rPr>
                <w:rFonts w:hint="eastAsia" w:hAnsi="宋体"/>
                <w:color w:val="auto"/>
                <w:szCs w:val="18"/>
              </w:rPr>
              <w:t>数据处理速度</w:t>
            </w:r>
          </w:p>
        </w:tc>
        <w:tc>
          <w:tcPr>
            <w:tcW w:w="1692" w:type="pct"/>
            <w:shd w:val="clear" w:color="auto" w:fill="auto"/>
            <w:vAlign w:val="center"/>
          </w:tcPr>
          <w:p>
            <w:pPr>
              <w:pStyle w:val="182"/>
              <w:jc w:val="left"/>
              <w:rPr>
                <w:color w:val="auto"/>
              </w:rPr>
            </w:pPr>
            <w:r>
              <w:rPr>
                <w:rFonts w:hint="eastAsia" w:hAnsi="宋体"/>
                <w:color w:val="auto"/>
                <w:szCs w:val="18"/>
              </w:rPr>
              <w:t>数据处理速度不符合技术标准要求</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25</w:t>
            </w:r>
            <w:r>
              <w:rPr>
                <w:rFonts w:hint="eastAsia"/>
                <w:color w:val="auto"/>
                <w:lang w:val="en-US" w:eastAsia="zh-CN"/>
              </w:rPr>
              <w:t>6</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shd w:val="clear" w:color="auto" w:fill="auto"/>
            <w:vAlign w:val="center"/>
          </w:tcPr>
          <w:p>
            <w:pPr>
              <w:pStyle w:val="182"/>
              <w:rPr>
                <w:color w:val="auto"/>
              </w:rPr>
            </w:pPr>
            <w:r>
              <w:rPr>
                <w:rFonts w:hint="eastAsia" w:hAnsi="宋体"/>
                <w:color w:val="auto"/>
                <w:szCs w:val="18"/>
              </w:rPr>
              <w:t>数据传输速度</w:t>
            </w:r>
          </w:p>
        </w:tc>
        <w:tc>
          <w:tcPr>
            <w:tcW w:w="1692" w:type="pct"/>
            <w:shd w:val="clear" w:color="auto" w:fill="auto"/>
            <w:vAlign w:val="center"/>
          </w:tcPr>
          <w:p>
            <w:pPr>
              <w:pStyle w:val="182"/>
              <w:jc w:val="left"/>
              <w:rPr>
                <w:color w:val="auto"/>
              </w:rPr>
            </w:pPr>
            <w:r>
              <w:rPr>
                <w:rFonts w:hint="eastAsia" w:hAnsi="宋体"/>
                <w:color w:val="auto"/>
                <w:szCs w:val="18"/>
              </w:rPr>
              <w:t>数据传输速度不符合技术标准要求</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7" w:type="pct"/>
            <w:shd w:val="clear" w:color="auto" w:fill="auto"/>
            <w:vAlign w:val="center"/>
          </w:tcPr>
          <w:p>
            <w:pPr>
              <w:pStyle w:val="182"/>
              <w:rPr>
                <w:color w:val="auto"/>
              </w:rPr>
            </w:pPr>
            <w:r>
              <w:rPr>
                <w:rFonts w:hint="eastAsia"/>
                <w:color w:val="auto"/>
              </w:rPr>
              <w:t>25</w:t>
            </w:r>
            <w:r>
              <w:rPr>
                <w:rFonts w:hint="eastAsia"/>
                <w:color w:val="auto"/>
                <w:lang w:val="en-US" w:eastAsia="zh-CN"/>
              </w:rPr>
              <w:t>7</w:t>
            </w:r>
          </w:p>
        </w:tc>
        <w:tc>
          <w:tcPr>
            <w:tcW w:w="289" w:type="pct"/>
            <w:vMerge w:val="continue"/>
            <w:shd w:val="clear" w:color="auto" w:fill="auto"/>
            <w:vAlign w:val="center"/>
          </w:tcPr>
          <w:p>
            <w:pPr>
              <w:pStyle w:val="182"/>
              <w:rPr>
                <w:color w:val="auto"/>
              </w:rPr>
            </w:pPr>
          </w:p>
        </w:tc>
        <w:tc>
          <w:tcPr>
            <w:tcW w:w="510" w:type="pct"/>
            <w:vMerge w:val="continue"/>
            <w:shd w:val="clear" w:color="auto" w:fill="auto"/>
            <w:vAlign w:val="center"/>
          </w:tcPr>
          <w:p>
            <w:pPr>
              <w:pStyle w:val="182"/>
              <w:rPr>
                <w:color w:val="auto"/>
              </w:rPr>
            </w:pPr>
          </w:p>
        </w:tc>
        <w:tc>
          <w:tcPr>
            <w:tcW w:w="905" w:type="pct"/>
            <w:shd w:val="clear" w:color="auto" w:fill="auto"/>
            <w:vAlign w:val="center"/>
          </w:tcPr>
          <w:p>
            <w:pPr>
              <w:pStyle w:val="182"/>
              <w:rPr>
                <w:color w:val="auto"/>
              </w:rPr>
            </w:pPr>
            <w:r>
              <w:rPr>
                <w:rFonts w:hint="eastAsia" w:hAnsi="宋体"/>
                <w:color w:val="auto"/>
                <w:szCs w:val="18"/>
              </w:rPr>
              <w:t>设备连接数量</w:t>
            </w:r>
          </w:p>
        </w:tc>
        <w:tc>
          <w:tcPr>
            <w:tcW w:w="1692" w:type="pct"/>
            <w:shd w:val="clear" w:color="auto" w:fill="auto"/>
            <w:vAlign w:val="center"/>
          </w:tcPr>
          <w:p>
            <w:pPr>
              <w:pStyle w:val="182"/>
              <w:jc w:val="left"/>
              <w:rPr>
                <w:color w:val="auto"/>
              </w:rPr>
            </w:pPr>
            <w:r>
              <w:rPr>
                <w:rFonts w:hint="eastAsia" w:hAnsi="宋体"/>
                <w:color w:val="auto"/>
                <w:szCs w:val="18"/>
              </w:rPr>
              <w:t>设备连接数量不符合技术标准要求</w:t>
            </w:r>
          </w:p>
        </w:tc>
        <w:tc>
          <w:tcPr>
            <w:tcW w:w="456" w:type="pct"/>
            <w:shd w:val="clear" w:color="auto" w:fill="auto"/>
            <w:vAlign w:val="center"/>
          </w:tcPr>
          <w:p>
            <w:pPr>
              <w:pStyle w:val="182"/>
              <w:rPr>
                <w:color w:val="auto"/>
              </w:rPr>
            </w:pPr>
            <w:r>
              <w:rPr>
                <w:rFonts w:hint="eastAsia" w:hAnsi="宋体"/>
                <w:color w:val="auto"/>
                <w:szCs w:val="18"/>
              </w:rPr>
              <w:t>√</w:t>
            </w:r>
          </w:p>
        </w:tc>
        <w:tc>
          <w:tcPr>
            <w:tcW w:w="456" w:type="pct"/>
            <w:shd w:val="clear" w:color="auto" w:fill="auto"/>
            <w:vAlign w:val="center"/>
          </w:tcPr>
          <w:p>
            <w:pPr>
              <w:pStyle w:val="182"/>
              <w:rPr>
                <w:color w:val="auto"/>
              </w:rPr>
            </w:pPr>
          </w:p>
        </w:tc>
        <w:tc>
          <w:tcPr>
            <w:tcW w:w="455" w:type="pct"/>
            <w:shd w:val="clear" w:color="auto" w:fill="auto"/>
            <w:vAlign w:val="center"/>
          </w:tcPr>
          <w:p>
            <w:pPr>
              <w:pStyle w:val="182"/>
              <w:rPr>
                <w:color w:val="auto"/>
              </w:rPr>
            </w:pPr>
          </w:p>
        </w:tc>
      </w:tr>
    </w:tbl>
    <w:p>
      <w:pPr>
        <w:pStyle w:val="60"/>
        <w:ind w:firstLine="420"/>
        <w:rPr>
          <w:color w:val="auto"/>
        </w:rPr>
      </w:pPr>
    </w:p>
    <w:p>
      <w:pPr>
        <w:widowControl/>
        <w:adjustRightInd/>
        <w:spacing w:line="240" w:lineRule="auto"/>
        <w:jc w:val="left"/>
        <w:rPr>
          <w:rFonts w:ascii="宋体" w:hAnsi="Times New Roman"/>
          <w:color w:val="auto"/>
          <w:kern w:val="0"/>
          <w:szCs w:val="20"/>
        </w:rPr>
      </w:pPr>
      <w:r>
        <w:rPr>
          <w:color w:val="auto"/>
        </w:rPr>
        <w:br w:type="page"/>
      </w:r>
    </w:p>
    <w:p>
      <w:pPr>
        <w:pStyle w:val="82"/>
        <w:spacing w:before="156" w:after="156"/>
        <w:rPr>
          <w:color w:val="auto"/>
        </w:rPr>
      </w:pPr>
      <w:bookmarkStart w:id="536" w:name="_Toc18156"/>
      <w:r>
        <w:rPr>
          <w:rFonts w:hint="eastAsia"/>
          <w:color w:val="auto"/>
        </w:rPr>
        <w:t>互联互通</w:t>
      </w:r>
      <w:bookmarkEnd w:id="536"/>
    </w:p>
    <w:p>
      <w:pPr>
        <w:pStyle w:val="60"/>
        <w:ind w:firstLine="420"/>
        <w:rPr>
          <w:color w:val="auto"/>
        </w:rPr>
      </w:pPr>
      <w:r>
        <w:rPr>
          <w:rFonts w:hint="eastAsia"/>
          <w:color w:val="auto"/>
        </w:rPr>
        <w:t>互联互通问题内容的等级划分</w:t>
      </w:r>
      <w:r>
        <w:rPr>
          <w:rFonts w:hint="eastAsia"/>
          <w:color w:val="auto"/>
          <w:lang w:val="en-US" w:eastAsia="zh-CN"/>
        </w:rPr>
        <w:t>应符合</w:t>
      </w:r>
      <w:r>
        <w:rPr>
          <w:rFonts w:hint="eastAsia"/>
          <w:color w:val="auto"/>
        </w:rPr>
        <w:t>表A.16</w:t>
      </w:r>
      <w:r>
        <w:rPr>
          <w:rFonts w:hint="eastAsia"/>
          <w:color w:val="auto"/>
          <w:lang w:eastAsia="zh-CN"/>
        </w:rPr>
        <w:t>。</w:t>
      </w:r>
    </w:p>
    <w:p>
      <w:pPr>
        <w:pStyle w:val="81"/>
        <w:spacing w:before="156" w:after="156"/>
        <w:rPr>
          <w:color w:val="auto"/>
        </w:rPr>
      </w:pPr>
      <w:r>
        <w:rPr>
          <w:rFonts w:hint="eastAsia"/>
          <w:color w:val="auto"/>
        </w:rPr>
        <w:t>互联互通问题内容等级划分</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50"/>
        <w:gridCol w:w="1279"/>
        <w:gridCol w:w="4869"/>
        <w:gridCol w:w="857"/>
        <w:gridCol w:w="857"/>
        <w:gridCol w:w="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47" w:type="pct"/>
            <w:tcBorders>
              <w:top w:val="single" w:color="auto" w:sz="8" w:space="0"/>
              <w:bottom w:val="single" w:color="auto" w:sz="8" w:space="0"/>
            </w:tcBorders>
            <w:shd w:val="clear" w:color="auto" w:fill="auto"/>
            <w:noWrap/>
            <w:vAlign w:val="center"/>
          </w:tcPr>
          <w:p>
            <w:pPr>
              <w:pStyle w:val="60"/>
              <w:ind w:firstLine="0" w:firstLineChars="0"/>
              <w:jc w:val="center"/>
              <w:rPr>
                <w:color w:val="auto"/>
                <w:sz w:val="18"/>
              </w:rPr>
            </w:pPr>
            <w:r>
              <w:rPr>
                <w:rFonts w:hint="eastAsia"/>
                <w:color w:val="auto"/>
                <w:sz w:val="18"/>
              </w:rPr>
              <w:t>序号</w:t>
            </w:r>
          </w:p>
        </w:tc>
        <w:tc>
          <w:tcPr>
            <w:tcW w:w="682" w:type="pct"/>
            <w:tcBorders>
              <w:top w:val="single" w:color="auto" w:sz="8" w:space="0"/>
              <w:bottom w:val="single" w:color="auto" w:sz="8" w:space="0"/>
            </w:tcBorders>
            <w:shd w:val="clear" w:color="auto" w:fill="auto"/>
            <w:noWrap/>
            <w:vAlign w:val="center"/>
          </w:tcPr>
          <w:p>
            <w:pPr>
              <w:pStyle w:val="60"/>
              <w:ind w:firstLine="0" w:firstLineChars="0"/>
              <w:jc w:val="center"/>
              <w:rPr>
                <w:color w:val="auto"/>
                <w:sz w:val="18"/>
              </w:rPr>
            </w:pPr>
            <w:r>
              <w:rPr>
                <w:rFonts w:hint="eastAsia"/>
                <w:color w:val="auto"/>
                <w:sz w:val="18"/>
              </w:rPr>
              <w:t>业务</w:t>
            </w:r>
          </w:p>
        </w:tc>
        <w:tc>
          <w:tcPr>
            <w:tcW w:w="2597" w:type="pct"/>
            <w:tcBorders>
              <w:top w:val="single" w:color="auto" w:sz="8" w:space="0"/>
              <w:bottom w:val="single" w:color="auto" w:sz="8" w:space="0"/>
            </w:tcBorders>
            <w:shd w:val="clear" w:color="auto" w:fill="auto"/>
            <w:noWrap/>
            <w:vAlign w:val="center"/>
          </w:tcPr>
          <w:p>
            <w:pPr>
              <w:pStyle w:val="60"/>
              <w:ind w:firstLine="0" w:firstLineChars="0"/>
              <w:jc w:val="center"/>
              <w:rPr>
                <w:color w:val="auto"/>
                <w:sz w:val="18"/>
              </w:rPr>
            </w:pPr>
            <w:r>
              <w:rPr>
                <w:rFonts w:hint="eastAsia"/>
                <w:color w:val="auto"/>
                <w:sz w:val="18"/>
              </w:rPr>
              <w:t>问题描述</w:t>
            </w:r>
          </w:p>
        </w:tc>
        <w:tc>
          <w:tcPr>
            <w:tcW w:w="457" w:type="pct"/>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严重问题</w:t>
            </w:r>
          </w:p>
        </w:tc>
        <w:tc>
          <w:tcPr>
            <w:tcW w:w="457" w:type="pct"/>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一般问题</w:t>
            </w:r>
          </w:p>
        </w:tc>
        <w:tc>
          <w:tcPr>
            <w:tcW w:w="460" w:type="pct"/>
            <w:tcBorders>
              <w:top w:val="single" w:color="auto" w:sz="8" w:space="0"/>
              <w:bottom w:val="single" w:color="auto" w:sz="8" w:space="0"/>
            </w:tcBorders>
            <w:shd w:val="clear" w:color="auto" w:fill="auto"/>
            <w:vAlign w:val="center"/>
          </w:tcPr>
          <w:p>
            <w:pPr>
              <w:pStyle w:val="60"/>
              <w:ind w:firstLine="0" w:firstLineChars="0"/>
              <w:jc w:val="center"/>
              <w:rPr>
                <w:color w:val="auto"/>
                <w:sz w:val="18"/>
              </w:rPr>
            </w:pPr>
            <w:r>
              <w:rPr>
                <w:rFonts w:hint="eastAsia"/>
                <w:color w:val="auto"/>
                <w:sz w:val="18"/>
              </w:rPr>
              <w:t>轻微问题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tcBorders>
              <w:top w:val="single" w:color="auto" w:sz="8" w:space="0"/>
            </w:tcBorders>
            <w:shd w:val="clear" w:color="auto" w:fill="auto"/>
            <w:noWrap/>
            <w:vAlign w:val="center"/>
          </w:tcPr>
          <w:p>
            <w:pPr>
              <w:pStyle w:val="60"/>
              <w:ind w:firstLine="0" w:firstLineChars="0"/>
              <w:jc w:val="center"/>
              <w:rPr>
                <w:color w:val="auto"/>
                <w:sz w:val="18"/>
              </w:rPr>
            </w:pPr>
            <w:r>
              <w:rPr>
                <w:rFonts w:hint="eastAsia"/>
                <w:color w:val="auto"/>
                <w:sz w:val="18"/>
              </w:rPr>
              <w:t>1</w:t>
            </w:r>
          </w:p>
        </w:tc>
        <w:tc>
          <w:tcPr>
            <w:tcW w:w="682" w:type="pct"/>
            <w:tcBorders>
              <w:top w:val="single" w:color="auto" w:sz="8" w:space="0"/>
            </w:tcBorders>
            <w:shd w:val="clear" w:color="auto" w:fill="auto"/>
            <w:noWrap/>
            <w:vAlign w:val="center"/>
          </w:tcPr>
          <w:p>
            <w:pPr>
              <w:pStyle w:val="60"/>
              <w:ind w:firstLine="0" w:firstLineChars="0"/>
              <w:jc w:val="left"/>
              <w:rPr>
                <w:color w:val="auto"/>
                <w:sz w:val="18"/>
              </w:rPr>
            </w:pPr>
            <w:r>
              <w:rPr>
                <w:rFonts w:hint="eastAsia"/>
                <w:color w:val="auto"/>
                <w:sz w:val="18"/>
              </w:rPr>
              <w:t>运营管理</w:t>
            </w:r>
          </w:p>
        </w:tc>
        <w:tc>
          <w:tcPr>
            <w:tcW w:w="2597" w:type="pct"/>
            <w:tcBorders>
              <w:top w:val="single" w:color="auto" w:sz="8" w:space="0"/>
            </w:tcBorders>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tcBorders>
              <w:top w:val="single" w:color="auto" w:sz="8" w:space="0"/>
            </w:tcBorders>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tcBorders>
              <w:top w:val="single" w:color="auto" w:sz="8" w:space="0"/>
            </w:tcBorders>
            <w:shd w:val="clear" w:color="auto" w:fill="auto"/>
            <w:noWrap/>
            <w:vAlign w:val="center"/>
          </w:tcPr>
          <w:p>
            <w:pPr>
              <w:pStyle w:val="60"/>
              <w:ind w:firstLine="360"/>
              <w:jc w:val="center"/>
              <w:rPr>
                <w:color w:val="auto"/>
                <w:sz w:val="18"/>
              </w:rPr>
            </w:pPr>
          </w:p>
        </w:tc>
        <w:tc>
          <w:tcPr>
            <w:tcW w:w="460" w:type="pct"/>
            <w:tcBorders>
              <w:top w:val="single" w:color="auto" w:sz="8" w:space="0"/>
            </w:tcBorders>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2</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模式管理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3</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设备监控</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4</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客流监视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5</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参数管理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6</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交易数据管理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7</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审计管理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所涉及的中心系统、终端的功能不符合技术标准要求</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8</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票卡库存管理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9</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票卡调配管理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10</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维修维护管理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所涉及的中心系统、终端的功能不符合技术标准要求</w:t>
            </w:r>
          </w:p>
        </w:tc>
        <w:tc>
          <w:tcPr>
            <w:tcW w:w="457" w:type="pct"/>
            <w:shd w:val="clear" w:color="auto" w:fill="auto"/>
            <w:noWrap/>
            <w:vAlign w:val="center"/>
          </w:tcPr>
          <w:p>
            <w:pPr>
              <w:pStyle w:val="60"/>
              <w:ind w:firstLine="360"/>
              <w:jc w:val="center"/>
              <w:rPr>
                <w:color w:val="auto"/>
                <w:sz w:val="18"/>
              </w:rPr>
            </w:pP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11</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清算对账</w:t>
            </w:r>
          </w:p>
        </w:tc>
        <w:tc>
          <w:tcPr>
            <w:tcW w:w="2597" w:type="pct"/>
            <w:shd w:val="clear" w:color="auto" w:fill="auto"/>
            <w:vAlign w:val="center"/>
          </w:tcPr>
          <w:p>
            <w:pPr>
              <w:pStyle w:val="60"/>
              <w:ind w:firstLine="0" w:firstLineChars="0"/>
              <w:rPr>
                <w:color w:val="auto"/>
                <w:sz w:val="18"/>
              </w:rPr>
            </w:pPr>
            <w:r>
              <w:rPr>
                <w:rFonts w:hint="eastAsia"/>
                <w:color w:val="auto"/>
                <w:sz w:val="18"/>
              </w:rPr>
              <w:t>所涉及的中心系统、终端任何一方不能达到预期结果</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347" w:type="pct"/>
            <w:shd w:val="clear" w:color="auto" w:fill="auto"/>
            <w:noWrap/>
            <w:vAlign w:val="center"/>
          </w:tcPr>
          <w:p>
            <w:pPr>
              <w:pStyle w:val="60"/>
              <w:ind w:firstLine="0" w:firstLineChars="0"/>
              <w:jc w:val="center"/>
              <w:rPr>
                <w:color w:val="auto"/>
                <w:sz w:val="18"/>
              </w:rPr>
            </w:pPr>
            <w:r>
              <w:rPr>
                <w:rFonts w:hint="eastAsia"/>
                <w:color w:val="auto"/>
                <w:sz w:val="18"/>
              </w:rPr>
              <w:t>12</w:t>
            </w:r>
          </w:p>
        </w:tc>
        <w:tc>
          <w:tcPr>
            <w:tcW w:w="682" w:type="pct"/>
            <w:shd w:val="clear" w:color="auto" w:fill="auto"/>
            <w:noWrap/>
            <w:vAlign w:val="center"/>
          </w:tcPr>
          <w:p>
            <w:pPr>
              <w:pStyle w:val="60"/>
              <w:ind w:firstLine="0" w:firstLineChars="0"/>
              <w:jc w:val="left"/>
              <w:rPr>
                <w:color w:val="auto"/>
                <w:sz w:val="18"/>
              </w:rPr>
            </w:pPr>
            <w:r>
              <w:rPr>
                <w:rFonts w:hint="eastAsia"/>
                <w:color w:val="auto"/>
                <w:sz w:val="18"/>
              </w:rPr>
              <w:t>票卡处理</w:t>
            </w:r>
          </w:p>
        </w:tc>
        <w:tc>
          <w:tcPr>
            <w:tcW w:w="2597" w:type="pct"/>
            <w:shd w:val="clear" w:color="auto" w:fill="auto"/>
            <w:vAlign w:val="center"/>
          </w:tcPr>
          <w:p>
            <w:pPr>
              <w:pStyle w:val="60"/>
              <w:ind w:firstLine="0" w:firstLineChars="0"/>
              <w:rPr>
                <w:color w:val="auto"/>
                <w:sz w:val="18"/>
              </w:rPr>
            </w:pPr>
            <w:r>
              <w:rPr>
                <w:rFonts w:hint="eastAsia"/>
                <w:color w:val="auto"/>
                <w:sz w:val="18"/>
              </w:rPr>
              <w:t>所涉及所有终端处理票卡不能按照规范规定正确处理</w:t>
            </w:r>
          </w:p>
        </w:tc>
        <w:tc>
          <w:tcPr>
            <w:tcW w:w="457" w:type="pct"/>
            <w:shd w:val="clear" w:color="auto" w:fill="auto"/>
            <w:noWrap/>
            <w:vAlign w:val="center"/>
          </w:tcPr>
          <w:p>
            <w:pPr>
              <w:pStyle w:val="60"/>
              <w:ind w:firstLine="0" w:firstLineChars="0"/>
              <w:jc w:val="center"/>
              <w:rPr>
                <w:color w:val="auto"/>
                <w:sz w:val="18"/>
              </w:rPr>
            </w:pPr>
            <w:r>
              <w:rPr>
                <w:rFonts w:hint="eastAsia"/>
                <w:color w:val="auto"/>
                <w:sz w:val="18"/>
              </w:rPr>
              <w:t>√</w:t>
            </w:r>
          </w:p>
        </w:tc>
        <w:tc>
          <w:tcPr>
            <w:tcW w:w="457" w:type="pct"/>
            <w:shd w:val="clear" w:color="auto" w:fill="auto"/>
            <w:noWrap/>
            <w:vAlign w:val="center"/>
          </w:tcPr>
          <w:p>
            <w:pPr>
              <w:pStyle w:val="60"/>
              <w:ind w:firstLine="360"/>
              <w:jc w:val="center"/>
              <w:rPr>
                <w:color w:val="auto"/>
                <w:sz w:val="18"/>
              </w:rPr>
            </w:pPr>
          </w:p>
        </w:tc>
        <w:tc>
          <w:tcPr>
            <w:tcW w:w="460" w:type="pct"/>
            <w:shd w:val="clear" w:color="auto" w:fill="auto"/>
            <w:noWrap/>
            <w:vAlign w:val="center"/>
          </w:tcPr>
          <w:p>
            <w:pPr>
              <w:pStyle w:val="60"/>
              <w:ind w:firstLine="360"/>
              <w:jc w:val="center"/>
              <w:rPr>
                <w:color w:val="auto"/>
                <w:sz w:val="18"/>
              </w:rPr>
            </w:pPr>
          </w:p>
        </w:tc>
      </w:tr>
    </w:tbl>
    <w:p>
      <w:pPr>
        <w:pStyle w:val="60"/>
        <w:ind w:firstLine="420"/>
        <w:rPr>
          <w:color w:val="auto"/>
        </w:rPr>
      </w:pPr>
    </w:p>
    <w:p>
      <w:pPr>
        <w:pStyle w:val="60"/>
        <w:ind w:firstLine="420"/>
        <w:rPr>
          <w:color w:val="auto"/>
        </w:rPr>
      </w:pPr>
    </w:p>
    <w:p>
      <w:pPr>
        <w:pStyle w:val="60"/>
        <w:ind w:firstLine="420"/>
        <w:rPr>
          <w:color w:val="auto"/>
        </w:rPr>
      </w:pPr>
    </w:p>
    <w:bookmarkEnd w:id="532"/>
    <w:p>
      <w:pPr>
        <w:pStyle w:val="60"/>
        <w:ind w:firstLine="0" w:firstLineChars="0"/>
        <w:jc w:val="center"/>
        <w:rPr>
          <w:color w:val="auto"/>
        </w:rPr>
      </w:pPr>
      <w:bookmarkStart w:id="537" w:name="BookMark8"/>
      <w:r>
        <w:rPr>
          <w:color w:val="auto"/>
        </w:rPr>
        <w:drawing>
          <wp:inline distT="0" distB="0" distL="0" distR="0">
            <wp:extent cx="1485900" cy="317500"/>
            <wp:effectExtent l="0" t="0" r="0" b="6350"/>
            <wp:docPr id="118887864" name="图片 3"/>
            <wp:cNvGraphicFramePr/>
            <a:graphic xmlns:a="http://schemas.openxmlformats.org/drawingml/2006/main">
              <a:graphicData uri="http://schemas.openxmlformats.org/drawingml/2006/picture">
                <pic:pic xmlns:pic="http://schemas.openxmlformats.org/drawingml/2006/picture">
                  <pic:nvPicPr>
                    <pic:cNvPr id="118887864" name="图片 3"/>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37"/>
    </w:p>
    <w:bookmarkEnd w:id="538"/>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130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131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131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 MERGEFORMAT </w:instrText>
    </w:r>
    <w:r>
      <w:fldChar w:fldCharType="separate"/>
    </w:r>
    <w:r>
      <w:t>IV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XX/T XXXX—XXXX</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AE03CB"/>
    <w:multiLevelType w:val="multilevel"/>
    <w:tmpl w:val="0DAE03CB"/>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140833B9"/>
    <w:multiLevelType w:val="multilevel"/>
    <w:tmpl w:val="140833B9"/>
    <w:lvl w:ilvl="0" w:tentative="0">
      <w:start w:val="1"/>
      <w:numFmt w:val="decimal"/>
      <w:lvlText w:val="%1)"/>
      <w:lvlJc w:val="left"/>
      <w:pPr>
        <w:ind w:left="1259" w:hanging="420"/>
      </w:pPr>
      <w:rPr>
        <w:rFonts w:hint="eastAsia" w:ascii="宋体" w:hAnsi="宋体" w:eastAsia="宋体"/>
      </w:rPr>
    </w:lvl>
    <w:lvl w:ilvl="1" w:tentative="0">
      <w:start w:val="1"/>
      <w:numFmt w:val="bullet"/>
      <w:lvlText w:val=""/>
      <w:lvlJc w:val="left"/>
      <w:pPr>
        <w:tabs>
          <w:tab w:val="left" w:pos="1098"/>
        </w:tabs>
        <w:ind w:left="1602" w:hanging="413"/>
      </w:pPr>
      <w:rPr>
        <w:rFonts w:hint="default" w:ascii="Symbol" w:hAnsi="Symbol"/>
      </w:rPr>
    </w:lvl>
    <w:lvl w:ilvl="2" w:tentative="0">
      <w:start w:val="1"/>
      <w:numFmt w:val="bullet"/>
      <w:lvlText w:val=""/>
      <w:lvlJc w:val="left"/>
      <w:pPr>
        <w:tabs>
          <w:tab w:val="left" w:pos="2016"/>
        </w:tabs>
        <w:ind w:left="2016" w:hanging="414"/>
      </w:pPr>
      <w:rPr>
        <w:rFonts w:hint="default" w:ascii="Symbol" w:hAnsi="Symbol"/>
      </w:rPr>
    </w:lvl>
    <w:lvl w:ilvl="3" w:tentative="0">
      <w:start w:val="1"/>
      <w:numFmt w:val="decimal"/>
      <w:lvlText w:val="%4."/>
      <w:lvlJc w:val="left"/>
      <w:pPr>
        <w:tabs>
          <w:tab w:val="left" w:pos="2409"/>
        </w:tabs>
        <w:ind w:left="2222" w:hanging="528"/>
      </w:pPr>
      <w:rPr>
        <w:rFonts w:hint="eastAsia" w:ascii="宋体" w:hAnsi="宋体" w:eastAsia="宋体"/>
      </w:rPr>
    </w:lvl>
    <w:lvl w:ilvl="4" w:tentative="0">
      <w:start w:val="1"/>
      <w:numFmt w:val="lowerLetter"/>
      <w:lvlText w:val="%5)"/>
      <w:lvlJc w:val="left"/>
      <w:pPr>
        <w:tabs>
          <w:tab w:val="left" w:pos="2721"/>
        </w:tabs>
        <w:ind w:left="2534" w:hanging="528"/>
      </w:pPr>
      <w:rPr>
        <w:rFonts w:hint="eastAsia" w:ascii="宋体" w:hAnsi="宋体" w:eastAsia="宋体"/>
      </w:rPr>
    </w:lvl>
    <w:lvl w:ilvl="5" w:tentative="0">
      <w:start w:val="1"/>
      <w:numFmt w:val="lowerRoman"/>
      <w:lvlText w:val="%6."/>
      <w:lvlJc w:val="right"/>
      <w:pPr>
        <w:tabs>
          <w:tab w:val="left" w:pos="3033"/>
        </w:tabs>
        <w:ind w:left="2846" w:hanging="528"/>
      </w:pPr>
      <w:rPr>
        <w:rFonts w:hint="eastAsia" w:ascii="宋体" w:hAnsi="宋体" w:eastAsia="宋体"/>
      </w:rPr>
    </w:lvl>
    <w:lvl w:ilvl="6" w:tentative="0">
      <w:start w:val="1"/>
      <w:numFmt w:val="decimal"/>
      <w:lvlText w:val="%7."/>
      <w:lvlJc w:val="left"/>
      <w:pPr>
        <w:tabs>
          <w:tab w:val="left" w:pos="3345"/>
        </w:tabs>
        <w:ind w:left="3158" w:hanging="528"/>
      </w:pPr>
      <w:rPr>
        <w:rFonts w:hint="eastAsia" w:ascii="宋体" w:hAnsi="宋体" w:eastAsia="宋体"/>
      </w:rPr>
    </w:lvl>
    <w:lvl w:ilvl="7" w:tentative="0">
      <w:start w:val="1"/>
      <w:numFmt w:val="lowerLetter"/>
      <w:lvlText w:val="%8)"/>
      <w:lvlJc w:val="left"/>
      <w:pPr>
        <w:tabs>
          <w:tab w:val="left" w:pos="3657"/>
        </w:tabs>
        <w:ind w:left="3470" w:hanging="528"/>
      </w:pPr>
      <w:rPr>
        <w:rFonts w:hint="eastAsia" w:ascii="宋体" w:hAnsi="宋体" w:eastAsia="宋体"/>
      </w:rPr>
    </w:lvl>
    <w:lvl w:ilvl="8" w:tentative="0">
      <w:start w:val="1"/>
      <w:numFmt w:val="lowerRoman"/>
      <w:lvlText w:val="%9."/>
      <w:lvlJc w:val="right"/>
      <w:pPr>
        <w:tabs>
          <w:tab w:val="left" w:pos="3969"/>
        </w:tabs>
        <w:ind w:left="3782" w:hanging="528"/>
      </w:pPr>
      <w:rPr>
        <w:rFonts w:hint="eastAsia" w:ascii="宋体" w:hAnsi="宋体" w:eastAsia="宋体"/>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0"/>
      <w:suff w:val="nothing"/>
      <w:lvlText w:val="%1.%2.%3　"/>
      <w:lvlJc w:val="left"/>
      <w:pPr>
        <w:ind w:left="0" w:firstLine="0"/>
      </w:pPr>
      <w:rPr>
        <w:rFonts w:hint="eastAsia" w:ascii="黑体" w:hAnsi="Times New Roman" w:eastAsia="黑体"/>
        <w:b w:val="0"/>
        <w:i w:val="0"/>
        <w:sz w:val="21"/>
      </w:rPr>
    </w:lvl>
    <w:lvl w:ilvl="3" w:tentative="0">
      <w:start w:val="1"/>
      <w:numFmt w:val="decimal"/>
      <w:pStyle w:val="249"/>
      <w:suff w:val="nothing"/>
      <w:lvlText w:val="%1.%2.%3.%4　"/>
      <w:lvlJc w:val="left"/>
      <w:pPr>
        <w:ind w:left="0" w:firstLine="0"/>
      </w:pPr>
      <w:rPr>
        <w:rFonts w:ascii="黑体" w:hAnsi="黑体" w:eastAsia="黑体" w:cs="Times New Roman"/>
        <w:b w:val="0"/>
        <w:bCs w:val="0"/>
        <w:i w:val="0"/>
        <w:iCs w:val="0"/>
        <w:caps w:val="0"/>
        <w:smallCaps w:val="0"/>
        <w:strike w:val="0"/>
        <w:dstrike w:val="0"/>
        <w:vanish w:val="0"/>
        <w:spacing w:val="0"/>
        <w:position w:val="0"/>
        <w:u w:val="none"/>
        <w:vertAlign w:val="baseline"/>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13">
    <w:nsid w:val="20E23568"/>
    <w:multiLevelType w:val="multilevel"/>
    <w:tmpl w:val="20E23568"/>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4">
    <w:nsid w:val="2C5917C3"/>
    <w:multiLevelType w:val="multilevel"/>
    <w:tmpl w:val="2C5917C3"/>
    <w:lvl w:ilvl="0" w:tentative="0">
      <w:start w:val="1"/>
      <w:numFmt w:val="none"/>
      <w:pStyle w:val="25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FB613CF"/>
    <w:multiLevelType w:val="multilevel"/>
    <w:tmpl w:val="2FB613CF"/>
    <w:lvl w:ilvl="0" w:tentative="0">
      <w:start w:val="1"/>
      <w:numFmt w:val="lowerLetter"/>
      <w:pStyle w:val="25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A6B5BFE"/>
    <w:multiLevelType w:val="multilevel"/>
    <w:tmpl w:val="3A6B5BFE"/>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3AC43D30"/>
    <w:multiLevelType w:val="multilevel"/>
    <w:tmpl w:val="3AC43D30"/>
    <w:lvl w:ilvl="0" w:tentative="0">
      <w:start w:val="1"/>
      <w:numFmt w:val="lowerLetter"/>
      <w:lvlText w:val="%1)"/>
      <w:lvlJc w:val="left"/>
      <w:pPr>
        <w:tabs>
          <w:tab w:val="left" w:pos="839"/>
        </w:tabs>
        <w:ind w:left="839" w:hanging="419"/>
      </w:pPr>
      <w:rPr>
        <w:rFonts w:hint="eastAsia" w:ascii="宋体" w:hAnsi="宋体" w:eastAsia="宋体"/>
        <w:b w:val="0"/>
        <w:i w:val="0"/>
        <w:sz w:val="20"/>
        <w:szCs w:val="20"/>
      </w:rPr>
    </w:lvl>
    <w:lvl w:ilvl="1" w:tentative="0">
      <w:start w:val="1"/>
      <w:numFmt w:val="lowerLetter"/>
      <w:lvlText w:val="%2)"/>
      <w:lvlJc w:val="left"/>
      <w:pPr>
        <w:tabs>
          <w:tab w:val="left" w:pos="1259"/>
        </w:tabs>
        <w:ind w:left="1259" w:hanging="420"/>
      </w:pPr>
      <w:rPr>
        <w:rFonts w:hint="eastAsia" w:ascii="宋体" w:hAnsi="宋体" w:eastAsia="宋体"/>
        <w:b w:val="0"/>
        <w:i w:val="0"/>
        <w:sz w:val="20"/>
        <w:szCs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0"/>
      </w:rPr>
    </w:lvl>
    <w:lvl w:ilvl="3" w:tentative="0">
      <w:start w:val="1"/>
      <w:numFmt w:val="decimal"/>
      <w:lvlText w:val="%4."/>
      <w:lvlJc w:val="left"/>
      <w:pPr>
        <w:tabs>
          <w:tab w:val="left" w:pos="2098"/>
        </w:tabs>
        <w:ind w:left="2098" w:hanging="420"/>
      </w:pPr>
      <w:rPr>
        <w:rFonts w:hint="eastAsia" w:ascii="宋体" w:hAnsi="宋体" w:eastAsia="宋体"/>
      </w:rPr>
    </w:lvl>
    <w:lvl w:ilvl="4" w:tentative="0">
      <w:start w:val="1"/>
      <w:numFmt w:val="lowerLetter"/>
      <w:lvlText w:val="%5)"/>
      <w:lvlJc w:val="left"/>
      <w:pPr>
        <w:tabs>
          <w:tab w:val="left" w:pos="2517"/>
        </w:tabs>
        <w:ind w:left="2517" w:hanging="419"/>
      </w:pPr>
      <w:rPr>
        <w:rFonts w:hint="eastAsia" w:ascii="宋体" w:hAnsi="宋体" w:eastAsia="宋体"/>
      </w:rPr>
    </w:lvl>
    <w:lvl w:ilvl="5" w:tentative="0">
      <w:start w:val="1"/>
      <w:numFmt w:val="lowerRoman"/>
      <w:lvlText w:val="%6."/>
      <w:lvlJc w:val="right"/>
      <w:pPr>
        <w:tabs>
          <w:tab w:val="left" w:pos="2942"/>
        </w:tabs>
        <w:ind w:left="2937" w:hanging="420"/>
      </w:pPr>
      <w:rPr>
        <w:rFonts w:hint="eastAsia" w:ascii="宋体" w:hAnsi="宋体" w:eastAsia="宋体"/>
      </w:rPr>
    </w:lvl>
    <w:lvl w:ilvl="6" w:tentative="0">
      <w:start w:val="1"/>
      <w:numFmt w:val="decimal"/>
      <w:lvlText w:val="%7."/>
      <w:lvlJc w:val="left"/>
      <w:pPr>
        <w:tabs>
          <w:tab w:val="left" w:pos="3362"/>
        </w:tabs>
        <w:ind w:left="3356" w:hanging="414"/>
      </w:pPr>
      <w:rPr>
        <w:rFonts w:hint="eastAsia" w:ascii="宋体" w:hAnsi="宋体" w:eastAsia="宋体"/>
      </w:rPr>
    </w:lvl>
    <w:lvl w:ilvl="7" w:tentative="0">
      <w:start w:val="1"/>
      <w:numFmt w:val="lowerLetter"/>
      <w:lvlText w:val="%8)"/>
      <w:lvlJc w:val="left"/>
      <w:pPr>
        <w:tabs>
          <w:tab w:val="left" w:pos="3781"/>
        </w:tabs>
        <w:ind w:left="3776" w:hanging="414"/>
      </w:pPr>
      <w:rPr>
        <w:rFonts w:hint="eastAsia" w:ascii="宋体" w:hAnsi="宋体" w:eastAsia="宋体"/>
      </w:rPr>
    </w:lvl>
    <w:lvl w:ilvl="8" w:tentative="0">
      <w:start w:val="1"/>
      <w:numFmt w:val="lowerRoman"/>
      <w:lvlText w:val="%9."/>
      <w:lvlJc w:val="right"/>
      <w:pPr>
        <w:tabs>
          <w:tab w:val="left" w:pos="4201"/>
        </w:tabs>
        <w:ind w:left="4201" w:hanging="420"/>
      </w:pPr>
      <w:rPr>
        <w:rFonts w:hint="eastAsia" w:ascii="宋体" w:hAnsi="宋体" w:eastAsia="宋体"/>
      </w:rPr>
    </w:lvl>
  </w:abstractNum>
  <w:abstractNum w:abstractNumId="19">
    <w:nsid w:val="434D120F"/>
    <w:multiLevelType w:val="multilevel"/>
    <w:tmpl w:val="434D120F"/>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0">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75421DB"/>
    <w:multiLevelType w:val="multilevel"/>
    <w:tmpl w:val="475421DB"/>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2">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4EF0038B"/>
    <w:multiLevelType w:val="multilevel"/>
    <w:tmpl w:val="4EF0038B"/>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7">
    <w:nsid w:val="55137313"/>
    <w:multiLevelType w:val="multilevel"/>
    <w:tmpl w:val="55137313"/>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lowerLetter"/>
      <w:lvlText w:val="%2)"/>
      <w:lvlJc w:val="left"/>
      <w:pPr>
        <w:tabs>
          <w:tab w:val="left" w:pos="1259"/>
        </w:tabs>
        <w:ind w:left="1259" w:hanging="420"/>
      </w:pPr>
      <w:rPr>
        <w:rFonts w:hint="eastAsia"/>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8"/>
  </w:num>
  <w:num w:numId="3">
    <w:abstractNumId w:val="5"/>
  </w:num>
  <w:num w:numId="4">
    <w:abstractNumId w:val="34"/>
  </w:num>
  <w:num w:numId="5">
    <w:abstractNumId w:val="29"/>
  </w:num>
  <w:num w:numId="6">
    <w:abstractNumId w:val="22"/>
  </w:num>
  <w:num w:numId="7">
    <w:abstractNumId w:val="10"/>
  </w:num>
  <w:num w:numId="8">
    <w:abstractNumId w:val="3"/>
  </w:num>
  <w:num w:numId="9">
    <w:abstractNumId w:val="11"/>
  </w:num>
  <w:num w:numId="10">
    <w:abstractNumId w:val="26"/>
  </w:num>
  <w:num w:numId="11">
    <w:abstractNumId w:val="36"/>
  </w:num>
  <w:num w:numId="12">
    <w:abstractNumId w:val="16"/>
  </w:num>
  <w:num w:numId="13">
    <w:abstractNumId w:val="20"/>
  </w:num>
  <w:num w:numId="14">
    <w:abstractNumId w:val="9"/>
  </w:num>
  <w:num w:numId="15">
    <w:abstractNumId w:val="30"/>
  </w:num>
  <w:num w:numId="16">
    <w:abstractNumId w:val="32"/>
  </w:num>
  <w:num w:numId="17">
    <w:abstractNumId w:val="28"/>
  </w:num>
  <w:num w:numId="18">
    <w:abstractNumId w:val="40"/>
  </w:num>
  <w:num w:numId="19">
    <w:abstractNumId w:val="24"/>
  </w:num>
  <w:num w:numId="20">
    <w:abstractNumId w:val="1"/>
  </w:num>
  <w:num w:numId="21">
    <w:abstractNumId w:val="14"/>
  </w:num>
  <w:num w:numId="22">
    <w:abstractNumId w:val="41"/>
  </w:num>
  <w:num w:numId="23">
    <w:abstractNumId w:val="31"/>
  </w:num>
  <w:num w:numId="24">
    <w:abstractNumId w:val="6"/>
  </w:num>
  <w:num w:numId="25">
    <w:abstractNumId w:val="37"/>
  </w:num>
  <w:num w:numId="26">
    <w:abstractNumId w:val="39"/>
  </w:num>
  <w:num w:numId="27">
    <w:abstractNumId w:val="2"/>
  </w:num>
  <w:num w:numId="28">
    <w:abstractNumId w:val="4"/>
  </w:num>
  <w:num w:numId="29">
    <w:abstractNumId w:val="23"/>
  </w:num>
  <w:num w:numId="30">
    <w:abstractNumId w:val="35"/>
  </w:num>
  <w:num w:numId="31">
    <w:abstractNumId w:val="33"/>
  </w:num>
  <w:num w:numId="32">
    <w:abstractNumId w:val="12"/>
  </w:num>
  <w:num w:numId="33">
    <w:abstractNumId w:val="15"/>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abstractNumId w:val="13"/>
  </w:num>
  <w:num w:numId="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abstractNumId w:val="27"/>
  </w:num>
  <w:num w:numId="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7"/>
  </w:num>
  <w:num w:numId="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abstractNumId w:val="17"/>
  </w:num>
  <w:num w:numId="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5"/>
  </w:num>
  <w:num w:numId="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abstractNumId w:val="21"/>
  </w:num>
  <w:num w:numId="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abstractNumId w:val="19"/>
  </w:num>
  <w:num w:numId="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53"/>
    <w:rsid w:val="0000040A"/>
    <w:rsid w:val="00000A94"/>
    <w:rsid w:val="00000CC5"/>
    <w:rsid w:val="00001972"/>
    <w:rsid w:val="00001D9A"/>
    <w:rsid w:val="0000268D"/>
    <w:rsid w:val="00002BB3"/>
    <w:rsid w:val="00002BC1"/>
    <w:rsid w:val="00002BE7"/>
    <w:rsid w:val="00003F79"/>
    <w:rsid w:val="00006C5F"/>
    <w:rsid w:val="00007B3A"/>
    <w:rsid w:val="0001058D"/>
    <w:rsid w:val="000107E0"/>
    <w:rsid w:val="00011FDE"/>
    <w:rsid w:val="00012C60"/>
    <w:rsid w:val="00012FFD"/>
    <w:rsid w:val="00013FED"/>
    <w:rsid w:val="00014162"/>
    <w:rsid w:val="00014340"/>
    <w:rsid w:val="00016920"/>
    <w:rsid w:val="00016A9C"/>
    <w:rsid w:val="00017236"/>
    <w:rsid w:val="00020208"/>
    <w:rsid w:val="00022184"/>
    <w:rsid w:val="00022762"/>
    <w:rsid w:val="000238E0"/>
    <w:rsid w:val="000249DB"/>
    <w:rsid w:val="0002595E"/>
    <w:rsid w:val="00027A28"/>
    <w:rsid w:val="000303C3"/>
    <w:rsid w:val="0003070E"/>
    <w:rsid w:val="000314AF"/>
    <w:rsid w:val="00032294"/>
    <w:rsid w:val="0003281F"/>
    <w:rsid w:val="00032D50"/>
    <w:rsid w:val="00032FBC"/>
    <w:rsid w:val="000331D3"/>
    <w:rsid w:val="000346A5"/>
    <w:rsid w:val="00035699"/>
    <w:rsid w:val="0003578C"/>
    <w:rsid w:val="000359C3"/>
    <w:rsid w:val="00035A7D"/>
    <w:rsid w:val="000365ED"/>
    <w:rsid w:val="00041074"/>
    <w:rsid w:val="0004249A"/>
    <w:rsid w:val="00042934"/>
    <w:rsid w:val="00043282"/>
    <w:rsid w:val="00044286"/>
    <w:rsid w:val="00047F28"/>
    <w:rsid w:val="000503AA"/>
    <w:rsid w:val="000506A1"/>
    <w:rsid w:val="000515DD"/>
    <w:rsid w:val="0005265A"/>
    <w:rsid w:val="000534F9"/>
    <w:rsid w:val="000539DD"/>
    <w:rsid w:val="00053BD3"/>
    <w:rsid w:val="0005472D"/>
    <w:rsid w:val="00054958"/>
    <w:rsid w:val="000556ED"/>
    <w:rsid w:val="00055FE2"/>
    <w:rsid w:val="0005616F"/>
    <w:rsid w:val="00056172"/>
    <w:rsid w:val="00057AEA"/>
    <w:rsid w:val="00060364"/>
    <w:rsid w:val="00060C2E"/>
    <w:rsid w:val="00061033"/>
    <w:rsid w:val="000619E9"/>
    <w:rsid w:val="000622D4"/>
    <w:rsid w:val="0006357D"/>
    <w:rsid w:val="000655C3"/>
    <w:rsid w:val="00067170"/>
    <w:rsid w:val="00067A67"/>
    <w:rsid w:val="00067CD3"/>
    <w:rsid w:val="00067F1E"/>
    <w:rsid w:val="0007015E"/>
    <w:rsid w:val="00071CC0"/>
    <w:rsid w:val="000725FE"/>
    <w:rsid w:val="00073C8C"/>
    <w:rsid w:val="00074372"/>
    <w:rsid w:val="00075BCF"/>
    <w:rsid w:val="00076F9C"/>
    <w:rsid w:val="00077B64"/>
    <w:rsid w:val="00080A1C"/>
    <w:rsid w:val="0008154A"/>
    <w:rsid w:val="00082317"/>
    <w:rsid w:val="00083D2C"/>
    <w:rsid w:val="00085FB4"/>
    <w:rsid w:val="00086AA1"/>
    <w:rsid w:val="00087A77"/>
    <w:rsid w:val="0009019E"/>
    <w:rsid w:val="00090CA6"/>
    <w:rsid w:val="000912F0"/>
    <w:rsid w:val="0009189A"/>
    <w:rsid w:val="00091A68"/>
    <w:rsid w:val="00092B8A"/>
    <w:rsid w:val="00092FB0"/>
    <w:rsid w:val="000934C5"/>
    <w:rsid w:val="00093D25"/>
    <w:rsid w:val="00093DAB"/>
    <w:rsid w:val="000942B0"/>
    <w:rsid w:val="00094D73"/>
    <w:rsid w:val="00095216"/>
    <w:rsid w:val="000959C0"/>
    <w:rsid w:val="00096D63"/>
    <w:rsid w:val="000A0B60"/>
    <w:rsid w:val="000A0EB8"/>
    <w:rsid w:val="000A19FC"/>
    <w:rsid w:val="000A2673"/>
    <w:rsid w:val="000A296B"/>
    <w:rsid w:val="000A424A"/>
    <w:rsid w:val="000A6B04"/>
    <w:rsid w:val="000A7311"/>
    <w:rsid w:val="000A7A7A"/>
    <w:rsid w:val="000A7E1E"/>
    <w:rsid w:val="000B060F"/>
    <w:rsid w:val="000B101C"/>
    <w:rsid w:val="000B1592"/>
    <w:rsid w:val="000B1FF2"/>
    <w:rsid w:val="000B2007"/>
    <w:rsid w:val="000B2D3B"/>
    <w:rsid w:val="000B3AD8"/>
    <w:rsid w:val="000B3CDA"/>
    <w:rsid w:val="000B698B"/>
    <w:rsid w:val="000B6A0B"/>
    <w:rsid w:val="000B7CB5"/>
    <w:rsid w:val="000C0F6C"/>
    <w:rsid w:val="000C11DB"/>
    <w:rsid w:val="000C1492"/>
    <w:rsid w:val="000C196D"/>
    <w:rsid w:val="000C2253"/>
    <w:rsid w:val="000C2F1B"/>
    <w:rsid w:val="000C2FBD"/>
    <w:rsid w:val="000C40ED"/>
    <w:rsid w:val="000C4B41"/>
    <w:rsid w:val="000C53B9"/>
    <w:rsid w:val="000C57D6"/>
    <w:rsid w:val="000C6362"/>
    <w:rsid w:val="000C7666"/>
    <w:rsid w:val="000D0A9C"/>
    <w:rsid w:val="000D1795"/>
    <w:rsid w:val="000D329A"/>
    <w:rsid w:val="000D337B"/>
    <w:rsid w:val="000D4B9C"/>
    <w:rsid w:val="000D4EB6"/>
    <w:rsid w:val="000D753B"/>
    <w:rsid w:val="000E25EF"/>
    <w:rsid w:val="000E4404"/>
    <w:rsid w:val="000E4C9E"/>
    <w:rsid w:val="000E4D73"/>
    <w:rsid w:val="000E6D27"/>
    <w:rsid w:val="000E6FD7"/>
    <w:rsid w:val="000E7167"/>
    <w:rsid w:val="000F06E1"/>
    <w:rsid w:val="000F0E3C"/>
    <w:rsid w:val="000F1694"/>
    <w:rsid w:val="000F19D5"/>
    <w:rsid w:val="000F4AEA"/>
    <w:rsid w:val="000F633F"/>
    <w:rsid w:val="000F67E9"/>
    <w:rsid w:val="000F74C5"/>
    <w:rsid w:val="00101E52"/>
    <w:rsid w:val="0010235C"/>
    <w:rsid w:val="00103442"/>
    <w:rsid w:val="001035F5"/>
    <w:rsid w:val="00104926"/>
    <w:rsid w:val="001067C3"/>
    <w:rsid w:val="001068EE"/>
    <w:rsid w:val="00110B59"/>
    <w:rsid w:val="00110F79"/>
    <w:rsid w:val="00111A17"/>
    <w:rsid w:val="00113B1E"/>
    <w:rsid w:val="001160B6"/>
    <w:rsid w:val="001161B6"/>
    <w:rsid w:val="00116EBC"/>
    <w:rsid w:val="0011711C"/>
    <w:rsid w:val="0012059C"/>
    <w:rsid w:val="0012071A"/>
    <w:rsid w:val="00121340"/>
    <w:rsid w:val="00121B39"/>
    <w:rsid w:val="00122A33"/>
    <w:rsid w:val="00124E4F"/>
    <w:rsid w:val="001260B7"/>
    <w:rsid w:val="00126426"/>
    <w:rsid w:val="001265CB"/>
    <w:rsid w:val="0012703D"/>
    <w:rsid w:val="0013034C"/>
    <w:rsid w:val="001319E5"/>
    <w:rsid w:val="001321C6"/>
    <w:rsid w:val="00132578"/>
    <w:rsid w:val="001325C4"/>
    <w:rsid w:val="00133010"/>
    <w:rsid w:val="001338EE"/>
    <w:rsid w:val="00133AAE"/>
    <w:rsid w:val="00133C76"/>
    <w:rsid w:val="00135323"/>
    <w:rsid w:val="001356C4"/>
    <w:rsid w:val="00136185"/>
    <w:rsid w:val="00137E7F"/>
    <w:rsid w:val="00141114"/>
    <w:rsid w:val="00141903"/>
    <w:rsid w:val="00142969"/>
    <w:rsid w:val="0014342F"/>
    <w:rsid w:val="0014402B"/>
    <w:rsid w:val="001446C2"/>
    <w:rsid w:val="001457E7"/>
    <w:rsid w:val="00145D9D"/>
    <w:rsid w:val="0014608F"/>
    <w:rsid w:val="00146388"/>
    <w:rsid w:val="001464FB"/>
    <w:rsid w:val="0015191D"/>
    <w:rsid w:val="0015236C"/>
    <w:rsid w:val="00152676"/>
    <w:rsid w:val="001529E5"/>
    <w:rsid w:val="00153C7E"/>
    <w:rsid w:val="001551E1"/>
    <w:rsid w:val="00156B25"/>
    <w:rsid w:val="00156E1A"/>
    <w:rsid w:val="00157894"/>
    <w:rsid w:val="00157B55"/>
    <w:rsid w:val="0016001C"/>
    <w:rsid w:val="0016051D"/>
    <w:rsid w:val="00160933"/>
    <w:rsid w:val="00161049"/>
    <w:rsid w:val="00162FE4"/>
    <w:rsid w:val="00163086"/>
    <w:rsid w:val="001642FA"/>
    <w:rsid w:val="001649EB"/>
    <w:rsid w:val="00164BAF"/>
    <w:rsid w:val="00164FA8"/>
    <w:rsid w:val="00165065"/>
    <w:rsid w:val="00165434"/>
    <w:rsid w:val="0016580B"/>
    <w:rsid w:val="00165F49"/>
    <w:rsid w:val="00166B88"/>
    <w:rsid w:val="0016733F"/>
    <w:rsid w:val="0016770A"/>
    <w:rsid w:val="001701E5"/>
    <w:rsid w:val="00170804"/>
    <w:rsid w:val="001708E9"/>
    <w:rsid w:val="00170ED7"/>
    <w:rsid w:val="00172393"/>
    <w:rsid w:val="0017340B"/>
    <w:rsid w:val="00173683"/>
    <w:rsid w:val="00173FB1"/>
    <w:rsid w:val="00176DFD"/>
    <w:rsid w:val="00177903"/>
    <w:rsid w:val="001809D0"/>
    <w:rsid w:val="00182D98"/>
    <w:rsid w:val="00183023"/>
    <w:rsid w:val="001852C9"/>
    <w:rsid w:val="00186AB7"/>
    <w:rsid w:val="00190087"/>
    <w:rsid w:val="001902E3"/>
    <w:rsid w:val="001913C4"/>
    <w:rsid w:val="0019231F"/>
    <w:rsid w:val="00192341"/>
    <w:rsid w:val="00192719"/>
    <w:rsid w:val="00192A43"/>
    <w:rsid w:val="0019348F"/>
    <w:rsid w:val="00193A07"/>
    <w:rsid w:val="00194C95"/>
    <w:rsid w:val="00195C34"/>
    <w:rsid w:val="00196EF5"/>
    <w:rsid w:val="001A1A53"/>
    <w:rsid w:val="001A234A"/>
    <w:rsid w:val="001A249C"/>
    <w:rsid w:val="001A24AE"/>
    <w:rsid w:val="001A4CF3"/>
    <w:rsid w:val="001A580A"/>
    <w:rsid w:val="001A670B"/>
    <w:rsid w:val="001B06E8"/>
    <w:rsid w:val="001B07F7"/>
    <w:rsid w:val="001B12B0"/>
    <w:rsid w:val="001B3C5E"/>
    <w:rsid w:val="001B3D69"/>
    <w:rsid w:val="001B67BD"/>
    <w:rsid w:val="001B71D0"/>
    <w:rsid w:val="001B71EE"/>
    <w:rsid w:val="001C04A8"/>
    <w:rsid w:val="001C1B71"/>
    <w:rsid w:val="001C2AF1"/>
    <w:rsid w:val="001C2C03"/>
    <w:rsid w:val="001C3351"/>
    <w:rsid w:val="001C36E9"/>
    <w:rsid w:val="001C42F7"/>
    <w:rsid w:val="001C4459"/>
    <w:rsid w:val="001C48DE"/>
    <w:rsid w:val="001C49E5"/>
    <w:rsid w:val="001C680C"/>
    <w:rsid w:val="001C7FEA"/>
    <w:rsid w:val="001D0499"/>
    <w:rsid w:val="001D0BBE"/>
    <w:rsid w:val="001D0ED4"/>
    <w:rsid w:val="001D212F"/>
    <w:rsid w:val="001D29D7"/>
    <w:rsid w:val="001D2DE7"/>
    <w:rsid w:val="001D411C"/>
    <w:rsid w:val="001D47A5"/>
    <w:rsid w:val="001D492A"/>
    <w:rsid w:val="001D50CD"/>
    <w:rsid w:val="001D58E7"/>
    <w:rsid w:val="001D5911"/>
    <w:rsid w:val="001D66F4"/>
    <w:rsid w:val="001D7A49"/>
    <w:rsid w:val="001E12A7"/>
    <w:rsid w:val="001E1B6A"/>
    <w:rsid w:val="001E2484"/>
    <w:rsid w:val="001E3A62"/>
    <w:rsid w:val="001E3CC4"/>
    <w:rsid w:val="001E4882"/>
    <w:rsid w:val="001E65D3"/>
    <w:rsid w:val="001E73AB"/>
    <w:rsid w:val="001F092D"/>
    <w:rsid w:val="001F110E"/>
    <w:rsid w:val="001F143A"/>
    <w:rsid w:val="001F1605"/>
    <w:rsid w:val="001F2508"/>
    <w:rsid w:val="001F4372"/>
    <w:rsid w:val="001F466E"/>
    <w:rsid w:val="001F4816"/>
    <w:rsid w:val="001F483D"/>
    <w:rsid w:val="001F4EE9"/>
    <w:rsid w:val="001F5684"/>
    <w:rsid w:val="001F56D7"/>
    <w:rsid w:val="001F5BAB"/>
    <w:rsid w:val="001F5D28"/>
    <w:rsid w:val="001F638C"/>
    <w:rsid w:val="001F69B4"/>
    <w:rsid w:val="001F6DDB"/>
    <w:rsid w:val="001F715F"/>
    <w:rsid w:val="001F77C7"/>
    <w:rsid w:val="00200183"/>
    <w:rsid w:val="00200333"/>
    <w:rsid w:val="00200952"/>
    <w:rsid w:val="0020107D"/>
    <w:rsid w:val="00201F95"/>
    <w:rsid w:val="00202135"/>
    <w:rsid w:val="0020274E"/>
    <w:rsid w:val="00202AA4"/>
    <w:rsid w:val="002031F7"/>
    <w:rsid w:val="00203DE3"/>
    <w:rsid w:val="002040E6"/>
    <w:rsid w:val="00204B0C"/>
    <w:rsid w:val="0020527B"/>
    <w:rsid w:val="00205F2C"/>
    <w:rsid w:val="00206CCD"/>
    <w:rsid w:val="00206DFA"/>
    <w:rsid w:val="00210B15"/>
    <w:rsid w:val="00210B73"/>
    <w:rsid w:val="002111A7"/>
    <w:rsid w:val="00211553"/>
    <w:rsid w:val="00213AD0"/>
    <w:rsid w:val="002142EA"/>
    <w:rsid w:val="00214460"/>
    <w:rsid w:val="002201DC"/>
    <w:rsid w:val="002204BB"/>
    <w:rsid w:val="00221B79"/>
    <w:rsid w:val="00221C6B"/>
    <w:rsid w:val="00222021"/>
    <w:rsid w:val="0022489E"/>
    <w:rsid w:val="002253A1"/>
    <w:rsid w:val="00225CF8"/>
    <w:rsid w:val="002275D9"/>
    <w:rsid w:val="0022794E"/>
    <w:rsid w:val="002309D9"/>
    <w:rsid w:val="002317F6"/>
    <w:rsid w:val="00232FF1"/>
    <w:rsid w:val="002339EF"/>
    <w:rsid w:val="00233D64"/>
    <w:rsid w:val="0023482A"/>
    <w:rsid w:val="002359CB"/>
    <w:rsid w:val="00236030"/>
    <w:rsid w:val="00237EF1"/>
    <w:rsid w:val="00242053"/>
    <w:rsid w:val="00243540"/>
    <w:rsid w:val="00244221"/>
    <w:rsid w:val="0024497B"/>
    <w:rsid w:val="0024515B"/>
    <w:rsid w:val="00245CD0"/>
    <w:rsid w:val="00246021"/>
    <w:rsid w:val="0024666E"/>
    <w:rsid w:val="00246D2A"/>
    <w:rsid w:val="00247E36"/>
    <w:rsid w:val="00247F52"/>
    <w:rsid w:val="00250B25"/>
    <w:rsid w:val="00250BBE"/>
    <w:rsid w:val="0025137F"/>
    <w:rsid w:val="002515C2"/>
    <w:rsid w:val="0025194F"/>
    <w:rsid w:val="002529BC"/>
    <w:rsid w:val="00254FD5"/>
    <w:rsid w:val="00256720"/>
    <w:rsid w:val="00257A96"/>
    <w:rsid w:val="00257E86"/>
    <w:rsid w:val="0026148A"/>
    <w:rsid w:val="002620A6"/>
    <w:rsid w:val="00262696"/>
    <w:rsid w:val="002628F8"/>
    <w:rsid w:val="00263D25"/>
    <w:rsid w:val="0026411E"/>
    <w:rsid w:val="002643C3"/>
    <w:rsid w:val="00264A0C"/>
    <w:rsid w:val="00266EEB"/>
    <w:rsid w:val="002677DD"/>
    <w:rsid w:val="00267EF4"/>
    <w:rsid w:val="00270CB8"/>
    <w:rsid w:val="002725FC"/>
    <w:rsid w:val="00272B08"/>
    <w:rsid w:val="002743D8"/>
    <w:rsid w:val="00274B6D"/>
    <w:rsid w:val="002771AC"/>
    <w:rsid w:val="002779B1"/>
    <w:rsid w:val="00277DEC"/>
    <w:rsid w:val="00280250"/>
    <w:rsid w:val="00281BB8"/>
    <w:rsid w:val="00281E9E"/>
    <w:rsid w:val="00282405"/>
    <w:rsid w:val="00282A41"/>
    <w:rsid w:val="00283E69"/>
    <w:rsid w:val="00285170"/>
    <w:rsid w:val="00285361"/>
    <w:rsid w:val="00286468"/>
    <w:rsid w:val="00287E16"/>
    <w:rsid w:val="00290A54"/>
    <w:rsid w:val="002911C1"/>
    <w:rsid w:val="0029257C"/>
    <w:rsid w:val="00292D60"/>
    <w:rsid w:val="00293562"/>
    <w:rsid w:val="002936F8"/>
    <w:rsid w:val="00293B30"/>
    <w:rsid w:val="00294D34"/>
    <w:rsid w:val="00294E3B"/>
    <w:rsid w:val="00296193"/>
    <w:rsid w:val="00296C66"/>
    <w:rsid w:val="00296EBE"/>
    <w:rsid w:val="002974E3"/>
    <w:rsid w:val="002A084B"/>
    <w:rsid w:val="002A1260"/>
    <w:rsid w:val="002A1589"/>
    <w:rsid w:val="002A1608"/>
    <w:rsid w:val="002A25DC"/>
    <w:rsid w:val="002A2AD5"/>
    <w:rsid w:val="002A3AAB"/>
    <w:rsid w:val="002A4CEA"/>
    <w:rsid w:val="002A5977"/>
    <w:rsid w:val="002A5A13"/>
    <w:rsid w:val="002A70C1"/>
    <w:rsid w:val="002A757F"/>
    <w:rsid w:val="002A7F44"/>
    <w:rsid w:val="002B0C40"/>
    <w:rsid w:val="002B1454"/>
    <w:rsid w:val="002B1966"/>
    <w:rsid w:val="002B1F2B"/>
    <w:rsid w:val="002B4508"/>
    <w:rsid w:val="002B5779"/>
    <w:rsid w:val="002B6DD3"/>
    <w:rsid w:val="002B7332"/>
    <w:rsid w:val="002B7F51"/>
    <w:rsid w:val="002C09E7"/>
    <w:rsid w:val="002C1E06"/>
    <w:rsid w:val="002C1E1C"/>
    <w:rsid w:val="002C2EC0"/>
    <w:rsid w:val="002C3DCB"/>
    <w:rsid w:val="002C3F07"/>
    <w:rsid w:val="002C41C2"/>
    <w:rsid w:val="002C5278"/>
    <w:rsid w:val="002C69E0"/>
    <w:rsid w:val="002C7B32"/>
    <w:rsid w:val="002C7EBB"/>
    <w:rsid w:val="002D06C1"/>
    <w:rsid w:val="002D0C0F"/>
    <w:rsid w:val="002D41B9"/>
    <w:rsid w:val="002D42B5"/>
    <w:rsid w:val="002D4F1A"/>
    <w:rsid w:val="002D5CC5"/>
    <w:rsid w:val="002D673E"/>
    <w:rsid w:val="002D6EC6"/>
    <w:rsid w:val="002D797C"/>
    <w:rsid w:val="002D79AC"/>
    <w:rsid w:val="002E039D"/>
    <w:rsid w:val="002E1E47"/>
    <w:rsid w:val="002E2275"/>
    <w:rsid w:val="002E4D5A"/>
    <w:rsid w:val="002E6326"/>
    <w:rsid w:val="002E633E"/>
    <w:rsid w:val="002E6493"/>
    <w:rsid w:val="002E7036"/>
    <w:rsid w:val="002E7AF4"/>
    <w:rsid w:val="002F187D"/>
    <w:rsid w:val="002F27F5"/>
    <w:rsid w:val="002F30E0"/>
    <w:rsid w:val="002F32D9"/>
    <w:rsid w:val="002F35E4"/>
    <w:rsid w:val="002F3730"/>
    <w:rsid w:val="002F38E1"/>
    <w:rsid w:val="002F7AF6"/>
    <w:rsid w:val="00300056"/>
    <w:rsid w:val="0030083C"/>
    <w:rsid w:val="00300E63"/>
    <w:rsid w:val="00301F6C"/>
    <w:rsid w:val="00302F41"/>
    <w:rsid w:val="00302F5F"/>
    <w:rsid w:val="00303637"/>
    <w:rsid w:val="0030441D"/>
    <w:rsid w:val="00306063"/>
    <w:rsid w:val="00313B85"/>
    <w:rsid w:val="003169D7"/>
    <w:rsid w:val="00316C52"/>
    <w:rsid w:val="0031735F"/>
    <w:rsid w:val="00317988"/>
    <w:rsid w:val="00317B26"/>
    <w:rsid w:val="003221B4"/>
    <w:rsid w:val="0032258D"/>
    <w:rsid w:val="00322E62"/>
    <w:rsid w:val="00323907"/>
    <w:rsid w:val="003240A1"/>
    <w:rsid w:val="00324D13"/>
    <w:rsid w:val="00324D2A"/>
    <w:rsid w:val="00324EDD"/>
    <w:rsid w:val="00331076"/>
    <w:rsid w:val="003331E4"/>
    <w:rsid w:val="0033380E"/>
    <w:rsid w:val="00336C64"/>
    <w:rsid w:val="00337162"/>
    <w:rsid w:val="0034194F"/>
    <w:rsid w:val="003429AA"/>
    <w:rsid w:val="0034381C"/>
    <w:rsid w:val="00344226"/>
    <w:rsid w:val="00344605"/>
    <w:rsid w:val="00345735"/>
    <w:rsid w:val="003459FD"/>
    <w:rsid w:val="003474AA"/>
    <w:rsid w:val="00350D1D"/>
    <w:rsid w:val="00351359"/>
    <w:rsid w:val="00351B9B"/>
    <w:rsid w:val="00351D36"/>
    <w:rsid w:val="00352C83"/>
    <w:rsid w:val="00354538"/>
    <w:rsid w:val="00360894"/>
    <w:rsid w:val="00360DF7"/>
    <w:rsid w:val="003615D2"/>
    <w:rsid w:val="0036429C"/>
    <w:rsid w:val="00364A53"/>
    <w:rsid w:val="003654CB"/>
    <w:rsid w:val="00365AA9"/>
    <w:rsid w:val="00365F86"/>
    <w:rsid w:val="00365F87"/>
    <w:rsid w:val="0036624E"/>
    <w:rsid w:val="003669D6"/>
    <w:rsid w:val="00366E89"/>
    <w:rsid w:val="00367756"/>
    <w:rsid w:val="003705F4"/>
    <w:rsid w:val="00370D58"/>
    <w:rsid w:val="00371316"/>
    <w:rsid w:val="00374332"/>
    <w:rsid w:val="0037638D"/>
    <w:rsid w:val="00376713"/>
    <w:rsid w:val="00376815"/>
    <w:rsid w:val="00380021"/>
    <w:rsid w:val="003816E5"/>
    <w:rsid w:val="00381815"/>
    <w:rsid w:val="003819AF"/>
    <w:rsid w:val="003820E9"/>
    <w:rsid w:val="00382DE7"/>
    <w:rsid w:val="00384FFC"/>
    <w:rsid w:val="003852A0"/>
    <w:rsid w:val="00386DD1"/>
    <w:rsid w:val="003872FC"/>
    <w:rsid w:val="00387ADC"/>
    <w:rsid w:val="00390020"/>
    <w:rsid w:val="00390305"/>
    <w:rsid w:val="003903D6"/>
    <w:rsid w:val="00390EE6"/>
    <w:rsid w:val="0039118F"/>
    <w:rsid w:val="0039133D"/>
    <w:rsid w:val="00392AD7"/>
    <w:rsid w:val="00392DD2"/>
    <w:rsid w:val="003938D9"/>
    <w:rsid w:val="00393B05"/>
    <w:rsid w:val="00394376"/>
    <w:rsid w:val="003943FF"/>
    <w:rsid w:val="00394999"/>
    <w:rsid w:val="00395700"/>
    <w:rsid w:val="003957E2"/>
    <w:rsid w:val="00395E08"/>
    <w:rsid w:val="003963B0"/>
    <w:rsid w:val="003964B1"/>
    <w:rsid w:val="003974EB"/>
    <w:rsid w:val="00397CC5"/>
    <w:rsid w:val="003A1582"/>
    <w:rsid w:val="003A2001"/>
    <w:rsid w:val="003A4077"/>
    <w:rsid w:val="003A4D93"/>
    <w:rsid w:val="003A5E31"/>
    <w:rsid w:val="003B09AD"/>
    <w:rsid w:val="003B16CE"/>
    <w:rsid w:val="003B1F18"/>
    <w:rsid w:val="003B277F"/>
    <w:rsid w:val="003B3152"/>
    <w:rsid w:val="003B477F"/>
    <w:rsid w:val="003B4CE7"/>
    <w:rsid w:val="003B53AB"/>
    <w:rsid w:val="003B557B"/>
    <w:rsid w:val="003B5BF0"/>
    <w:rsid w:val="003B60BF"/>
    <w:rsid w:val="003B6BE3"/>
    <w:rsid w:val="003B7296"/>
    <w:rsid w:val="003B795D"/>
    <w:rsid w:val="003C010C"/>
    <w:rsid w:val="003C0775"/>
    <w:rsid w:val="003C0A6C"/>
    <w:rsid w:val="003C14F8"/>
    <w:rsid w:val="003C5A43"/>
    <w:rsid w:val="003C7853"/>
    <w:rsid w:val="003D0519"/>
    <w:rsid w:val="003D0FF6"/>
    <w:rsid w:val="003D2543"/>
    <w:rsid w:val="003D262C"/>
    <w:rsid w:val="003D35B4"/>
    <w:rsid w:val="003D6867"/>
    <w:rsid w:val="003D6D61"/>
    <w:rsid w:val="003D79C6"/>
    <w:rsid w:val="003E091D"/>
    <w:rsid w:val="003E149A"/>
    <w:rsid w:val="003E1C53"/>
    <w:rsid w:val="003E2A69"/>
    <w:rsid w:val="003E2D49"/>
    <w:rsid w:val="003E2FD4"/>
    <w:rsid w:val="003E49F6"/>
    <w:rsid w:val="003E58BE"/>
    <w:rsid w:val="003E5D26"/>
    <w:rsid w:val="003E660F"/>
    <w:rsid w:val="003F0655"/>
    <w:rsid w:val="003F0841"/>
    <w:rsid w:val="003F23D3"/>
    <w:rsid w:val="003F3CBD"/>
    <w:rsid w:val="003F3F08"/>
    <w:rsid w:val="003F49F1"/>
    <w:rsid w:val="003F542B"/>
    <w:rsid w:val="003F5B9B"/>
    <w:rsid w:val="003F6272"/>
    <w:rsid w:val="003F7F45"/>
    <w:rsid w:val="004002C5"/>
    <w:rsid w:val="00400E72"/>
    <w:rsid w:val="00401400"/>
    <w:rsid w:val="00403B71"/>
    <w:rsid w:val="004043B6"/>
    <w:rsid w:val="004044CA"/>
    <w:rsid w:val="00404869"/>
    <w:rsid w:val="00405884"/>
    <w:rsid w:val="00405CB4"/>
    <w:rsid w:val="00407D39"/>
    <w:rsid w:val="004102E1"/>
    <w:rsid w:val="00410E76"/>
    <w:rsid w:val="00411161"/>
    <w:rsid w:val="0041477A"/>
    <w:rsid w:val="00416364"/>
    <w:rsid w:val="004167A3"/>
    <w:rsid w:val="0042657A"/>
    <w:rsid w:val="00430321"/>
    <w:rsid w:val="00432DAA"/>
    <w:rsid w:val="00433016"/>
    <w:rsid w:val="00434305"/>
    <w:rsid w:val="00435DF7"/>
    <w:rsid w:val="004360DF"/>
    <w:rsid w:val="004366AE"/>
    <w:rsid w:val="004374FF"/>
    <w:rsid w:val="00437DF7"/>
    <w:rsid w:val="00440340"/>
    <w:rsid w:val="0044083F"/>
    <w:rsid w:val="00441AE7"/>
    <w:rsid w:val="00445574"/>
    <w:rsid w:val="00445E63"/>
    <w:rsid w:val="004467FB"/>
    <w:rsid w:val="00446D2E"/>
    <w:rsid w:val="00452BB2"/>
    <w:rsid w:val="00452D6B"/>
    <w:rsid w:val="00454484"/>
    <w:rsid w:val="004548C3"/>
    <w:rsid w:val="0045517B"/>
    <w:rsid w:val="0046183D"/>
    <w:rsid w:val="00461EB8"/>
    <w:rsid w:val="00462591"/>
    <w:rsid w:val="0046376E"/>
    <w:rsid w:val="00463B77"/>
    <w:rsid w:val="00463C7B"/>
    <w:rsid w:val="004642D2"/>
    <w:rsid w:val="004644A6"/>
    <w:rsid w:val="004659BD"/>
    <w:rsid w:val="00465A32"/>
    <w:rsid w:val="00467EC8"/>
    <w:rsid w:val="00470775"/>
    <w:rsid w:val="00472DA4"/>
    <w:rsid w:val="004738E9"/>
    <w:rsid w:val="004746B1"/>
    <w:rsid w:val="004755D2"/>
    <w:rsid w:val="0047583F"/>
    <w:rsid w:val="00475DE8"/>
    <w:rsid w:val="00477616"/>
    <w:rsid w:val="00480647"/>
    <w:rsid w:val="00481A0B"/>
    <w:rsid w:val="00481C44"/>
    <w:rsid w:val="00482425"/>
    <w:rsid w:val="00484936"/>
    <w:rsid w:val="00485C89"/>
    <w:rsid w:val="0048654C"/>
    <w:rsid w:val="00486BE3"/>
    <w:rsid w:val="004871A8"/>
    <w:rsid w:val="004905E4"/>
    <w:rsid w:val="00490A89"/>
    <w:rsid w:val="00490AB4"/>
    <w:rsid w:val="00490AE8"/>
    <w:rsid w:val="00492F02"/>
    <w:rsid w:val="004939AE"/>
    <w:rsid w:val="004A12DF"/>
    <w:rsid w:val="004A17E6"/>
    <w:rsid w:val="004A1BA8"/>
    <w:rsid w:val="004A4B57"/>
    <w:rsid w:val="004A5048"/>
    <w:rsid w:val="004A5C78"/>
    <w:rsid w:val="004A63FA"/>
    <w:rsid w:val="004A7F1C"/>
    <w:rsid w:val="004B0272"/>
    <w:rsid w:val="004B0D28"/>
    <w:rsid w:val="004B14E9"/>
    <w:rsid w:val="004B2701"/>
    <w:rsid w:val="004B2E1B"/>
    <w:rsid w:val="004B3AA8"/>
    <w:rsid w:val="004B3E93"/>
    <w:rsid w:val="004C03CD"/>
    <w:rsid w:val="004C1962"/>
    <w:rsid w:val="004C1FBC"/>
    <w:rsid w:val="004C2371"/>
    <w:rsid w:val="004C3527"/>
    <w:rsid w:val="004C3F1D"/>
    <w:rsid w:val="004C458D"/>
    <w:rsid w:val="004C4B38"/>
    <w:rsid w:val="004C546C"/>
    <w:rsid w:val="004C7102"/>
    <w:rsid w:val="004C7556"/>
    <w:rsid w:val="004C7680"/>
    <w:rsid w:val="004C7E8B"/>
    <w:rsid w:val="004C7E9D"/>
    <w:rsid w:val="004C7F67"/>
    <w:rsid w:val="004D076D"/>
    <w:rsid w:val="004D0EF1"/>
    <w:rsid w:val="004D100B"/>
    <w:rsid w:val="004D2253"/>
    <w:rsid w:val="004D2B1D"/>
    <w:rsid w:val="004D4406"/>
    <w:rsid w:val="004D4D3D"/>
    <w:rsid w:val="004D63D1"/>
    <w:rsid w:val="004D649A"/>
    <w:rsid w:val="004D6570"/>
    <w:rsid w:val="004D7C42"/>
    <w:rsid w:val="004E0465"/>
    <w:rsid w:val="004E127B"/>
    <w:rsid w:val="004E1C0A"/>
    <w:rsid w:val="004E2B06"/>
    <w:rsid w:val="004E30C5"/>
    <w:rsid w:val="004E43C9"/>
    <w:rsid w:val="004E470A"/>
    <w:rsid w:val="004E4AA5"/>
    <w:rsid w:val="004E4AEE"/>
    <w:rsid w:val="004E4FBC"/>
    <w:rsid w:val="004E5594"/>
    <w:rsid w:val="004E59E3"/>
    <w:rsid w:val="004E6543"/>
    <w:rsid w:val="004E67C0"/>
    <w:rsid w:val="004E6E85"/>
    <w:rsid w:val="004F333D"/>
    <w:rsid w:val="004F391A"/>
    <w:rsid w:val="004F3CFB"/>
    <w:rsid w:val="004F4C17"/>
    <w:rsid w:val="004F5E94"/>
    <w:rsid w:val="004F6456"/>
    <w:rsid w:val="004F696E"/>
    <w:rsid w:val="004F6C71"/>
    <w:rsid w:val="00500E97"/>
    <w:rsid w:val="00501139"/>
    <w:rsid w:val="00501F09"/>
    <w:rsid w:val="00501F59"/>
    <w:rsid w:val="0050363E"/>
    <w:rsid w:val="005039BC"/>
    <w:rsid w:val="005043BB"/>
    <w:rsid w:val="00504A3D"/>
    <w:rsid w:val="00505767"/>
    <w:rsid w:val="005073F0"/>
    <w:rsid w:val="00507668"/>
    <w:rsid w:val="00510A7B"/>
    <w:rsid w:val="00511E54"/>
    <w:rsid w:val="00511F26"/>
    <w:rsid w:val="00512660"/>
    <w:rsid w:val="00512F6E"/>
    <w:rsid w:val="00513038"/>
    <w:rsid w:val="00513D34"/>
    <w:rsid w:val="00514174"/>
    <w:rsid w:val="00515B30"/>
    <w:rsid w:val="00516088"/>
    <w:rsid w:val="00516B0B"/>
    <w:rsid w:val="005203C0"/>
    <w:rsid w:val="00520A7F"/>
    <w:rsid w:val="0052108F"/>
    <w:rsid w:val="005220EC"/>
    <w:rsid w:val="00522B57"/>
    <w:rsid w:val="00523628"/>
    <w:rsid w:val="00523F95"/>
    <w:rsid w:val="00524D65"/>
    <w:rsid w:val="00525B16"/>
    <w:rsid w:val="00530649"/>
    <w:rsid w:val="0053193D"/>
    <w:rsid w:val="00531BED"/>
    <w:rsid w:val="0053348C"/>
    <w:rsid w:val="00533B11"/>
    <w:rsid w:val="00533D04"/>
    <w:rsid w:val="0053459A"/>
    <w:rsid w:val="00534774"/>
    <w:rsid w:val="00534804"/>
    <w:rsid w:val="00534935"/>
    <w:rsid w:val="00534BDF"/>
    <w:rsid w:val="00534C08"/>
    <w:rsid w:val="00534D8A"/>
    <w:rsid w:val="00535460"/>
    <w:rsid w:val="005354EA"/>
    <w:rsid w:val="0053585F"/>
    <w:rsid w:val="00535EC4"/>
    <w:rsid w:val="00535ED9"/>
    <w:rsid w:val="0053692B"/>
    <w:rsid w:val="00536D59"/>
    <w:rsid w:val="005379DB"/>
    <w:rsid w:val="005402A6"/>
    <w:rsid w:val="00541853"/>
    <w:rsid w:val="005420B2"/>
    <w:rsid w:val="00543BDA"/>
    <w:rsid w:val="005441CC"/>
    <w:rsid w:val="005479DA"/>
    <w:rsid w:val="00547BCC"/>
    <w:rsid w:val="0055013B"/>
    <w:rsid w:val="00551256"/>
    <w:rsid w:val="00551F6F"/>
    <w:rsid w:val="00553627"/>
    <w:rsid w:val="0055391C"/>
    <w:rsid w:val="00553958"/>
    <w:rsid w:val="00553E8C"/>
    <w:rsid w:val="00554071"/>
    <w:rsid w:val="00555044"/>
    <w:rsid w:val="005561B7"/>
    <w:rsid w:val="0056014B"/>
    <w:rsid w:val="005607EF"/>
    <w:rsid w:val="00561475"/>
    <w:rsid w:val="00561BF9"/>
    <w:rsid w:val="005645B5"/>
    <w:rsid w:val="0056487B"/>
    <w:rsid w:val="00564A9D"/>
    <w:rsid w:val="00564FB9"/>
    <w:rsid w:val="00566598"/>
    <w:rsid w:val="005667D8"/>
    <w:rsid w:val="005729FD"/>
    <w:rsid w:val="00573D9E"/>
    <w:rsid w:val="0057600F"/>
    <w:rsid w:val="0057623C"/>
    <w:rsid w:val="00576360"/>
    <w:rsid w:val="005801E3"/>
    <w:rsid w:val="00580690"/>
    <w:rsid w:val="00581802"/>
    <w:rsid w:val="005836A8"/>
    <w:rsid w:val="0058409C"/>
    <w:rsid w:val="00584262"/>
    <w:rsid w:val="005862C4"/>
    <w:rsid w:val="00586630"/>
    <w:rsid w:val="00586C41"/>
    <w:rsid w:val="00586CCC"/>
    <w:rsid w:val="00587ADD"/>
    <w:rsid w:val="00587B17"/>
    <w:rsid w:val="00591E27"/>
    <w:rsid w:val="00595171"/>
    <w:rsid w:val="005953DD"/>
    <w:rsid w:val="00596160"/>
    <w:rsid w:val="005966E2"/>
    <w:rsid w:val="00597007"/>
    <w:rsid w:val="005A0966"/>
    <w:rsid w:val="005A11B7"/>
    <w:rsid w:val="005A260B"/>
    <w:rsid w:val="005A4A1B"/>
    <w:rsid w:val="005A6801"/>
    <w:rsid w:val="005A7830"/>
    <w:rsid w:val="005A7841"/>
    <w:rsid w:val="005A7FCE"/>
    <w:rsid w:val="005B0F3F"/>
    <w:rsid w:val="005B35F8"/>
    <w:rsid w:val="005B4903"/>
    <w:rsid w:val="005B51CE"/>
    <w:rsid w:val="005B5885"/>
    <w:rsid w:val="005B5CD7"/>
    <w:rsid w:val="005B63E0"/>
    <w:rsid w:val="005B6CF6"/>
    <w:rsid w:val="005B7422"/>
    <w:rsid w:val="005C29B8"/>
    <w:rsid w:val="005C3867"/>
    <w:rsid w:val="005C48C6"/>
    <w:rsid w:val="005C49EB"/>
    <w:rsid w:val="005C5F21"/>
    <w:rsid w:val="005C688F"/>
    <w:rsid w:val="005C7156"/>
    <w:rsid w:val="005C759F"/>
    <w:rsid w:val="005D01A2"/>
    <w:rsid w:val="005D0C75"/>
    <w:rsid w:val="005D1274"/>
    <w:rsid w:val="005D2811"/>
    <w:rsid w:val="005D4171"/>
    <w:rsid w:val="005D5D33"/>
    <w:rsid w:val="005D5E2E"/>
    <w:rsid w:val="005D5F23"/>
    <w:rsid w:val="005D6A95"/>
    <w:rsid w:val="005D6B2C"/>
    <w:rsid w:val="005D6D9C"/>
    <w:rsid w:val="005D76CD"/>
    <w:rsid w:val="005E0578"/>
    <w:rsid w:val="005E1062"/>
    <w:rsid w:val="005E2335"/>
    <w:rsid w:val="005E2CDD"/>
    <w:rsid w:val="005E34CA"/>
    <w:rsid w:val="005E361F"/>
    <w:rsid w:val="005E395A"/>
    <w:rsid w:val="005E3A64"/>
    <w:rsid w:val="005E3C18"/>
    <w:rsid w:val="005E4376"/>
    <w:rsid w:val="005E6812"/>
    <w:rsid w:val="005E7881"/>
    <w:rsid w:val="005E78E0"/>
    <w:rsid w:val="005E7C4B"/>
    <w:rsid w:val="005F0262"/>
    <w:rsid w:val="005F0D9C"/>
    <w:rsid w:val="005F1486"/>
    <w:rsid w:val="005F1B3C"/>
    <w:rsid w:val="005F284E"/>
    <w:rsid w:val="005F3651"/>
    <w:rsid w:val="005F3825"/>
    <w:rsid w:val="005F4712"/>
    <w:rsid w:val="006015CE"/>
    <w:rsid w:val="00603571"/>
    <w:rsid w:val="00603CF4"/>
    <w:rsid w:val="00604784"/>
    <w:rsid w:val="00606419"/>
    <w:rsid w:val="00606F0F"/>
    <w:rsid w:val="00607C51"/>
    <w:rsid w:val="00607D29"/>
    <w:rsid w:val="006105FD"/>
    <w:rsid w:val="00611435"/>
    <w:rsid w:val="00612952"/>
    <w:rsid w:val="00612BE0"/>
    <w:rsid w:val="00614CC1"/>
    <w:rsid w:val="00615A9D"/>
    <w:rsid w:val="00616209"/>
    <w:rsid w:val="00616582"/>
    <w:rsid w:val="00617387"/>
    <w:rsid w:val="006205D6"/>
    <w:rsid w:val="0062485C"/>
    <w:rsid w:val="006252D8"/>
    <w:rsid w:val="00625730"/>
    <w:rsid w:val="006259BC"/>
    <w:rsid w:val="0062636B"/>
    <w:rsid w:val="00631003"/>
    <w:rsid w:val="0063187F"/>
    <w:rsid w:val="00632182"/>
    <w:rsid w:val="00632AE0"/>
    <w:rsid w:val="00633C17"/>
    <w:rsid w:val="00634D9E"/>
    <w:rsid w:val="0063545D"/>
    <w:rsid w:val="00636E3E"/>
    <w:rsid w:val="00637080"/>
    <w:rsid w:val="00637727"/>
    <w:rsid w:val="006379F7"/>
    <w:rsid w:val="00637C20"/>
    <w:rsid w:val="00637E4D"/>
    <w:rsid w:val="00640620"/>
    <w:rsid w:val="00640FC0"/>
    <w:rsid w:val="00641A1F"/>
    <w:rsid w:val="00642636"/>
    <w:rsid w:val="0064316B"/>
    <w:rsid w:val="0064393C"/>
    <w:rsid w:val="00644A44"/>
    <w:rsid w:val="00645904"/>
    <w:rsid w:val="0064668E"/>
    <w:rsid w:val="00647097"/>
    <w:rsid w:val="00651ACB"/>
    <w:rsid w:val="00651C47"/>
    <w:rsid w:val="00652AB2"/>
    <w:rsid w:val="00653FED"/>
    <w:rsid w:val="006545D5"/>
    <w:rsid w:val="00654731"/>
    <w:rsid w:val="00654EC0"/>
    <w:rsid w:val="00654EE7"/>
    <w:rsid w:val="0065525B"/>
    <w:rsid w:val="00655D4F"/>
    <w:rsid w:val="00656D29"/>
    <w:rsid w:val="0066094D"/>
    <w:rsid w:val="00663D58"/>
    <w:rsid w:val="006640E5"/>
    <w:rsid w:val="006646F1"/>
    <w:rsid w:val="00664929"/>
    <w:rsid w:val="00664F62"/>
    <w:rsid w:val="006655E1"/>
    <w:rsid w:val="00667909"/>
    <w:rsid w:val="006714D9"/>
    <w:rsid w:val="00672060"/>
    <w:rsid w:val="00672BFD"/>
    <w:rsid w:val="00672C71"/>
    <w:rsid w:val="00675652"/>
    <w:rsid w:val="006770F4"/>
    <w:rsid w:val="00677A84"/>
    <w:rsid w:val="0068026D"/>
    <w:rsid w:val="0068037C"/>
    <w:rsid w:val="00680A27"/>
    <w:rsid w:val="006816A4"/>
    <w:rsid w:val="006819B8"/>
    <w:rsid w:val="00682043"/>
    <w:rsid w:val="006840A6"/>
    <w:rsid w:val="00684586"/>
    <w:rsid w:val="006850CD"/>
    <w:rsid w:val="00685AAB"/>
    <w:rsid w:val="006873F0"/>
    <w:rsid w:val="00691D1D"/>
    <w:rsid w:val="0069361B"/>
    <w:rsid w:val="00693F3C"/>
    <w:rsid w:val="00695D22"/>
    <w:rsid w:val="00696454"/>
    <w:rsid w:val="006A04D1"/>
    <w:rsid w:val="006A07AA"/>
    <w:rsid w:val="006A25E5"/>
    <w:rsid w:val="006A282B"/>
    <w:rsid w:val="006A2B46"/>
    <w:rsid w:val="006A3141"/>
    <w:rsid w:val="006A336D"/>
    <w:rsid w:val="006A37B9"/>
    <w:rsid w:val="006A3E6C"/>
    <w:rsid w:val="006A62E8"/>
    <w:rsid w:val="006A7928"/>
    <w:rsid w:val="006B0456"/>
    <w:rsid w:val="006B0EF4"/>
    <w:rsid w:val="006B2672"/>
    <w:rsid w:val="006B54BF"/>
    <w:rsid w:val="006B58EF"/>
    <w:rsid w:val="006B5F44"/>
    <w:rsid w:val="006B5F90"/>
    <w:rsid w:val="006B62E4"/>
    <w:rsid w:val="006C1BBA"/>
    <w:rsid w:val="006C1C76"/>
    <w:rsid w:val="006C2079"/>
    <w:rsid w:val="006C29C7"/>
    <w:rsid w:val="006C3D24"/>
    <w:rsid w:val="006C4778"/>
    <w:rsid w:val="006C5A62"/>
    <w:rsid w:val="006C5D68"/>
    <w:rsid w:val="006C6976"/>
    <w:rsid w:val="006C6DD0"/>
    <w:rsid w:val="006D04EA"/>
    <w:rsid w:val="006D0AB7"/>
    <w:rsid w:val="006D152D"/>
    <w:rsid w:val="006D16C4"/>
    <w:rsid w:val="006D2D0B"/>
    <w:rsid w:val="006D3E96"/>
    <w:rsid w:val="006D4515"/>
    <w:rsid w:val="006D4BB1"/>
    <w:rsid w:val="006D6593"/>
    <w:rsid w:val="006D7AE5"/>
    <w:rsid w:val="006E23EA"/>
    <w:rsid w:val="006E2B66"/>
    <w:rsid w:val="006E3288"/>
    <w:rsid w:val="006E4C76"/>
    <w:rsid w:val="006F02E5"/>
    <w:rsid w:val="006F03A8"/>
    <w:rsid w:val="006F2ACA"/>
    <w:rsid w:val="006F2ADC"/>
    <w:rsid w:val="006F2AFE"/>
    <w:rsid w:val="006F2BFE"/>
    <w:rsid w:val="006F31E9"/>
    <w:rsid w:val="006F35E3"/>
    <w:rsid w:val="006F6284"/>
    <w:rsid w:val="006F68CC"/>
    <w:rsid w:val="006F7695"/>
    <w:rsid w:val="007002C5"/>
    <w:rsid w:val="007003B4"/>
    <w:rsid w:val="007023C8"/>
    <w:rsid w:val="007028FE"/>
    <w:rsid w:val="00704387"/>
    <w:rsid w:val="00704AD6"/>
    <w:rsid w:val="00704DCE"/>
    <w:rsid w:val="00707669"/>
    <w:rsid w:val="0071198D"/>
    <w:rsid w:val="00711CBA"/>
    <w:rsid w:val="00711FB5"/>
    <w:rsid w:val="0071254E"/>
    <w:rsid w:val="00712A01"/>
    <w:rsid w:val="0071378A"/>
    <w:rsid w:val="00714F58"/>
    <w:rsid w:val="007170FE"/>
    <w:rsid w:val="00722A89"/>
    <w:rsid w:val="00722B7E"/>
    <w:rsid w:val="00722FBF"/>
    <w:rsid w:val="00722FC2"/>
    <w:rsid w:val="00724879"/>
    <w:rsid w:val="007249ED"/>
    <w:rsid w:val="00724B7C"/>
    <w:rsid w:val="00724D42"/>
    <w:rsid w:val="00724E1B"/>
    <w:rsid w:val="00724F2E"/>
    <w:rsid w:val="00725354"/>
    <w:rsid w:val="0072561C"/>
    <w:rsid w:val="00725767"/>
    <w:rsid w:val="00725949"/>
    <w:rsid w:val="00725DCF"/>
    <w:rsid w:val="00727FA2"/>
    <w:rsid w:val="007322D9"/>
    <w:rsid w:val="00732BC0"/>
    <w:rsid w:val="0073720F"/>
    <w:rsid w:val="00737796"/>
    <w:rsid w:val="0074054A"/>
    <w:rsid w:val="0074165C"/>
    <w:rsid w:val="00742C35"/>
    <w:rsid w:val="007432CA"/>
    <w:rsid w:val="007439EB"/>
    <w:rsid w:val="00743CB4"/>
    <w:rsid w:val="00743F0A"/>
    <w:rsid w:val="007444E8"/>
    <w:rsid w:val="0074548E"/>
    <w:rsid w:val="00745773"/>
    <w:rsid w:val="00746800"/>
    <w:rsid w:val="007501A8"/>
    <w:rsid w:val="00750806"/>
    <w:rsid w:val="00750D61"/>
    <w:rsid w:val="00750EE1"/>
    <w:rsid w:val="0075247C"/>
    <w:rsid w:val="00752B4D"/>
    <w:rsid w:val="00755402"/>
    <w:rsid w:val="007554AC"/>
    <w:rsid w:val="0075598D"/>
    <w:rsid w:val="00756B26"/>
    <w:rsid w:val="00756B8E"/>
    <w:rsid w:val="00756D65"/>
    <w:rsid w:val="00756EDF"/>
    <w:rsid w:val="007575BD"/>
    <w:rsid w:val="007600E3"/>
    <w:rsid w:val="00761092"/>
    <w:rsid w:val="00762818"/>
    <w:rsid w:val="007637F5"/>
    <w:rsid w:val="0076429E"/>
    <w:rsid w:val="0076586F"/>
    <w:rsid w:val="00765C43"/>
    <w:rsid w:val="00765EFB"/>
    <w:rsid w:val="007671CA"/>
    <w:rsid w:val="007673AA"/>
    <w:rsid w:val="00767C61"/>
    <w:rsid w:val="0077008A"/>
    <w:rsid w:val="007717F5"/>
    <w:rsid w:val="00771FD5"/>
    <w:rsid w:val="00773C1F"/>
    <w:rsid w:val="00774DA4"/>
    <w:rsid w:val="00775822"/>
    <w:rsid w:val="00776599"/>
    <w:rsid w:val="00777CC8"/>
    <w:rsid w:val="0078114B"/>
    <w:rsid w:val="00781DD2"/>
    <w:rsid w:val="00783165"/>
    <w:rsid w:val="00783635"/>
    <w:rsid w:val="007838DF"/>
    <w:rsid w:val="00783ECF"/>
    <w:rsid w:val="0078413A"/>
    <w:rsid w:val="007845C5"/>
    <w:rsid w:val="007872BC"/>
    <w:rsid w:val="00787F2D"/>
    <w:rsid w:val="0079118F"/>
    <w:rsid w:val="00792B2A"/>
    <w:rsid w:val="0079568F"/>
    <w:rsid w:val="007959E8"/>
    <w:rsid w:val="00795E9C"/>
    <w:rsid w:val="0079653D"/>
    <w:rsid w:val="00796918"/>
    <w:rsid w:val="00797D11"/>
    <w:rsid w:val="007A0521"/>
    <w:rsid w:val="007A08E4"/>
    <w:rsid w:val="007A1395"/>
    <w:rsid w:val="007A2E12"/>
    <w:rsid w:val="007A3475"/>
    <w:rsid w:val="007A41C8"/>
    <w:rsid w:val="007A532D"/>
    <w:rsid w:val="007A54CE"/>
    <w:rsid w:val="007A65CF"/>
    <w:rsid w:val="007A6FD9"/>
    <w:rsid w:val="007A760D"/>
    <w:rsid w:val="007A7FFA"/>
    <w:rsid w:val="007B04EB"/>
    <w:rsid w:val="007B0D4F"/>
    <w:rsid w:val="007B32C4"/>
    <w:rsid w:val="007B37D9"/>
    <w:rsid w:val="007B4621"/>
    <w:rsid w:val="007B4F42"/>
    <w:rsid w:val="007B5A3D"/>
    <w:rsid w:val="007B5B95"/>
    <w:rsid w:val="007B6692"/>
    <w:rsid w:val="007B68EA"/>
    <w:rsid w:val="007B7453"/>
    <w:rsid w:val="007C00BF"/>
    <w:rsid w:val="007C1E8B"/>
    <w:rsid w:val="007C2D89"/>
    <w:rsid w:val="007C4593"/>
    <w:rsid w:val="007C5309"/>
    <w:rsid w:val="007C6069"/>
    <w:rsid w:val="007C7227"/>
    <w:rsid w:val="007D06C4"/>
    <w:rsid w:val="007D0D32"/>
    <w:rsid w:val="007D1352"/>
    <w:rsid w:val="007D2508"/>
    <w:rsid w:val="007D346A"/>
    <w:rsid w:val="007D38CD"/>
    <w:rsid w:val="007D3BD0"/>
    <w:rsid w:val="007D4538"/>
    <w:rsid w:val="007D6518"/>
    <w:rsid w:val="007D76BD"/>
    <w:rsid w:val="007D784B"/>
    <w:rsid w:val="007E0BF1"/>
    <w:rsid w:val="007E6990"/>
    <w:rsid w:val="007F02BC"/>
    <w:rsid w:val="007F0ED8"/>
    <w:rsid w:val="007F0F63"/>
    <w:rsid w:val="007F1AFB"/>
    <w:rsid w:val="007F4DD3"/>
    <w:rsid w:val="007F4F4A"/>
    <w:rsid w:val="007F51EF"/>
    <w:rsid w:val="007F75CE"/>
    <w:rsid w:val="007F7DEF"/>
    <w:rsid w:val="007F7F1E"/>
    <w:rsid w:val="008013A4"/>
    <w:rsid w:val="008027CE"/>
    <w:rsid w:val="00802F42"/>
    <w:rsid w:val="00804383"/>
    <w:rsid w:val="00804BB7"/>
    <w:rsid w:val="00804D41"/>
    <w:rsid w:val="00804DBC"/>
    <w:rsid w:val="008060CA"/>
    <w:rsid w:val="00810257"/>
    <w:rsid w:val="008104F5"/>
    <w:rsid w:val="00811072"/>
    <w:rsid w:val="00811369"/>
    <w:rsid w:val="008123C5"/>
    <w:rsid w:val="008124D8"/>
    <w:rsid w:val="00812EBF"/>
    <w:rsid w:val="0081454A"/>
    <w:rsid w:val="00815419"/>
    <w:rsid w:val="008163C8"/>
    <w:rsid w:val="008164A1"/>
    <w:rsid w:val="00817325"/>
    <w:rsid w:val="00817A98"/>
    <w:rsid w:val="008209E6"/>
    <w:rsid w:val="00823303"/>
    <w:rsid w:val="00823329"/>
    <w:rsid w:val="008233B2"/>
    <w:rsid w:val="00823A9F"/>
    <w:rsid w:val="00823C85"/>
    <w:rsid w:val="00824754"/>
    <w:rsid w:val="00825138"/>
    <w:rsid w:val="008269DD"/>
    <w:rsid w:val="00826A91"/>
    <w:rsid w:val="00827B36"/>
    <w:rsid w:val="00827D3B"/>
    <w:rsid w:val="00830621"/>
    <w:rsid w:val="00830702"/>
    <w:rsid w:val="00831086"/>
    <w:rsid w:val="008324AC"/>
    <w:rsid w:val="00832979"/>
    <w:rsid w:val="0083348C"/>
    <w:rsid w:val="00833C11"/>
    <w:rsid w:val="00834D99"/>
    <w:rsid w:val="008366D8"/>
    <w:rsid w:val="008373D3"/>
    <w:rsid w:val="00840617"/>
    <w:rsid w:val="00840E6F"/>
    <w:rsid w:val="00840F84"/>
    <w:rsid w:val="00842A47"/>
    <w:rsid w:val="00843C13"/>
    <w:rsid w:val="00844624"/>
    <w:rsid w:val="008454F8"/>
    <w:rsid w:val="0085173A"/>
    <w:rsid w:val="00852760"/>
    <w:rsid w:val="00853792"/>
    <w:rsid w:val="00856316"/>
    <w:rsid w:val="008603CE"/>
    <w:rsid w:val="00861C01"/>
    <w:rsid w:val="008620FC"/>
    <w:rsid w:val="008625C7"/>
    <w:rsid w:val="008627A5"/>
    <w:rsid w:val="00863E05"/>
    <w:rsid w:val="00865ACA"/>
    <w:rsid w:val="00865D28"/>
    <w:rsid w:val="00865F85"/>
    <w:rsid w:val="00867C10"/>
    <w:rsid w:val="00867E90"/>
    <w:rsid w:val="008701D5"/>
    <w:rsid w:val="00870439"/>
    <w:rsid w:val="00870DA1"/>
    <w:rsid w:val="00873D17"/>
    <w:rsid w:val="00876C95"/>
    <w:rsid w:val="00881014"/>
    <w:rsid w:val="00883F93"/>
    <w:rsid w:val="00884A98"/>
    <w:rsid w:val="00884DB3"/>
    <w:rsid w:val="0088529C"/>
    <w:rsid w:val="00885A9D"/>
    <w:rsid w:val="00885C2D"/>
    <w:rsid w:val="008864F6"/>
    <w:rsid w:val="0089049D"/>
    <w:rsid w:val="008905C7"/>
    <w:rsid w:val="00891515"/>
    <w:rsid w:val="008928C9"/>
    <w:rsid w:val="00892CF1"/>
    <w:rsid w:val="008930CB"/>
    <w:rsid w:val="008938DC"/>
    <w:rsid w:val="00893FD1"/>
    <w:rsid w:val="008946BA"/>
    <w:rsid w:val="00894836"/>
    <w:rsid w:val="00894A6F"/>
    <w:rsid w:val="00895172"/>
    <w:rsid w:val="008954DB"/>
    <w:rsid w:val="00895680"/>
    <w:rsid w:val="00896DFF"/>
    <w:rsid w:val="0089762C"/>
    <w:rsid w:val="008A0858"/>
    <w:rsid w:val="008A1893"/>
    <w:rsid w:val="008A1EBA"/>
    <w:rsid w:val="008A26F0"/>
    <w:rsid w:val="008A3215"/>
    <w:rsid w:val="008A34A3"/>
    <w:rsid w:val="008A57E6"/>
    <w:rsid w:val="008A61FF"/>
    <w:rsid w:val="008A6456"/>
    <w:rsid w:val="008A6F81"/>
    <w:rsid w:val="008A769A"/>
    <w:rsid w:val="008B0C9C"/>
    <w:rsid w:val="008B166D"/>
    <w:rsid w:val="008B17F4"/>
    <w:rsid w:val="008B3220"/>
    <w:rsid w:val="008B3615"/>
    <w:rsid w:val="008B3863"/>
    <w:rsid w:val="008B4AC4"/>
    <w:rsid w:val="008B50C8"/>
    <w:rsid w:val="008B5281"/>
    <w:rsid w:val="008B5BB9"/>
    <w:rsid w:val="008B6343"/>
    <w:rsid w:val="008B7E05"/>
    <w:rsid w:val="008C1797"/>
    <w:rsid w:val="008C1CCB"/>
    <w:rsid w:val="008C20F5"/>
    <w:rsid w:val="008C219C"/>
    <w:rsid w:val="008C28DB"/>
    <w:rsid w:val="008C475E"/>
    <w:rsid w:val="008C619A"/>
    <w:rsid w:val="008D0CE8"/>
    <w:rsid w:val="008D2D1D"/>
    <w:rsid w:val="008D4154"/>
    <w:rsid w:val="008D453D"/>
    <w:rsid w:val="008D4724"/>
    <w:rsid w:val="008D53AD"/>
    <w:rsid w:val="008D562B"/>
    <w:rsid w:val="008D5733"/>
    <w:rsid w:val="008D622B"/>
    <w:rsid w:val="008D666C"/>
    <w:rsid w:val="008D7B54"/>
    <w:rsid w:val="008E0C9D"/>
    <w:rsid w:val="008E1648"/>
    <w:rsid w:val="008E1B3E"/>
    <w:rsid w:val="008E2319"/>
    <w:rsid w:val="008E44E2"/>
    <w:rsid w:val="008E4BB6"/>
    <w:rsid w:val="008E5518"/>
    <w:rsid w:val="008E5A06"/>
    <w:rsid w:val="008E65E0"/>
    <w:rsid w:val="008E6A84"/>
    <w:rsid w:val="008F08FB"/>
    <w:rsid w:val="008F0CDC"/>
    <w:rsid w:val="008F17A3"/>
    <w:rsid w:val="008F1ED3"/>
    <w:rsid w:val="008F23A5"/>
    <w:rsid w:val="008F34F0"/>
    <w:rsid w:val="008F3B72"/>
    <w:rsid w:val="008F4C29"/>
    <w:rsid w:val="008F70BD"/>
    <w:rsid w:val="008F788F"/>
    <w:rsid w:val="008F7EA2"/>
    <w:rsid w:val="00900813"/>
    <w:rsid w:val="00900ADE"/>
    <w:rsid w:val="00902722"/>
    <w:rsid w:val="009027BC"/>
    <w:rsid w:val="009035E0"/>
    <w:rsid w:val="00904E51"/>
    <w:rsid w:val="009062E6"/>
    <w:rsid w:val="00907F95"/>
    <w:rsid w:val="00911BE5"/>
    <w:rsid w:val="009128AB"/>
    <w:rsid w:val="00913CA9"/>
    <w:rsid w:val="009145AE"/>
    <w:rsid w:val="009146CE"/>
    <w:rsid w:val="00914CA7"/>
    <w:rsid w:val="00915C3E"/>
    <w:rsid w:val="009161A8"/>
    <w:rsid w:val="00920673"/>
    <w:rsid w:val="0092096B"/>
    <w:rsid w:val="0092228C"/>
    <w:rsid w:val="00923C31"/>
    <w:rsid w:val="009245F5"/>
    <w:rsid w:val="009249EC"/>
    <w:rsid w:val="009273B3"/>
    <w:rsid w:val="009305B5"/>
    <w:rsid w:val="00932115"/>
    <w:rsid w:val="009349C5"/>
    <w:rsid w:val="00934EBB"/>
    <w:rsid w:val="00935E66"/>
    <w:rsid w:val="00937248"/>
    <w:rsid w:val="009372EF"/>
    <w:rsid w:val="009375DD"/>
    <w:rsid w:val="00941AB0"/>
    <w:rsid w:val="00941AED"/>
    <w:rsid w:val="009429D5"/>
    <w:rsid w:val="00942B06"/>
    <w:rsid w:val="00942BF1"/>
    <w:rsid w:val="00944065"/>
    <w:rsid w:val="00945180"/>
    <w:rsid w:val="009452FC"/>
    <w:rsid w:val="009453AF"/>
    <w:rsid w:val="00945428"/>
    <w:rsid w:val="0094607B"/>
    <w:rsid w:val="0095135E"/>
    <w:rsid w:val="00953604"/>
    <w:rsid w:val="0095496B"/>
    <w:rsid w:val="00956526"/>
    <w:rsid w:val="009610DC"/>
    <w:rsid w:val="009611A1"/>
    <w:rsid w:val="00961490"/>
    <w:rsid w:val="009631BA"/>
    <w:rsid w:val="0096381A"/>
    <w:rsid w:val="00965E04"/>
    <w:rsid w:val="009670C8"/>
    <w:rsid w:val="009674AD"/>
    <w:rsid w:val="009678F3"/>
    <w:rsid w:val="0097046D"/>
    <w:rsid w:val="0097074B"/>
    <w:rsid w:val="00970930"/>
    <w:rsid w:val="00970CDC"/>
    <w:rsid w:val="009710CF"/>
    <w:rsid w:val="00971294"/>
    <w:rsid w:val="009727D5"/>
    <w:rsid w:val="00972A13"/>
    <w:rsid w:val="00972F76"/>
    <w:rsid w:val="009735BF"/>
    <w:rsid w:val="00976788"/>
    <w:rsid w:val="00977010"/>
    <w:rsid w:val="00977D02"/>
    <w:rsid w:val="009809BB"/>
    <w:rsid w:val="00980E0F"/>
    <w:rsid w:val="0098197E"/>
    <w:rsid w:val="00981D6D"/>
    <w:rsid w:val="0098364B"/>
    <w:rsid w:val="0098373C"/>
    <w:rsid w:val="00984044"/>
    <w:rsid w:val="009864AA"/>
    <w:rsid w:val="00990977"/>
    <w:rsid w:val="009911AF"/>
    <w:rsid w:val="00991875"/>
    <w:rsid w:val="00991E2B"/>
    <w:rsid w:val="00991F92"/>
    <w:rsid w:val="00992985"/>
    <w:rsid w:val="00993889"/>
    <w:rsid w:val="0099478B"/>
    <w:rsid w:val="0099551B"/>
    <w:rsid w:val="00996724"/>
    <w:rsid w:val="00997BF1"/>
    <w:rsid w:val="009A089C"/>
    <w:rsid w:val="009A118E"/>
    <w:rsid w:val="009A21CD"/>
    <w:rsid w:val="009A278C"/>
    <w:rsid w:val="009A2943"/>
    <w:rsid w:val="009A2BC2"/>
    <w:rsid w:val="009A42C1"/>
    <w:rsid w:val="009A4918"/>
    <w:rsid w:val="009A5429"/>
    <w:rsid w:val="009A72AD"/>
    <w:rsid w:val="009A74AF"/>
    <w:rsid w:val="009B09E0"/>
    <w:rsid w:val="009B0BC5"/>
    <w:rsid w:val="009B1247"/>
    <w:rsid w:val="009B46F9"/>
    <w:rsid w:val="009B54B8"/>
    <w:rsid w:val="009B6029"/>
    <w:rsid w:val="009B6971"/>
    <w:rsid w:val="009B697C"/>
    <w:rsid w:val="009B7A0A"/>
    <w:rsid w:val="009C1510"/>
    <w:rsid w:val="009C256C"/>
    <w:rsid w:val="009C27F1"/>
    <w:rsid w:val="009C3152"/>
    <w:rsid w:val="009C4CFA"/>
    <w:rsid w:val="009C4EC0"/>
    <w:rsid w:val="009C4F06"/>
    <w:rsid w:val="009C5070"/>
    <w:rsid w:val="009C59DA"/>
    <w:rsid w:val="009C62BA"/>
    <w:rsid w:val="009D112C"/>
    <w:rsid w:val="009D162F"/>
    <w:rsid w:val="009D32B2"/>
    <w:rsid w:val="009D414A"/>
    <w:rsid w:val="009D47FA"/>
    <w:rsid w:val="009D4C5B"/>
    <w:rsid w:val="009D50D2"/>
    <w:rsid w:val="009D6BCA"/>
    <w:rsid w:val="009D76CD"/>
    <w:rsid w:val="009E0F62"/>
    <w:rsid w:val="009E156B"/>
    <w:rsid w:val="009E403E"/>
    <w:rsid w:val="009E43A6"/>
    <w:rsid w:val="009E4A58"/>
    <w:rsid w:val="009E4A84"/>
    <w:rsid w:val="009E5A2D"/>
    <w:rsid w:val="009E5AB2"/>
    <w:rsid w:val="009E6219"/>
    <w:rsid w:val="009E66FF"/>
    <w:rsid w:val="009E7164"/>
    <w:rsid w:val="009F03B3"/>
    <w:rsid w:val="009F1D55"/>
    <w:rsid w:val="009F52E8"/>
    <w:rsid w:val="009F5DAB"/>
    <w:rsid w:val="009F6BD2"/>
    <w:rsid w:val="00A00055"/>
    <w:rsid w:val="00A0096C"/>
    <w:rsid w:val="00A011C4"/>
    <w:rsid w:val="00A01757"/>
    <w:rsid w:val="00A028C0"/>
    <w:rsid w:val="00A02BAE"/>
    <w:rsid w:val="00A03038"/>
    <w:rsid w:val="00A0628A"/>
    <w:rsid w:val="00A06A6B"/>
    <w:rsid w:val="00A06B8F"/>
    <w:rsid w:val="00A07426"/>
    <w:rsid w:val="00A07E47"/>
    <w:rsid w:val="00A106BC"/>
    <w:rsid w:val="00A10DB7"/>
    <w:rsid w:val="00A129D0"/>
    <w:rsid w:val="00A12C33"/>
    <w:rsid w:val="00A138BA"/>
    <w:rsid w:val="00A14C8E"/>
    <w:rsid w:val="00A152E1"/>
    <w:rsid w:val="00A153D9"/>
    <w:rsid w:val="00A15F09"/>
    <w:rsid w:val="00A16888"/>
    <w:rsid w:val="00A169B6"/>
    <w:rsid w:val="00A16EE2"/>
    <w:rsid w:val="00A20F46"/>
    <w:rsid w:val="00A2271D"/>
    <w:rsid w:val="00A237D5"/>
    <w:rsid w:val="00A27FC7"/>
    <w:rsid w:val="00A30717"/>
    <w:rsid w:val="00A30EFC"/>
    <w:rsid w:val="00A31984"/>
    <w:rsid w:val="00A32D73"/>
    <w:rsid w:val="00A3367B"/>
    <w:rsid w:val="00A33FBE"/>
    <w:rsid w:val="00A3597D"/>
    <w:rsid w:val="00A36DD1"/>
    <w:rsid w:val="00A375B6"/>
    <w:rsid w:val="00A4006C"/>
    <w:rsid w:val="00A40091"/>
    <w:rsid w:val="00A4030F"/>
    <w:rsid w:val="00A41C79"/>
    <w:rsid w:val="00A41CB5"/>
    <w:rsid w:val="00A42CDF"/>
    <w:rsid w:val="00A44191"/>
    <w:rsid w:val="00A4452E"/>
    <w:rsid w:val="00A4472C"/>
    <w:rsid w:val="00A44E69"/>
    <w:rsid w:val="00A4661E"/>
    <w:rsid w:val="00A5113C"/>
    <w:rsid w:val="00A523F4"/>
    <w:rsid w:val="00A55BD6"/>
    <w:rsid w:val="00A55D50"/>
    <w:rsid w:val="00A55F17"/>
    <w:rsid w:val="00A57142"/>
    <w:rsid w:val="00A57475"/>
    <w:rsid w:val="00A57FE1"/>
    <w:rsid w:val="00A6136B"/>
    <w:rsid w:val="00A61808"/>
    <w:rsid w:val="00A61DCF"/>
    <w:rsid w:val="00A62AF3"/>
    <w:rsid w:val="00A63253"/>
    <w:rsid w:val="00A648CD"/>
    <w:rsid w:val="00A64EEA"/>
    <w:rsid w:val="00A6537A"/>
    <w:rsid w:val="00A65C9F"/>
    <w:rsid w:val="00A67866"/>
    <w:rsid w:val="00A70B07"/>
    <w:rsid w:val="00A723F8"/>
    <w:rsid w:val="00A74673"/>
    <w:rsid w:val="00A753C2"/>
    <w:rsid w:val="00A77CCB"/>
    <w:rsid w:val="00A821CC"/>
    <w:rsid w:val="00A83D8D"/>
    <w:rsid w:val="00A8446B"/>
    <w:rsid w:val="00A8473F"/>
    <w:rsid w:val="00A862D6"/>
    <w:rsid w:val="00A8715E"/>
    <w:rsid w:val="00A9181E"/>
    <w:rsid w:val="00A92099"/>
    <w:rsid w:val="00A92611"/>
    <w:rsid w:val="00A9295B"/>
    <w:rsid w:val="00A92EA9"/>
    <w:rsid w:val="00A932F7"/>
    <w:rsid w:val="00A93B09"/>
    <w:rsid w:val="00A93D78"/>
    <w:rsid w:val="00A93ECA"/>
    <w:rsid w:val="00A94247"/>
    <w:rsid w:val="00A94CAE"/>
    <w:rsid w:val="00A952D7"/>
    <w:rsid w:val="00A95B3F"/>
    <w:rsid w:val="00A963F7"/>
    <w:rsid w:val="00A96AD8"/>
    <w:rsid w:val="00AA052C"/>
    <w:rsid w:val="00AA1E45"/>
    <w:rsid w:val="00AA37E3"/>
    <w:rsid w:val="00AA4286"/>
    <w:rsid w:val="00AA456B"/>
    <w:rsid w:val="00AA57F5"/>
    <w:rsid w:val="00AA64E8"/>
    <w:rsid w:val="00AA672E"/>
    <w:rsid w:val="00AA6EC9"/>
    <w:rsid w:val="00AB1BA6"/>
    <w:rsid w:val="00AB41D5"/>
    <w:rsid w:val="00AB5AD7"/>
    <w:rsid w:val="00AB6309"/>
    <w:rsid w:val="00AB6C5F"/>
    <w:rsid w:val="00AB7129"/>
    <w:rsid w:val="00AC27A6"/>
    <w:rsid w:val="00AC30F7"/>
    <w:rsid w:val="00AC3A5A"/>
    <w:rsid w:val="00AC456D"/>
    <w:rsid w:val="00AC4AF6"/>
    <w:rsid w:val="00AC4D33"/>
    <w:rsid w:val="00AC4D95"/>
    <w:rsid w:val="00AC5DF4"/>
    <w:rsid w:val="00AC756D"/>
    <w:rsid w:val="00AD0AEF"/>
    <w:rsid w:val="00AD11B7"/>
    <w:rsid w:val="00AD1883"/>
    <w:rsid w:val="00AD1A94"/>
    <w:rsid w:val="00AD1C05"/>
    <w:rsid w:val="00AD4126"/>
    <w:rsid w:val="00AD421C"/>
    <w:rsid w:val="00AD44FA"/>
    <w:rsid w:val="00AD4E4C"/>
    <w:rsid w:val="00AD5A9F"/>
    <w:rsid w:val="00AD616C"/>
    <w:rsid w:val="00AE070A"/>
    <w:rsid w:val="00AE101C"/>
    <w:rsid w:val="00AE1890"/>
    <w:rsid w:val="00AE347A"/>
    <w:rsid w:val="00AE369A"/>
    <w:rsid w:val="00AE37E5"/>
    <w:rsid w:val="00AE5383"/>
    <w:rsid w:val="00AE5EB4"/>
    <w:rsid w:val="00AE5FBF"/>
    <w:rsid w:val="00AE61A1"/>
    <w:rsid w:val="00AF0797"/>
    <w:rsid w:val="00AF0C18"/>
    <w:rsid w:val="00AF2FED"/>
    <w:rsid w:val="00AF47C5"/>
    <w:rsid w:val="00AF51D3"/>
    <w:rsid w:val="00AF5398"/>
    <w:rsid w:val="00AF5ABE"/>
    <w:rsid w:val="00B018A0"/>
    <w:rsid w:val="00B0342A"/>
    <w:rsid w:val="00B0400A"/>
    <w:rsid w:val="00B0408A"/>
    <w:rsid w:val="00B04662"/>
    <w:rsid w:val="00B049AF"/>
    <w:rsid w:val="00B06534"/>
    <w:rsid w:val="00B07242"/>
    <w:rsid w:val="00B10285"/>
    <w:rsid w:val="00B10534"/>
    <w:rsid w:val="00B108AE"/>
    <w:rsid w:val="00B113DB"/>
    <w:rsid w:val="00B11D8A"/>
    <w:rsid w:val="00B12981"/>
    <w:rsid w:val="00B147DD"/>
    <w:rsid w:val="00B14FC2"/>
    <w:rsid w:val="00B15394"/>
    <w:rsid w:val="00B156FD"/>
    <w:rsid w:val="00B1794F"/>
    <w:rsid w:val="00B21006"/>
    <w:rsid w:val="00B21BC7"/>
    <w:rsid w:val="00B21F61"/>
    <w:rsid w:val="00B2234E"/>
    <w:rsid w:val="00B261F1"/>
    <w:rsid w:val="00B265BC"/>
    <w:rsid w:val="00B3137D"/>
    <w:rsid w:val="00B3151E"/>
    <w:rsid w:val="00B31FB1"/>
    <w:rsid w:val="00B33952"/>
    <w:rsid w:val="00B33C5E"/>
    <w:rsid w:val="00B342F4"/>
    <w:rsid w:val="00B34369"/>
    <w:rsid w:val="00B34DC2"/>
    <w:rsid w:val="00B36A4C"/>
    <w:rsid w:val="00B378E5"/>
    <w:rsid w:val="00B42883"/>
    <w:rsid w:val="00B4346D"/>
    <w:rsid w:val="00B440F4"/>
    <w:rsid w:val="00B447A5"/>
    <w:rsid w:val="00B4654C"/>
    <w:rsid w:val="00B46778"/>
    <w:rsid w:val="00B46AF0"/>
    <w:rsid w:val="00B47293"/>
    <w:rsid w:val="00B50E50"/>
    <w:rsid w:val="00B52120"/>
    <w:rsid w:val="00B54ABC"/>
    <w:rsid w:val="00B54DDE"/>
    <w:rsid w:val="00B5517D"/>
    <w:rsid w:val="00B55293"/>
    <w:rsid w:val="00B56FBE"/>
    <w:rsid w:val="00B60590"/>
    <w:rsid w:val="00B60ACF"/>
    <w:rsid w:val="00B61420"/>
    <w:rsid w:val="00B61CEC"/>
    <w:rsid w:val="00B62B58"/>
    <w:rsid w:val="00B639D1"/>
    <w:rsid w:val="00B65149"/>
    <w:rsid w:val="00B66567"/>
    <w:rsid w:val="00B66F52"/>
    <w:rsid w:val="00B66FE5"/>
    <w:rsid w:val="00B72600"/>
    <w:rsid w:val="00B72880"/>
    <w:rsid w:val="00B758BF"/>
    <w:rsid w:val="00B77EC8"/>
    <w:rsid w:val="00B813B0"/>
    <w:rsid w:val="00B8273F"/>
    <w:rsid w:val="00B827A6"/>
    <w:rsid w:val="00B831CE"/>
    <w:rsid w:val="00B86677"/>
    <w:rsid w:val="00B86795"/>
    <w:rsid w:val="00B87131"/>
    <w:rsid w:val="00B876C0"/>
    <w:rsid w:val="00B92E17"/>
    <w:rsid w:val="00B939B1"/>
    <w:rsid w:val="00B95F65"/>
    <w:rsid w:val="00B9607C"/>
    <w:rsid w:val="00B96D40"/>
    <w:rsid w:val="00B97386"/>
    <w:rsid w:val="00BA0B79"/>
    <w:rsid w:val="00BA263B"/>
    <w:rsid w:val="00BA2E73"/>
    <w:rsid w:val="00BA42B2"/>
    <w:rsid w:val="00BA58D4"/>
    <w:rsid w:val="00BA5B9E"/>
    <w:rsid w:val="00BA5F3A"/>
    <w:rsid w:val="00BA785E"/>
    <w:rsid w:val="00BA7C9A"/>
    <w:rsid w:val="00BB203B"/>
    <w:rsid w:val="00BB5F8F"/>
    <w:rsid w:val="00BB657A"/>
    <w:rsid w:val="00BB665C"/>
    <w:rsid w:val="00BC0119"/>
    <w:rsid w:val="00BC0200"/>
    <w:rsid w:val="00BC1A4E"/>
    <w:rsid w:val="00BC333F"/>
    <w:rsid w:val="00BC4790"/>
    <w:rsid w:val="00BC5DC7"/>
    <w:rsid w:val="00BC6B8B"/>
    <w:rsid w:val="00BC73D8"/>
    <w:rsid w:val="00BD092A"/>
    <w:rsid w:val="00BD1B9B"/>
    <w:rsid w:val="00BD2E73"/>
    <w:rsid w:val="00BD3031"/>
    <w:rsid w:val="00BD3814"/>
    <w:rsid w:val="00BD52D7"/>
    <w:rsid w:val="00BD5AD2"/>
    <w:rsid w:val="00BE1572"/>
    <w:rsid w:val="00BE22F3"/>
    <w:rsid w:val="00BE2845"/>
    <w:rsid w:val="00BE4355"/>
    <w:rsid w:val="00BE5B52"/>
    <w:rsid w:val="00BE5DD2"/>
    <w:rsid w:val="00BE7B8D"/>
    <w:rsid w:val="00BF0993"/>
    <w:rsid w:val="00BF10A9"/>
    <w:rsid w:val="00BF13B2"/>
    <w:rsid w:val="00BF1703"/>
    <w:rsid w:val="00BF181E"/>
    <w:rsid w:val="00BF231C"/>
    <w:rsid w:val="00BF51E5"/>
    <w:rsid w:val="00BF617A"/>
    <w:rsid w:val="00BF701F"/>
    <w:rsid w:val="00BF74A6"/>
    <w:rsid w:val="00C01311"/>
    <w:rsid w:val="00C013AD"/>
    <w:rsid w:val="00C02763"/>
    <w:rsid w:val="00C041E9"/>
    <w:rsid w:val="00C04582"/>
    <w:rsid w:val="00C04904"/>
    <w:rsid w:val="00C056B3"/>
    <w:rsid w:val="00C06EAB"/>
    <w:rsid w:val="00C103E5"/>
    <w:rsid w:val="00C13319"/>
    <w:rsid w:val="00C13EE9"/>
    <w:rsid w:val="00C1407D"/>
    <w:rsid w:val="00C156F0"/>
    <w:rsid w:val="00C21540"/>
    <w:rsid w:val="00C21906"/>
    <w:rsid w:val="00C21BFA"/>
    <w:rsid w:val="00C21C25"/>
    <w:rsid w:val="00C22148"/>
    <w:rsid w:val="00C22CCE"/>
    <w:rsid w:val="00C23CDE"/>
    <w:rsid w:val="00C24C8D"/>
    <w:rsid w:val="00C25CD1"/>
    <w:rsid w:val="00C25FE2"/>
    <w:rsid w:val="00C26B53"/>
    <w:rsid w:val="00C279B2"/>
    <w:rsid w:val="00C3184D"/>
    <w:rsid w:val="00C33E50"/>
    <w:rsid w:val="00C345E9"/>
    <w:rsid w:val="00C34C20"/>
    <w:rsid w:val="00C35A3E"/>
    <w:rsid w:val="00C36161"/>
    <w:rsid w:val="00C42130"/>
    <w:rsid w:val="00C423A4"/>
    <w:rsid w:val="00C4240B"/>
    <w:rsid w:val="00C44BF5"/>
    <w:rsid w:val="00C459FE"/>
    <w:rsid w:val="00C4716F"/>
    <w:rsid w:val="00C47C3B"/>
    <w:rsid w:val="00C51034"/>
    <w:rsid w:val="00C51EF4"/>
    <w:rsid w:val="00C521D6"/>
    <w:rsid w:val="00C53B08"/>
    <w:rsid w:val="00C55232"/>
    <w:rsid w:val="00C55372"/>
    <w:rsid w:val="00C553A4"/>
    <w:rsid w:val="00C55A06"/>
    <w:rsid w:val="00C55D03"/>
    <w:rsid w:val="00C601BC"/>
    <w:rsid w:val="00C6177B"/>
    <w:rsid w:val="00C61F09"/>
    <w:rsid w:val="00C6329F"/>
    <w:rsid w:val="00C63340"/>
    <w:rsid w:val="00C643F9"/>
    <w:rsid w:val="00C64E95"/>
    <w:rsid w:val="00C67365"/>
    <w:rsid w:val="00C71372"/>
    <w:rsid w:val="00C72410"/>
    <w:rsid w:val="00C7287F"/>
    <w:rsid w:val="00C75C7F"/>
    <w:rsid w:val="00C80136"/>
    <w:rsid w:val="00C80876"/>
    <w:rsid w:val="00C80982"/>
    <w:rsid w:val="00C80CB8"/>
    <w:rsid w:val="00C819F8"/>
    <w:rsid w:val="00C8248C"/>
    <w:rsid w:val="00C84E33"/>
    <w:rsid w:val="00C853B5"/>
    <w:rsid w:val="00C85BB1"/>
    <w:rsid w:val="00C86D6F"/>
    <w:rsid w:val="00C905FC"/>
    <w:rsid w:val="00C91ECB"/>
    <w:rsid w:val="00C92D03"/>
    <w:rsid w:val="00C9319C"/>
    <w:rsid w:val="00C9435D"/>
    <w:rsid w:val="00C94DF2"/>
    <w:rsid w:val="00C95441"/>
    <w:rsid w:val="00C95593"/>
    <w:rsid w:val="00C96741"/>
    <w:rsid w:val="00C97626"/>
    <w:rsid w:val="00CA1982"/>
    <w:rsid w:val="00CA2D1B"/>
    <w:rsid w:val="00CA375D"/>
    <w:rsid w:val="00CA6619"/>
    <w:rsid w:val="00CA662A"/>
    <w:rsid w:val="00CA7AFD"/>
    <w:rsid w:val="00CA7C3C"/>
    <w:rsid w:val="00CB0189"/>
    <w:rsid w:val="00CB098C"/>
    <w:rsid w:val="00CB0BA2"/>
    <w:rsid w:val="00CB1A42"/>
    <w:rsid w:val="00CB1B0C"/>
    <w:rsid w:val="00CB2C0B"/>
    <w:rsid w:val="00CB517D"/>
    <w:rsid w:val="00CC038D"/>
    <w:rsid w:val="00CC0461"/>
    <w:rsid w:val="00CC0586"/>
    <w:rsid w:val="00CC08DB"/>
    <w:rsid w:val="00CC2D69"/>
    <w:rsid w:val="00CC39FF"/>
    <w:rsid w:val="00CC3C2F"/>
    <w:rsid w:val="00CC4AC8"/>
    <w:rsid w:val="00CC5233"/>
    <w:rsid w:val="00CC5DE6"/>
    <w:rsid w:val="00CC6E4E"/>
    <w:rsid w:val="00CC6FE8"/>
    <w:rsid w:val="00CC7202"/>
    <w:rsid w:val="00CC7CDC"/>
    <w:rsid w:val="00CD09E1"/>
    <w:rsid w:val="00CD0A9D"/>
    <w:rsid w:val="00CD2808"/>
    <w:rsid w:val="00CD28BF"/>
    <w:rsid w:val="00CD2C7C"/>
    <w:rsid w:val="00CD4092"/>
    <w:rsid w:val="00CD4A20"/>
    <w:rsid w:val="00CD4CD9"/>
    <w:rsid w:val="00CD50A1"/>
    <w:rsid w:val="00CD519E"/>
    <w:rsid w:val="00CD561D"/>
    <w:rsid w:val="00CD7723"/>
    <w:rsid w:val="00CE0C4F"/>
    <w:rsid w:val="00CE2069"/>
    <w:rsid w:val="00CE2532"/>
    <w:rsid w:val="00CE30EA"/>
    <w:rsid w:val="00CE6EC9"/>
    <w:rsid w:val="00CE7BFD"/>
    <w:rsid w:val="00CF048A"/>
    <w:rsid w:val="00CF155A"/>
    <w:rsid w:val="00CF1AE4"/>
    <w:rsid w:val="00CF241A"/>
    <w:rsid w:val="00CF2947"/>
    <w:rsid w:val="00CF444A"/>
    <w:rsid w:val="00CF56B5"/>
    <w:rsid w:val="00CF58C2"/>
    <w:rsid w:val="00CF58CD"/>
    <w:rsid w:val="00CF686F"/>
    <w:rsid w:val="00CF6E60"/>
    <w:rsid w:val="00CF7A76"/>
    <w:rsid w:val="00CF7BCA"/>
    <w:rsid w:val="00D001DC"/>
    <w:rsid w:val="00D008FD"/>
    <w:rsid w:val="00D0321C"/>
    <w:rsid w:val="00D035EC"/>
    <w:rsid w:val="00D04936"/>
    <w:rsid w:val="00D06AB1"/>
    <w:rsid w:val="00D072ED"/>
    <w:rsid w:val="00D07A16"/>
    <w:rsid w:val="00D1067E"/>
    <w:rsid w:val="00D10F50"/>
    <w:rsid w:val="00D11272"/>
    <w:rsid w:val="00D11C17"/>
    <w:rsid w:val="00D121AD"/>
    <w:rsid w:val="00D126F5"/>
    <w:rsid w:val="00D137FB"/>
    <w:rsid w:val="00D1489E"/>
    <w:rsid w:val="00D20737"/>
    <w:rsid w:val="00D21E81"/>
    <w:rsid w:val="00D223DE"/>
    <w:rsid w:val="00D25E37"/>
    <w:rsid w:val="00D2661A"/>
    <w:rsid w:val="00D27099"/>
    <w:rsid w:val="00D27582"/>
    <w:rsid w:val="00D27A63"/>
    <w:rsid w:val="00D27EC4"/>
    <w:rsid w:val="00D32719"/>
    <w:rsid w:val="00D33333"/>
    <w:rsid w:val="00D33457"/>
    <w:rsid w:val="00D352A2"/>
    <w:rsid w:val="00D3621D"/>
    <w:rsid w:val="00D3660F"/>
    <w:rsid w:val="00D4162B"/>
    <w:rsid w:val="00D43721"/>
    <w:rsid w:val="00D4514F"/>
    <w:rsid w:val="00D451E2"/>
    <w:rsid w:val="00D45E89"/>
    <w:rsid w:val="00D45E8D"/>
    <w:rsid w:val="00D45F59"/>
    <w:rsid w:val="00D46675"/>
    <w:rsid w:val="00D466AE"/>
    <w:rsid w:val="00D47060"/>
    <w:rsid w:val="00D4734F"/>
    <w:rsid w:val="00D50310"/>
    <w:rsid w:val="00D51060"/>
    <w:rsid w:val="00D51BF3"/>
    <w:rsid w:val="00D54869"/>
    <w:rsid w:val="00D54B84"/>
    <w:rsid w:val="00D55172"/>
    <w:rsid w:val="00D6001B"/>
    <w:rsid w:val="00D6186D"/>
    <w:rsid w:val="00D628C4"/>
    <w:rsid w:val="00D641D1"/>
    <w:rsid w:val="00D64951"/>
    <w:rsid w:val="00D64A90"/>
    <w:rsid w:val="00D66846"/>
    <w:rsid w:val="00D675FB"/>
    <w:rsid w:val="00D67837"/>
    <w:rsid w:val="00D7122C"/>
    <w:rsid w:val="00D717E7"/>
    <w:rsid w:val="00D71F25"/>
    <w:rsid w:val="00D72A9C"/>
    <w:rsid w:val="00D74226"/>
    <w:rsid w:val="00D752A3"/>
    <w:rsid w:val="00D77031"/>
    <w:rsid w:val="00D83C07"/>
    <w:rsid w:val="00D84941"/>
    <w:rsid w:val="00D84FA1"/>
    <w:rsid w:val="00D851F0"/>
    <w:rsid w:val="00D85ED1"/>
    <w:rsid w:val="00D861AF"/>
    <w:rsid w:val="00D86DB7"/>
    <w:rsid w:val="00D87A2D"/>
    <w:rsid w:val="00D87F4F"/>
    <w:rsid w:val="00D90771"/>
    <w:rsid w:val="00D920A9"/>
    <w:rsid w:val="00D926D0"/>
    <w:rsid w:val="00D92C4A"/>
    <w:rsid w:val="00D93030"/>
    <w:rsid w:val="00D93AA1"/>
    <w:rsid w:val="00D94340"/>
    <w:rsid w:val="00D950B8"/>
    <w:rsid w:val="00D950E1"/>
    <w:rsid w:val="00D952A6"/>
    <w:rsid w:val="00D9580D"/>
    <w:rsid w:val="00D958A9"/>
    <w:rsid w:val="00D96D8C"/>
    <w:rsid w:val="00D977C2"/>
    <w:rsid w:val="00D97F99"/>
    <w:rsid w:val="00DA1E08"/>
    <w:rsid w:val="00DA24F8"/>
    <w:rsid w:val="00DA28E8"/>
    <w:rsid w:val="00DA38D3"/>
    <w:rsid w:val="00DA3932"/>
    <w:rsid w:val="00DA3AFC"/>
    <w:rsid w:val="00DA4F2C"/>
    <w:rsid w:val="00DA5191"/>
    <w:rsid w:val="00DA53CF"/>
    <w:rsid w:val="00DA63FC"/>
    <w:rsid w:val="00DA64F8"/>
    <w:rsid w:val="00DA6C15"/>
    <w:rsid w:val="00DA7F99"/>
    <w:rsid w:val="00DB0258"/>
    <w:rsid w:val="00DB0BEB"/>
    <w:rsid w:val="00DB36B0"/>
    <w:rsid w:val="00DB38EE"/>
    <w:rsid w:val="00DB498B"/>
    <w:rsid w:val="00DB66CA"/>
    <w:rsid w:val="00DB6BCA"/>
    <w:rsid w:val="00DB6C46"/>
    <w:rsid w:val="00DB73F7"/>
    <w:rsid w:val="00DC02B0"/>
    <w:rsid w:val="00DC0321"/>
    <w:rsid w:val="00DC11F3"/>
    <w:rsid w:val="00DC1BEE"/>
    <w:rsid w:val="00DC2597"/>
    <w:rsid w:val="00DC3067"/>
    <w:rsid w:val="00DC370B"/>
    <w:rsid w:val="00DC5852"/>
    <w:rsid w:val="00DC5B90"/>
    <w:rsid w:val="00DD00FF"/>
    <w:rsid w:val="00DD0619"/>
    <w:rsid w:val="00DD07FB"/>
    <w:rsid w:val="00DD2418"/>
    <w:rsid w:val="00DD25C6"/>
    <w:rsid w:val="00DD31B2"/>
    <w:rsid w:val="00DD4FE5"/>
    <w:rsid w:val="00DD54B0"/>
    <w:rsid w:val="00DD56F4"/>
    <w:rsid w:val="00DD57EE"/>
    <w:rsid w:val="00DD611A"/>
    <w:rsid w:val="00DD6BCC"/>
    <w:rsid w:val="00DE0A4B"/>
    <w:rsid w:val="00DE18B1"/>
    <w:rsid w:val="00DE2410"/>
    <w:rsid w:val="00DE2542"/>
    <w:rsid w:val="00DE2939"/>
    <w:rsid w:val="00DE2B84"/>
    <w:rsid w:val="00DE596A"/>
    <w:rsid w:val="00DE6E81"/>
    <w:rsid w:val="00DE703F"/>
    <w:rsid w:val="00DE7595"/>
    <w:rsid w:val="00DF09D0"/>
    <w:rsid w:val="00DF1909"/>
    <w:rsid w:val="00DF1961"/>
    <w:rsid w:val="00DF44DE"/>
    <w:rsid w:val="00DF4E63"/>
    <w:rsid w:val="00DF5B25"/>
    <w:rsid w:val="00DF5F11"/>
    <w:rsid w:val="00DF6E83"/>
    <w:rsid w:val="00DF6F19"/>
    <w:rsid w:val="00E01138"/>
    <w:rsid w:val="00E02DFB"/>
    <w:rsid w:val="00E030F9"/>
    <w:rsid w:val="00E0311A"/>
    <w:rsid w:val="00E03138"/>
    <w:rsid w:val="00E06404"/>
    <w:rsid w:val="00E065D2"/>
    <w:rsid w:val="00E06A6A"/>
    <w:rsid w:val="00E10855"/>
    <w:rsid w:val="00E11A85"/>
    <w:rsid w:val="00E12495"/>
    <w:rsid w:val="00E15CCD"/>
    <w:rsid w:val="00E164FF"/>
    <w:rsid w:val="00E202EF"/>
    <w:rsid w:val="00E210B5"/>
    <w:rsid w:val="00E2204F"/>
    <w:rsid w:val="00E22A61"/>
    <w:rsid w:val="00E22A8C"/>
    <w:rsid w:val="00E23311"/>
    <w:rsid w:val="00E23D99"/>
    <w:rsid w:val="00E24241"/>
    <w:rsid w:val="00E24BB8"/>
    <w:rsid w:val="00E2552F"/>
    <w:rsid w:val="00E27466"/>
    <w:rsid w:val="00E3137A"/>
    <w:rsid w:val="00E318C1"/>
    <w:rsid w:val="00E31AC9"/>
    <w:rsid w:val="00E32CCF"/>
    <w:rsid w:val="00E34A98"/>
    <w:rsid w:val="00E35D1E"/>
    <w:rsid w:val="00E364F9"/>
    <w:rsid w:val="00E365FA"/>
    <w:rsid w:val="00E36789"/>
    <w:rsid w:val="00E378B5"/>
    <w:rsid w:val="00E407A6"/>
    <w:rsid w:val="00E41E8C"/>
    <w:rsid w:val="00E44A83"/>
    <w:rsid w:val="00E45481"/>
    <w:rsid w:val="00E457E5"/>
    <w:rsid w:val="00E46073"/>
    <w:rsid w:val="00E47B9C"/>
    <w:rsid w:val="00E502C1"/>
    <w:rsid w:val="00E502DD"/>
    <w:rsid w:val="00E50D3A"/>
    <w:rsid w:val="00E51387"/>
    <w:rsid w:val="00E515CD"/>
    <w:rsid w:val="00E51E68"/>
    <w:rsid w:val="00E528A7"/>
    <w:rsid w:val="00E52EFD"/>
    <w:rsid w:val="00E5408A"/>
    <w:rsid w:val="00E563A1"/>
    <w:rsid w:val="00E56800"/>
    <w:rsid w:val="00E56FBB"/>
    <w:rsid w:val="00E57065"/>
    <w:rsid w:val="00E60C63"/>
    <w:rsid w:val="00E62FF9"/>
    <w:rsid w:val="00E635D6"/>
    <w:rsid w:val="00E639BC"/>
    <w:rsid w:val="00E64E62"/>
    <w:rsid w:val="00E66444"/>
    <w:rsid w:val="00E664CC"/>
    <w:rsid w:val="00E666AC"/>
    <w:rsid w:val="00E70388"/>
    <w:rsid w:val="00E70F92"/>
    <w:rsid w:val="00E71100"/>
    <w:rsid w:val="00E71FA7"/>
    <w:rsid w:val="00E74C54"/>
    <w:rsid w:val="00E75DAC"/>
    <w:rsid w:val="00E776C1"/>
    <w:rsid w:val="00E77854"/>
    <w:rsid w:val="00E77A03"/>
    <w:rsid w:val="00E80158"/>
    <w:rsid w:val="00E82066"/>
    <w:rsid w:val="00E822E8"/>
    <w:rsid w:val="00E82554"/>
    <w:rsid w:val="00E82606"/>
    <w:rsid w:val="00E82D1A"/>
    <w:rsid w:val="00E846C8"/>
    <w:rsid w:val="00E84957"/>
    <w:rsid w:val="00E84A55"/>
    <w:rsid w:val="00E85BFF"/>
    <w:rsid w:val="00E90105"/>
    <w:rsid w:val="00E90391"/>
    <w:rsid w:val="00E9054D"/>
    <w:rsid w:val="00E906C2"/>
    <w:rsid w:val="00E9229D"/>
    <w:rsid w:val="00E922A1"/>
    <w:rsid w:val="00E9311F"/>
    <w:rsid w:val="00E934D1"/>
    <w:rsid w:val="00E94AF0"/>
    <w:rsid w:val="00E9549B"/>
    <w:rsid w:val="00E95D13"/>
    <w:rsid w:val="00E95DD3"/>
    <w:rsid w:val="00E969D5"/>
    <w:rsid w:val="00EA063F"/>
    <w:rsid w:val="00EA21D7"/>
    <w:rsid w:val="00EA26B6"/>
    <w:rsid w:val="00EA31D9"/>
    <w:rsid w:val="00EA49B2"/>
    <w:rsid w:val="00EA50C7"/>
    <w:rsid w:val="00EA58D1"/>
    <w:rsid w:val="00EA61BC"/>
    <w:rsid w:val="00EA628B"/>
    <w:rsid w:val="00EA681A"/>
    <w:rsid w:val="00EA735B"/>
    <w:rsid w:val="00EB0101"/>
    <w:rsid w:val="00EB17DE"/>
    <w:rsid w:val="00EB1E69"/>
    <w:rsid w:val="00EB2086"/>
    <w:rsid w:val="00EB43A1"/>
    <w:rsid w:val="00EB5EDF"/>
    <w:rsid w:val="00EB60FE"/>
    <w:rsid w:val="00EB6642"/>
    <w:rsid w:val="00EB74DB"/>
    <w:rsid w:val="00EC0051"/>
    <w:rsid w:val="00EC06FD"/>
    <w:rsid w:val="00EC30C8"/>
    <w:rsid w:val="00EC322F"/>
    <w:rsid w:val="00EC3683"/>
    <w:rsid w:val="00EC5359"/>
    <w:rsid w:val="00EC562A"/>
    <w:rsid w:val="00EC6487"/>
    <w:rsid w:val="00ED0675"/>
    <w:rsid w:val="00ED067A"/>
    <w:rsid w:val="00ED10B8"/>
    <w:rsid w:val="00ED1FC5"/>
    <w:rsid w:val="00ED268E"/>
    <w:rsid w:val="00ED2B50"/>
    <w:rsid w:val="00ED2CA8"/>
    <w:rsid w:val="00ED3CBB"/>
    <w:rsid w:val="00ED4E0A"/>
    <w:rsid w:val="00EE0350"/>
    <w:rsid w:val="00EE0719"/>
    <w:rsid w:val="00EE0E80"/>
    <w:rsid w:val="00EE19CF"/>
    <w:rsid w:val="00EE2B88"/>
    <w:rsid w:val="00EE54A6"/>
    <w:rsid w:val="00EE594E"/>
    <w:rsid w:val="00EE613F"/>
    <w:rsid w:val="00EE713A"/>
    <w:rsid w:val="00EE7295"/>
    <w:rsid w:val="00EE7869"/>
    <w:rsid w:val="00EF054A"/>
    <w:rsid w:val="00EF3235"/>
    <w:rsid w:val="00EF43B5"/>
    <w:rsid w:val="00EF5D1C"/>
    <w:rsid w:val="00EF69D1"/>
    <w:rsid w:val="00EF7E72"/>
    <w:rsid w:val="00F04BAD"/>
    <w:rsid w:val="00F06D37"/>
    <w:rsid w:val="00F07B9D"/>
    <w:rsid w:val="00F11586"/>
    <w:rsid w:val="00F1183B"/>
    <w:rsid w:val="00F11C9F"/>
    <w:rsid w:val="00F1224A"/>
    <w:rsid w:val="00F12263"/>
    <w:rsid w:val="00F1409D"/>
    <w:rsid w:val="00F14158"/>
    <w:rsid w:val="00F14214"/>
    <w:rsid w:val="00F14F80"/>
    <w:rsid w:val="00F151E6"/>
    <w:rsid w:val="00F1525B"/>
    <w:rsid w:val="00F157A9"/>
    <w:rsid w:val="00F220BC"/>
    <w:rsid w:val="00F22CAC"/>
    <w:rsid w:val="00F23156"/>
    <w:rsid w:val="00F235F5"/>
    <w:rsid w:val="00F241ED"/>
    <w:rsid w:val="00F25BB6"/>
    <w:rsid w:val="00F26B7E"/>
    <w:rsid w:val="00F27A3B"/>
    <w:rsid w:val="00F32CA2"/>
    <w:rsid w:val="00F33817"/>
    <w:rsid w:val="00F36A68"/>
    <w:rsid w:val="00F3790D"/>
    <w:rsid w:val="00F411F8"/>
    <w:rsid w:val="00F420D5"/>
    <w:rsid w:val="00F451EA"/>
    <w:rsid w:val="00F45447"/>
    <w:rsid w:val="00F456C6"/>
    <w:rsid w:val="00F4577B"/>
    <w:rsid w:val="00F46496"/>
    <w:rsid w:val="00F46B94"/>
    <w:rsid w:val="00F474D0"/>
    <w:rsid w:val="00F47524"/>
    <w:rsid w:val="00F47FDF"/>
    <w:rsid w:val="00F50179"/>
    <w:rsid w:val="00F515EE"/>
    <w:rsid w:val="00F52594"/>
    <w:rsid w:val="00F56511"/>
    <w:rsid w:val="00F56623"/>
    <w:rsid w:val="00F56D70"/>
    <w:rsid w:val="00F604C9"/>
    <w:rsid w:val="00F6146D"/>
    <w:rsid w:val="00F6194E"/>
    <w:rsid w:val="00F623AC"/>
    <w:rsid w:val="00F6265A"/>
    <w:rsid w:val="00F6412A"/>
    <w:rsid w:val="00F64141"/>
    <w:rsid w:val="00F65893"/>
    <w:rsid w:val="00F66891"/>
    <w:rsid w:val="00F66A4A"/>
    <w:rsid w:val="00F71C6D"/>
    <w:rsid w:val="00F71E22"/>
    <w:rsid w:val="00F72142"/>
    <w:rsid w:val="00F727B3"/>
    <w:rsid w:val="00F72AE7"/>
    <w:rsid w:val="00F72E49"/>
    <w:rsid w:val="00F74642"/>
    <w:rsid w:val="00F74788"/>
    <w:rsid w:val="00F7631B"/>
    <w:rsid w:val="00F76DF0"/>
    <w:rsid w:val="00F771A7"/>
    <w:rsid w:val="00F81141"/>
    <w:rsid w:val="00F82053"/>
    <w:rsid w:val="00F833BA"/>
    <w:rsid w:val="00F84FD0"/>
    <w:rsid w:val="00F85964"/>
    <w:rsid w:val="00F859A8"/>
    <w:rsid w:val="00F86667"/>
    <w:rsid w:val="00F86D87"/>
    <w:rsid w:val="00F901EB"/>
    <w:rsid w:val="00F9108B"/>
    <w:rsid w:val="00F91349"/>
    <w:rsid w:val="00F93A8A"/>
    <w:rsid w:val="00F93C35"/>
    <w:rsid w:val="00F950DC"/>
    <w:rsid w:val="00F95248"/>
    <w:rsid w:val="00F956A9"/>
    <w:rsid w:val="00F963ED"/>
    <w:rsid w:val="00F966CF"/>
    <w:rsid w:val="00F96CAE"/>
    <w:rsid w:val="00F97C99"/>
    <w:rsid w:val="00FA005B"/>
    <w:rsid w:val="00FA140C"/>
    <w:rsid w:val="00FA190F"/>
    <w:rsid w:val="00FA3356"/>
    <w:rsid w:val="00FA4AB6"/>
    <w:rsid w:val="00FA4DAC"/>
    <w:rsid w:val="00FA6094"/>
    <w:rsid w:val="00FA6131"/>
    <w:rsid w:val="00FA662D"/>
    <w:rsid w:val="00FA73B1"/>
    <w:rsid w:val="00FA7A85"/>
    <w:rsid w:val="00FB0CB9"/>
    <w:rsid w:val="00FB231D"/>
    <w:rsid w:val="00FB45F1"/>
    <w:rsid w:val="00FB4A72"/>
    <w:rsid w:val="00FB54E8"/>
    <w:rsid w:val="00FB7054"/>
    <w:rsid w:val="00FB7B19"/>
    <w:rsid w:val="00FC17B7"/>
    <w:rsid w:val="00FC2CB7"/>
    <w:rsid w:val="00FC38AD"/>
    <w:rsid w:val="00FC397C"/>
    <w:rsid w:val="00FC3F50"/>
    <w:rsid w:val="00FC4090"/>
    <w:rsid w:val="00FC55B4"/>
    <w:rsid w:val="00FC6C21"/>
    <w:rsid w:val="00FD00E6"/>
    <w:rsid w:val="00FD09A1"/>
    <w:rsid w:val="00FD2A7C"/>
    <w:rsid w:val="00FD499E"/>
    <w:rsid w:val="00FD59EB"/>
    <w:rsid w:val="00FD6499"/>
    <w:rsid w:val="00FD7299"/>
    <w:rsid w:val="00FE0017"/>
    <w:rsid w:val="00FE1512"/>
    <w:rsid w:val="00FE1FBE"/>
    <w:rsid w:val="00FE31B4"/>
    <w:rsid w:val="00FE3901"/>
    <w:rsid w:val="00FE3913"/>
    <w:rsid w:val="00FE39D3"/>
    <w:rsid w:val="00FE3A27"/>
    <w:rsid w:val="00FE3FA3"/>
    <w:rsid w:val="00FE4BCE"/>
    <w:rsid w:val="00FE54AE"/>
    <w:rsid w:val="00FE576A"/>
    <w:rsid w:val="00FE7E79"/>
    <w:rsid w:val="00FF29A6"/>
    <w:rsid w:val="00FF3E7D"/>
    <w:rsid w:val="00FF5B99"/>
    <w:rsid w:val="00FF698C"/>
    <w:rsid w:val="00FF7221"/>
    <w:rsid w:val="00FF730C"/>
    <w:rsid w:val="00FF73F4"/>
    <w:rsid w:val="00FF74B4"/>
    <w:rsid w:val="00FF7CE4"/>
    <w:rsid w:val="00FF7E39"/>
    <w:rsid w:val="022A2F1B"/>
    <w:rsid w:val="06AB13A9"/>
    <w:rsid w:val="096BB150"/>
    <w:rsid w:val="11D64EBC"/>
    <w:rsid w:val="17366ED2"/>
    <w:rsid w:val="22197D29"/>
    <w:rsid w:val="23EE5854"/>
    <w:rsid w:val="286048E5"/>
    <w:rsid w:val="29871320"/>
    <w:rsid w:val="348E711E"/>
    <w:rsid w:val="377F944C"/>
    <w:rsid w:val="37FB6B09"/>
    <w:rsid w:val="3BEA5812"/>
    <w:rsid w:val="3FE4AAC3"/>
    <w:rsid w:val="3FF374F3"/>
    <w:rsid w:val="3FF6334D"/>
    <w:rsid w:val="4B8720CA"/>
    <w:rsid w:val="4DF9014F"/>
    <w:rsid w:val="52DF0A0A"/>
    <w:rsid w:val="57895101"/>
    <w:rsid w:val="5DAC6668"/>
    <w:rsid w:val="5DCA1BC9"/>
    <w:rsid w:val="5E9FBA55"/>
    <w:rsid w:val="6DFBDD5D"/>
    <w:rsid w:val="6F9F9B8C"/>
    <w:rsid w:val="75BBAB45"/>
    <w:rsid w:val="76F6B9FC"/>
    <w:rsid w:val="777F84FD"/>
    <w:rsid w:val="77E13753"/>
    <w:rsid w:val="79D56ED9"/>
    <w:rsid w:val="7BE5BF2E"/>
    <w:rsid w:val="7E93BED8"/>
    <w:rsid w:val="7E9FB415"/>
    <w:rsid w:val="7EBDEB1F"/>
    <w:rsid w:val="7EC64C7A"/>
    <w:rsid w:val="7EFDFBF7"/>
    <w:rsid w:val="7EFE2AD9"/>
    <w:rsid w:val="7F172281"/>
    <w:rsid w:val="7F2FB7A7"/>
    <w:rsid w:val="7F7E723D"/>
    <w:rsid w:val="7F7FEC28"/>
    <w:rsid w:val="7FEC507C"/>
    <w:rsid w:val="7FFD9FDD"/>
    <w:rsid w:val="8F5D2AFE"/>
    <w:rsid w:val="98BE3223"/>
    <w:rsid w:val="9EF6D166"/>
    <w:rsid w:val="A3FF23BE"/>
    <w:rsid w:val="B76CED27"/>
    <w:rsid w:val="B9F7B74B"/>
    <w:rsid w:val="BEF549CB"/>
    <w:rsid w:val="BFFFE266"/>
    <w:rsid w:val="CF9F8A35"/>
    <w:rsid w:val="CFD72F49"/>
    <w:rsid w:val="DBBB2C89"/>
    <w:rsid w:val="DDBF574A"/>
    <w:rsid w:val="DEBB02D3"/>
    <w:rsid w:val="DFE54098"/>
    <w:rsid w:val="E75F81DC"/>
    <w:rsid w:val="E7FF148B"/>
    <w:rsid w:val="F0878AFD"/>
    <w:rsid w:val="F5F38218"/>
    <w:rsid w:val="F9F8E8D7"/>
    <w:rsid w:val="FBABC2A3"/>
    <w:rsid w:val="FBFB11A2"/>
    <w:rsid w:val="FD0F5022"/>
    <w:rsid w:val="FDCEC218"/>
    <w:rsid w:val="FDFF60C0"/>
    <w:rsid w:val="FF0F54A7"/>
    <w:rsid w:val="FF578C73"/>
    <w:rsid w:val="FF87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99"/>
    <w:pPr>
      <w:adjustRightInd/>
      <w:spacing w:before="152" w:after="160" w:line="240" w:lineRule="auto"/>
    </w:pPr>
    <w:rPr>
      <w:rFonts w:ascii="Arial" w:hAnsi="Arial" w:eastAsia="黑体" w:cs="Arial"/>
      <w:kern w:val="0"/>
      <w:sz w:val="20"/>
      <w:szCs w:val="20"/>
    </w:rPr>
  </w:style>
  <w:style w:type="paragraph" w:styleId="14">
    <w:name w:val="annotation text"/>
    <w:basedOn w:val="1"/>
    <w:link w:val="237"/>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8"/>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basedOn w:val="1"/>
    <w:qFormat/>
    <w:uiPriority w:val="0"/>
    <w:pPr>
      <w:widowControl/>
      <w:autoSpaceDE w:val="0"/>
      <w:autoSpaceDN w:val="0"/>
      <w:adjustRightInd/>
      <w:spacing w:line="240" w:lineRule="auto"/>
      <w:ind w:firstLine="420" w:firstLineChars="200"/>
    </w:pPr>
    <w:rPr>
      <w:rFonts w:ascii="宋体" w:hAnsi="Times New Roman" w:cs="宋体"/>
    </w:rPr>
  </w:style>
  <w:style w:type="paragraph" w:customStyle="1" w:styleId="235">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6">
    <w:name w:val="修订2"/>
    <w:hidden/>
    <w:unhideWhenUsed/>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1"/>
    <w:link w:val="14"/>
    <w:qFormat/>
    <w:uiPriority w:val="99"/>
    <w:rPr>
      <w:kern w:val="2"/>
      <w:sz w:val="21"/>
      <w:szCs w:val="21"/>
    </w:rPr>
  </w:style>
  <w:style w:type="character" w:customStyle="1" w:styleId="238">
    <w:name w:val="批注主题 字符"/>
    <w:basedOn w:val="237"/>
    <w:link w:val="28"/>
    <w:semiHidden/>
    <w:uiPriority w:val="99"/>
    <w:rPr>
      <w:b/>
      <w:bCs/>
      <w:kern w:val="2"/>
      <w:sz w:val="21"/>
      <w:szCs w:val="21"/>
    </w:rPr>
  </w:style>
  <w:style w:type="paragraph" w:customStyle="1" w:styleId="239">
    <w:name w:val="样式3"/>
    <w:basedOn w:val="1"/>
    <w:uiPriority w:val="0"/>
    <w:pPr>
      <w:widowControl/>
      <w:adjustRightInd/>
      <w:spacing w:beforeLines="50" w:afterLines="50" w:line="240" w:lineRule="auto"/>
      <w:ind w:left="2016" w:hanging="414"/>
      <w:jc w:val="left"/>
      <w:outlineLvl w:val="3"/>
    </w:pPr>
    <w:rPr>
      <w:rFonts w:ascii="黑体" w:hAnsi="Times New Roman" w:eastAsia="黑体" w:cs="宋体"/>
      <w:kern w:val="0"/>
    </w:rPr>
  </w:style>
  <w:style w:type="paragraph" w:customStyle="1" w:styleId="240">
    <w:name w:val="正文表标题"/>
    <w:basedOn w:val="1"/>
    <w:next w:val="1"/>
    <w:uiPriority w:val="0"/>
    <w:pPr>
      <w:widowControl/>
      <w:adjustRightInd/>
      <w:spacing w:beforeLines="50" w:afterLines="50" w:line="240" w:lineRule="auto"/>
      <w:jc w:val="center"/>
    </w:pPr>
    <w:rPr>
      <w:rFonts w:ascii="黑体" w:hAnsi="Times New Roman" w:eastAsia="黑体" w:cs="宋体"/>
      <w:kern w:val="0"/>
    </w:rPr>
  </w:style>
  <w:style w:type="paragraph" w:customStyle="1" w:styleId="241">
    <w:name w:val="Revision"/>
    <w:hidden/>
    <w:unhideWhenUsed/>
    <w:uiPriority w:val="99"/>
    <w:rPr>
      <w:rFonts w:ascii="Calibri" w:hAnsi="Calibri" w:eastAsia="宋体" w:cs="Times New Roman"/>
      <w:kern w:val="2"/>
      <w:sz w:val="21"/>
      <w:szCs w:val="21"/>
      <w:lang w:val="en-US" w:eastAsia="zh-CN" w:bidi="ar-SA"/>
    </w:rPr>
  </w:style>
  <w:style w:type="paragraph" w:customStyle="1" w:styleId="242">
    <w:name w:val="附录章标题"/>
    <w:basedOn w:val="1"/>
    <w:next w:val="1"/>
    <w:uiPriority w:val="0"/>
    <w:pPr>
      <w:widowControl/>
      <w:wordWrap w:val="0"/>
      <w:overflowPunct w:val="0"/>
      <w:adjustRightInd/>
      <w:spacing w:beforeLines="100" w:afterLines="100" w:line="240" w:lineRule="auto"/>
      <w:textAlignment w:val="baseline"/>
      <w:outlineLvl w:val="1"/>
    </w:pPr>
    <w:rPr>
      <w:rFonts w:ascii="黑体" w:hAnsi="Times New Roman" w:eastAsia="黑体" w:cs="宋体"/>
      <w:kern w:val="21"/>
    </w:rPr>
  </w:style>
  <w:style w:type="paragraph" w:customStyle="1" w:styleId="243">
    <w:name w:val="附录一级条标题"/>
    <w:basedOn w:val="242"/>
    <w:next w:val="1"/>
    <w:uiPriority w:val="0"/>
    <w:pPr>
      <w:autoSpaceDE w:val="0"/>
      <w:autoSpaceDN w:val="0"/>
      <w:spacing w:beforeLines="50" w:afterLines="50"/>
      <w:outlineLvl w:val="2"/>
    </w:pPr>
  </w:style>
  <w:style w:type="paragraph" w:customStyle="1" w:styleId="244">
    <w:name w:val="正文样式"/>
    <w:basedOn w:val="1"/>
    <w:uiPriority w:val="0"/>
    <w:pPr>
      <w:widowControl/>
      <w:autoSpaceDE w:val="0"/>
      <w:autoSpaceDN w:val="0"/>
      <w:adjustRightInd/>
      <w:spacing w:line="240" w:lineRule="auto"/>
      <w:ind w:firstLine="420" w:firstLineChars="200"/>
    </w:pPr>
    <w:rPr>
      <w:rFonts w:ascii="宋体" w:hAnsi="Times New Roman" w:cs="宋体"/>
    </w:rPr>
  </w:style>
  <w:style w:type="paragraph" w:customStyle="1" w:styleId="245">
    <w:name w:val="附录表标题"/>
    <w:basedOn w:val="1"/>
    <w:next w:val="1"/>
    <w:uiPriority w:val="0"/>
    <w:pPr>
      <w:adjustRightInd/>
      <w:spacing w:beforeLines="50" w:afterLines="50" w:line="240" w:lineRule="auto"/>
      <w:ind w:left="567" w:hanging="567"/>
      <w:jc w:val="center"/>
    </w:pPr>
    <w:rPr>
      <w:rFonts w:ascii="黑体" w:hAnsi="Times New Roman" w:eastAsia="黑体" w:cs="宋体"/>
    </w:rPr>
  </w:style>
  <w:style w:type="paragraph" w:customStyle="1" w:styleId="246">
    <w:name w:val="p1"/>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247">
    <w:name w:val="s1"/>
    <w:basedOn w:val="31"/>
    <w:uiPriority w:val="0"/>
    <w:rPr>
      <w:rFonts w:ascii="Helvetica Neue" w:hAnsi="Helvetica Neue" w:eastAsia="Helvetica Neue" w:cs="Helvetica Neue"/>
      <w:sz w:val="26"/>
      <w:szCs w:val="26"/>
    </w:rPr>
  </w:style>
  <w:style w:type="paragraph" w:customStyle="1" w:styleId="248">
    <w:name w:val="三级无"/>
    <w:basedOn w:val="249"/>
    <w:uiPriority w:val="0"/>
    <w:pPr>
      <w:numPr>
        <w:ilvl w:val="3"/>
        <w:numId w:val="32"/>
      </w:numPr>
    </w:pPr>
    <w:rPr>
      <w:rFonts w:ascii="宋体" w:eastAsia="宋体"/>
    </w:rPr>
  </w:style>
  <w:style w:type="paragraph" w:customStyle="1" w:styleId="249">
    <w:name w:val="三级条标题"/>
    <w:basedOn w:val="250"/>
    <w:next w:val="234"/>
    <w:uiPriority w:val="0"/>
    <w:pPr>
      <w:numPr>
        <w:ilvl w:val="3"/>
        <w:numId w:val="32"/>
      </w:numPr>
      <w:spacing w:before="0" w:beforeLines="0" w:after="0" w:afterLines="0"/>
      <w:outlineLvl w:val="4"/>
    </w:pPr>
    <w:rPr>
      <w:rFonts w:hAnsi="黑体"/>
    </w:rPr>
  </w:style>
  <w:style w:type="paragraph" w:customStyle="1" w:styleId="250">
    <w:name w:val="二级条标题"/>
    <w:basedOn w:val="251"/>
    <w:next w:val="234"/>
    <w:uiPriority w:val="0"/>
    <w:pPr>
      <w:numPr>
        <w:ilvl w:val="2"/>
        <w:numId w:val="32"/>
      </w:numPr>
      <w:spacing w:before="50" w:after="50"/>
      <w:outlineLvl w:val="3"/>
    </w:pPr>
  </w:style>
  <w:style w:type="paragraph" w:customStyle="1" w:styleId="251">
    <w:name w:val="一级条标题"/>
    <w:next w:val="234"/>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52">
    <w:name w:val="字母编号列项（一级）"/>
    <w:uiPriority w:val="0"/>
    <w:pPr>
      <w:numPr>
        <w:ilvl w:val="0"/>
        <w:numId w:val="33"/>
      </w:numPr>
      <w:jc w:val="both"/>
    </w:pPr>
    <w:rPr>
      <w:rFonts w:ascii="宋体" w:hAnsi="Times New Roman" w:eastAsia="宋体" w:cs="Times New Roman"/>
      <w:sz w:val="21"/>
      <w:lang w:val="en-US" w:eastAsia="zh-CN" w:bidi="ar-SA"/>
    </w:rPr>
  </w:style>
  <w:style w:type="paragraph" w:customStyle="1" w:styleId="253">
    <w:name w:val="数字标题"/>
    <w:basedOn w:val="254"/>
    <w:qFormat/>
    <w:uiPriority w:val="0"/>
    <w:pPr>
      <w:numPr>
        <w:ilvl w:val="0"/>
        <w:numId w:val="34"/>
      </w:numPr>
      <w:tabs>
        <w:tab w:val="left" w:pos="851"/>
      </w:tabs>
    </w:pPr>
  </w:style>
  <w:style w:type="paragraph" w:customStyle="1" w:styleId="254">
    <w:name w:val="数字编号列项（二级）"/>
    <w:uiPriority w:val="0"/>
    <w:pPr>
      <w:ind w:left="1259" w:hanging="420"/>
      <w:jc w:val="both"/>
    </w:pPr>
    <w:rPr>
      <w:rFonts w:ascii="宋体" w:hAnsi="Times New Roman"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jpeg"/><Relationship Id="rId36" Type="http://schemas.openxmlformats.org/officeDocument/2006/relationships/image" Target="media/image1.tiff"/><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ingying\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25B7B2C3B140C08AE291FAD225E0BA"/>
        <w:style w:val=""/>
        <w:category>
          <w:name w:val="常规"/>
          <w:gallery w:val="placeholder"/>
        </w:category>
        <w:types>
          <w:type w:val="bbPlcHdr"/>
        </w:types>
        <w:behaviors>
          <w:behavior w:val="content"/>
        </w:behaviors>
        <w:description w:val=""/>
        <w:guid w:val="{0738D2FA-5E0A-49E4-A56B-5A899D5D7C1E}"/>
      </w:docPartPr>
      <w:docPartBody>
        <w:p>
          <w:pPr>
            <w:pStyle w:val="5"/>
            <w:rPr>
              <w:rFonts w:hint="eastAsia"/>
            </w:rPr>
          </w:pPr>
          <w:r>
            <w:rPr>
              <w:rStyle w:val="4"/>
              <w:rFonts w:hint="eastAsia"/>
            </w:rPr>
            <w:t>单击或点击此处输入文字。</w:t>
          </w:r>
        </w:p>
      </w:docPartBody>
    </w:docPart>
    <w:docPart>
      <w:docPartPr>
        <w:name w:val="87F2704C4C89454FA9C5DF2B0D4A3E40"/>
        <w:style w:val=""/>
        <w:category>
          <w:name w:val="常规"/>
          <w:gallery w:val="placeholder"/>
        </w:category>
        <w:types>
          <w:type w:val="bbPlcHdr"/>
        </w:types>
        <w:behaviors>
          <w:behavior w:val="content"/>
        </w:behaviors>
        <w:description w:val=""/>
        <w:guid w:val="{A2ED303F-D2C8-492A-9D3F-86BE2786EC49}"/>
      </w:docPartPr>
      <w:docPartBody>
        <w:p>
          <w:pPr>
            <w:pStyle w:val="6"/>
            <w:rPr>
              <w:rFonts w:hint="eastAsia"/>
            </w:rPr>
          </w:pPr>
          <w:r>
            <w:rPr>
              <w:rStyle w:val="4"/>
              <w:rFonts w:hint="eastAsia"/>
            </w:rPr>
            <w:t>选择一项。</w:t>
          </w:r>
        </w:p>
      </w:docPartBody>
    </w:docPart>
    <w:docPart>
      <w:docPartPr>
        <w:name w:val="F5DBA147FFD64E51B681FA6BF84239F7"/>
        <w:style w:val=""/>
        <w:category>
          <w:name w:val="常规"/>
          <w:gallery w:val="placeholder"/>
        </w:category>
        <w:types>
          <w:type w:val="bbPlcHdr"/>
        </w:types>
        <w:behaviors>
          <w:behavior w:val="content"/>
        </w:behaviors>
        <w:description w:val=""/>
        <w:guid w:val="{0E4CFBDC-7DD2-4887-AB0B-4CBEEE46BACE}"/>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B"/>
    <w:rsid w:val="0000478F"/>
    <w:rsid w:val="000111BB"/>
    <w:rsid w:val="00067F38"/>
    <w:rsid w:val="000F4B0C"/>
    <w:rsid w:val="00116EBC"/>
    <w:rsid w:val="00192A43"/>
    <w:rsid w:val="001F110E"/>
    <w:rsid w:val="001F6DDB"/>
    <w:rsid w:val="0020444B"/>
    <w:rsid w:val="00211BBB"/>
    <w:rsid w:val="00213EE3"/>
    <w:rsid w:val="002B09A5"/>
    <w:rsid w:val="00302F41"/>
    <w:rsid w:val="00331180"/>
    <w:rsid w:val="003B7737"/>
    <w:rsid w:val="003D244C"/>
    <w:rsid w:val="003F7F45"/>
    <w:rsid w:val="004976E0"/>
    <w:rsid w:val="004C2371"/>
    <w:rsid w:val="005F273E"/>
    <w:rsid w:val="0067142F"/>
    <w:rsid w:val="006870D8"/>
    <w:rsid w:val="00715FCA"/>
    <w:rsid w:val="00722A89"/>
    <w:rsid w:val="007B32C4"/>
    <w:rsid w:val="007B41F1"/>
    <w:rsid w:val="0083048A"/>
    <w:rsid w:val="008D4154"/>
    <w:rsid w:val="009372EF"/>
    <w:rsid w:val="00950261"/>
    <w:rsid w:val="0095135E"/>
    <w:rsid w:val="00990287"/>
    <w:rsid w:val="00A011C4"/>
    <w:rsid w:val="00A30717"/>
    <w:rsid w:val="00A3792D"/>
    <w:rsid w:val="00A65C9F"/>
    <w:rsid w:val="00A80E71"/>
    <w:rsid w:val="00A96ECD"/>
    <w:rsid w:val="00AC2512"/>
    <w:rsid w:val="00C61F4E"/>
    <w:rsid w:val="00CF58CD"/>
    <w:rsid w:val="00D01AF2"/>
    <w:rsid w:val="00D11D67"/>
    <w:rsid w:val="00D958A9"/>
    <w:rsid w:val="00DC5852"/>
    <w:rsid w:val="00E041E9"/>
    <w:rsid w:val="00EA7C48"/>
    <w:rsid w:val="00ED153F"/>
    <w:rsid w:val="00F85493"/>
    <w:rsid w:val="00F901EB"/>
    <w:rsid w:val="00FA140C"/>
    <w:rsid w:val="00FB1FB2"/>
    <w:rsid w:val="00FC57AE"/>
    <w:rsid w:val="00FE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925B7B2C3B140C08AE291FAD225E0BA"/>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7F2704C4C89454FA9C5DF2B0D4A3E4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5DBA147FFD64E51B681FA6BF84239F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129</Pages>
  <Words>51406</Words>
  <Characters>61174</Characters>
  <Lines>5097</Lines>
  <Paragraphs>6254</Paragraphs>
  <TotalTime>1</TotalTime>
  <ScaleCrop>false</ScaleCrop>
  <LinksUpToDate>false</LinksUpToDate>
  <CharactersWithSpaces>106326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2025-07-13T08:25:00Z</dcterms:created>
  <dc:creator>周鳞真</dc:creator>
  <dc:description>&lt;config cover="true" show_menu="true" version="1.0.0" doctype="SDKXY"&gt;_x000d_
&lt;/config&gt;</dc:description>
  <cp:lastModifiedBy>周鳞真</cp:lastModifiedBy>
  <cp:lastPrinted>2020-09-01T10:00:00Z</cp:lastPrinted>
  <dcterms:modified xsi:type="dcterms:W3CDTF">2025-07-18T01:42:10Z</dcterms:modified>
  <dc:title>地方标准</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2052-11.8.2.12094</vt:lpwstr>
  </property>
  <property fmtid="{D5CDD505-2E9C-101B-9397-08002B2CF9AE}" pid="16" name="ICV">
    <vt:lpwstr>971FD6814FD14770BD67474B327A993F</vt:lpwstr>
  </property>
  <property fmtid="{D5CDD505-2E9C-101B-9397-08002B2CF9AE}" pid="17" name="_DocHome">
    <vt:i4>50548990</vt:i4>
  </property>
</Properties>
</file>