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B643">
      <w:pPr>
        <w:keepNext w:val="0"/>
        <w:keepLines w:val="0"/>
        <w:pageBreakBefore w:val="0"/>
        <w:wordWrap/>
        <w:overflowPunct/>
        <w:topLinePunct w:val="0"/>
        <w:bidi w:val="0"/>
        <w:spacing w:beforeLines="0" w:after="0" w:afterLines="0" w:line="560" w:lineRule="exact"/>
        <w:jc w:val="both"/>
        <w:outlineLvl w:val="0"/>
        <w:rPr>
          <w:rFonts w:hint="default" w:ascii="黑体" w:hAnsi="黑体" w:eastAsia="黑体" w:cs="黑体"/>
          <w:snapToGrid w:val="0"/>
          <w:color w:val="auto"/>
          <w:spacing w:val="5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5"/>
          <w:kern w:val="0"/>
          <w:sz w:val="32"/>
          <w:szCs w:val="32"/>
          <w:highlight w:val="none"/>
          <w:u w:val="none"/>
          <w:lang w:val="en-US" w:eastAsia="zh-CN"/>
        </w:rPr>
        <w:t>附件1</w:t>
      </w:r>
    </w:p>
    <w:p w14:paraId="79044A4A">
      <w:pPr>
        <w:keepNext w:val="0"/>
        <w:keepLines w:val="0"/>
        <w:pageBreakBefore w:val="0"/>
        <w:wordWrap/>
        <w:overflowPunct/>
        <w:topLinePunct w:val="0"/>
        <w:bidi w:val="0"/>
        <w:spacing w:beforeLines="0" w:after="0" w:afterLines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5"/>
          <w:kern w:val="0"/>
          <w:sz w:val="44"/>
          <w:szCs w:val="44"/>
          <w:highlight w:val="none"/>
          <w:u w:val="none"/>
          <w:lang w:val="en-US" w:eastAsia="zh-CN"/>
        </w:rPr>
      </w:pPr>
      <w:bookmarkStart w:id="0" w:name="OLE_LINK2"/>
    </w:p>
    <w:p w14:paraId="16911AC4">
      <w:pPr>
        <w:keepNext w:val="0"/>
        <w:keepLines w:val="0"/>
        <w:pageBreakBefore w:val="0"/>
        <w:wordWrap/>
        <w:overflowPunct/>
        <w:topLinePunct w:val="0"/>
        <w:bidi w:val="0"/>
        <w:spacing w:beforeLines="0" w:after="0" w:afterLines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5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5"/>
          <w:kern w:val="0"/>
          <w:sz w:val="44"/>
          <w:szCs w:val="44"/>
          <w:highlight w:val="none"/>
          <w:u w:val="none"/>
          <w:lang w:val="en-US" w:eastAsia="zh-CN"/>
        </w:rPr>
        <w:t>北京市关于建设数据要素综合试验区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5"/>
          <w:kern w:val="0"/>
          <w:sz w:val="44"/>
          <w:szCs w:val="44"/>
          <w:highlight w:val="none"/>
          <w:u w:val="no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5"/>
          <w:kern w:val="0"/>
          <w:sz w:val="44"/>
          <w:szCs w:val="44"/>
          <w:highlight w:val="none"/>
          <w:u w:val="none"/>
          <w:lang w:val="en-US" w:eastAsia="zh-CN"/>
        </w:rPr>
        <w:t>的实施意见</w:t>
      </w:r>
      <w:bookmarkEnd w:id="0"/>
    </w:p>
    <w:p w14:paraId="62F104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（征求意见稿）</w:t>
      </w:r>
    </w:p>
    <w:p w14:paraId="340759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</w:p>
    <w:p w14:paraId="3C76E1B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为贯彻党中央、国务院关于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  <w:t>数据要素市场化配置改革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的决策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部署，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落实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 w:bidi="ar"/>
        </w:rPr>
        <w:t>《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中共北京市委贯彻〈中共中央关于进一步全面深化改革、推进中国式现代化的决定〉的实施意见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》的要求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，充分释放数据要素活力，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全面激活数据要素价值，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培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育发展新质生产力，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推动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  <w:t>北京高质量发展，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结合本市实际，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制定本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  <w:t>实施意见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。</w:t>
      </w:r>
    </w:p>
    <w:p w14:paraId="4E317A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1"/>
        <w:rPr>
          <w:rFonts w:eastAsia="黑体"/>
          <w:color w:val="auto"/>
          <w:sz w:val="32"/>
          <w:szCs w:val="32"/>
          <w:highlight w:val="none"/>
          <w:u w:val="none"/>
        </w:rPr>
      </w:pPr>
      <w:bookmarkStart w:id="1" w:name="_Toc3037"/>
      <w:bookmarkStart w:id="2" w:name="_Toc2651"/>
      <w:bookmarkStart w:id="3" w:name="_Toc5699"/>
      <w:bookmarkStart w:id="4" w:name="_Toc3961"/>
      <w:bookmarkStart w:id="5" w:name="_Toc14006"/>
      <w:bookmarkStart w:id="6" w:name="_Toc14272"/>
      <w:bookmarkStart w:id="7" w:name="_Toc26387"/>
      <w:bookmarkStart w:id="8" w:name="_Toc28584"/>
      <w:bookmarkStart w:id="9" w:name="_Toc26403"/>
      <w:bookmarkStart w:id="10" w:name="_Toc12787"/>
      <w:bookmarkStart w:id="11" w:name="_Toc2976"/>
      <w:bookmarkStart w:id="12" w:name="_Toc3490"/>
      <w:bookmarkStart w:id="13" w:name="_Toc12570"/>
      <w:bookmarkStart w:id="14" w:name="_Toc29793"/>
      <w:bookmarkStart w:id="15" w:name="_Toc29283"/>
      <w:bookmarkStart w:id="16" w:name="_Toc16134"/>
      <w:bookmarkStart w:id="17" w:name="_Toc427"/>
      <w:bookmarkStart w:id="18" w:name="_Toc31958"/>
      <w:bookmarkStart w:id="19" w:name="_Toc8050"/>
      <w:bookmarkStart w:id="20" w:name="_Toc1530"/>
      <w:bookmarkStart w:id="21" w:name="_Toc28212"/>
      <w:bookmarkStart w:id="22" w:name="_Toc29482"/>
      <w:bookmarkStart w:id="23" w:name="_Toc20364"/>
      <w:bookmarkStart w:id="24" w:name="_Toc5656"/>
      <w:bookmarkStart w:id="25" w:name="_Toc29426"/>
      <w:bookmarkStart w:id="26" w:name="_Toc9610"/>
      <w:r>
        <w:rPr>
          <w:rFonts w:hint="eastAsia" w:eastAsia="黑体"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eastAsia="黑体"/>
          <w:color w:val="auto"/>
          <w:sz w:val="32"/>
          <w:szCs w:val="32"/>
          <w:highlight w:val="none"/>
          <w:u w:val="none"/>
        </w:rPr>
        <w:t>、总体要求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FAFE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以习近平新时代中国特色社会主义思想为指导，全面贯彻党的二十大和二十届二中、三中全会精神，</w:t>
      </w:r>
      <w:bookmarkStart w:id="27" w:name="OLE_LINK1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完整准确全面贯彻新发展理念，</w:t>
      </w:r>
      <w:bookmarkEnd w:id="27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数据要素市场化配置改革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主线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统筹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发展和安全，夯实数据基础制度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数据基础设施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两大基础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打通数据供给、流通、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用和安全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构筑数据技术创新、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要素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服务和产业发展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大体系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数据要素综合试验区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，打造国家数据管理中心、国家数据资源中心和国家数据流通交易中心，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国家数据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科技创新策源地和发展高地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</w:t>
      </w:r>
    </w:p>
    <w:p w14:paraId="770893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到2027年，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数据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制度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建设与实践探索的良性互动，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可信数据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设施基本建成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高质量数据资源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供给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规模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明显提升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数据产品和服务不断丰富，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数据市场培育取得突破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国家数据要素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综合试验区系列任务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在京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率先完成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到2029年，数据要素实现顺畅流动、高效配置，城市全域数字化转型全面突破，数据赋能产业深度转型，数据主体创新活力全面激发，数据流通交易繁荣有序，数据要素成为北京城市竞争新优势，有效赋能经济社会高质量发展。</w:t>
      </w:r>
    </w:p>
    <w:p w14:paraId="334B8F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1"/>
        <w:rPr>
          <w:rFonts w:hint="eastAsia" w:eastAsia="黑体"/>
          <w:color w:val="auto"/>
          <w:sz w:val="32"/>
          <w:szCs w:val="32"/>
          <w:highlight w:val="none"/>
          <w:u w:val="none"/>
        </w:rPr>
      </w:pPr>
      <w:bookmarkStart w:id="28" w:name="_Toc29383"/>
      <w:bookmarkStart w:id="29" w:name="_Toc405"/>
      <w:bookmarkStart w:id="30" w:name="_Toc15276"/>
      <w:bookmarkStart w:id="31" w:name="_Toc29837"/>
      <w:bookmarkStart w:id="32" w:name="_Toc20223"/>
      <w:bookmarkStart w:id="33" w:name="_Toc25827"/>
      <w:bookmarkStart w:id="34" w:name="_Toc9627"/>
      <w:bookmarkStart w:id="35" w:name="_Toc4392"/>
      <w:bookmarkStart w:id="36" w:name="_Toc15788"/>
      <w:bookmarkStart w:id="37" w:name="_Toc550"/>
      <w:bookmarkStart w:id="38" w:name="_Toc13202"/>
      <w:bookmarkStart w:id="39" w:name="_Toc7020"/>
      <w:bookmarkStart w:id="40" w:name="_Toc3797"/>
      <w:bookmarkStart w:id="41" w:name="_Toc32443"/>
      <w:bookmarkStart w:id="42" w:name="_Toc31034"/>
      <w:bookmarkStart w:id="43" w:name="_Toc31375"/>
      <w:bookmarkStart w:id="44" w:name="_Toc32138"/>
      <w:bookmarkStart w:id="45" w:name="_Toc1153"/>
      <w:bookmarkStart w:id="46" w:name="_Toc5198"/>
      <w:bookmarkStart w:id="47" w:name="_Toc31649"/>
      <w:bookmarkStart w:id="48" w:name="_Toc1666"/>
      <w:bookmarkStart w:id="49" w:name="_Toc31798"/>
      <w:bookmarkStart w:id="50" w:name="_Toc22742"/>
      <w:bookmarkStart w:id="51" w:name="_Toc9691"/>
      <w:bookmarkStart w:id="52" w:name="_Toc24204"/>
      <w:bookmarkStart w:id="53" w:name="_Toc20171"/>
      <w:r>
        <w:rPr>
          <w:rFonts w:hint="eastAsia" w:eastAsia="黑体"/>
          <w:color w:val="auto"/>
          <w:sz w:val="32"/>
          <w:szCs w:val="32"/>
          <w:highlight w:val="none"/>
          <w:u w:val="none"/>
          <w:lang w:val="en-US" w:eastAsia="zh-CN"/>
        </w:rPr>
        <w:t>二、夯实数据要素基础环境</w:t>
      </w:r>
    </w:p>
    <w:p w14:paraId="41E3C0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eastAsia="楷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楷体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eastAsia="楷体"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eastAsia="楷体"/>
          <w:color w:val="auto"/>
          <w:sz w:val="32"/>
          <w:szCs w:val="32"/>
          <w:highlight w:val="none"/>
          <w:u w:val="none"/>
          <w:lang w:eastAsia="zh-CN"/>
        </w:rPr>
        <w:t>）建立健全数据基础制度</w:t>
      </w:r>
    </w:p>
    <w:p w14:paraId="699012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落地数据产权结构性分置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制度，鼓励数据复用融合、创新创造及有序流转。创新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数据流通交易制度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，完善场内场外结合的交易规则体系，培育壮大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场内交易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，规范引导场外交易。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建立公共数据资源授权运营价格形成机制，核定运营机构最高准许收入，制定各类产品和服务的上限收费标准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引导形成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“由市场评价贡献、按贡献决定报酬”的数据收益分配机制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，保障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数据市场主体依法依规享有收益权利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。健全数据安全治理制度，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完善数据流通安全、数据流通交易责任界定等机制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，提升数据流通风险防范能力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推动数据要素综合性立法。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行业数据流通合规指引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数据资产管理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、平台数据合规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供给、衍生数据认定、数据跨境流动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等制定一批特色创新制度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发挥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北京市数据标准化技术委员会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作用，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推动制定公共数据分类分级、公共数据授权运营、数据匿名化处理、数据流通安全评估等一批急需标准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4EFBD2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default" w:eastAsia="楷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楷体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eastAsia="楷体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eastAsia="楷体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eastAsia="楷体"/>
          <w:color w:val="auto"/>
          <w:sz w:val="32"/>
          <w:szCs w:val="32"/>
          <w:highlight w:val="none"/>
          <w:u w:val="none"/>
          <w:lang w:val="en-US" w:eastAsia="zh-CN"/>
        </w:rPr>
        <w:t>超前</w:t>
      </w:r>
      <w:r>
        <w:rPr>
          <w:rFonts w:hint="eastAsia" w:eastAsia="楷体"/>
          <w:color w:val="auto"/>
          <w:sz w:val="32"/>
          <w:szCs w:val="32"/>
          <w:highlight w:val="none"/>
          <w:u w:val="none"/>
        </w:rPr>
        <w:t>部署数据</w:t>
      </w:r>
      <w:r>
        <w:rPr>
          <w:rFonts w:hint="eastAsia" w:eastAsia="楷体"/>
          <w:color w:val="auto"/>
          <w:sz w:val="32"/>
          <w:szCs w:val="32"/>
          <w:highlight w:val="none"/>
          <w:u w:val="none"/>
          <w:lang w:val="en-US" w:eastAsia="zh-CN"/>
        </w:rPr>
        <w:t>基础</w:t>
      </w:r>
      <w:r>
        <w:rPr>
          <w:rFonts w:hint="eastAsia" w:eastAsia="楷体"/>
          <w:color w:val="auto"/>
          <w:sz w:val="32"/>
          <w:szCs w:val="32"/>
          <w:highlight w:val="none"/>
          <w:u w:val="none"/>
        </w:rPr>
        <w:t>设施</w:t>
      </w:r>
    </w:p>
    <w:p w14:paraId="4E32E0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en-US"/>
        </w:rPr>
        <w:t>构建高速互联、高效调度、开放普惠、安全可靠的数据基础设施体系。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en-US"/>
        </w:rPr>
        <w:t>加快</w:t>
      </w:r>
      <w:r>
        <w:rPr>
          <w:rFonts w:ascii="仿宋_GB2312" w:hAnsi="仿宋_GB2312" w:eastAsia="仿宋_GB2312" w:cs="仿宋_GB2312"/>
          <w:kern w:val="0"/>
          <w:sz w:val="32"/>
          <w:szCs w:val="32"/>
          <w:u w:val="none"/>
          <w:lang w:bidi="en-US"/>
        </w:rPr>
        <w:t>IPv6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en-US"/>
        </w:rPr>
        <w:t>规模部署和应用，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建设新型互联网交换中心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en-US"/>
        </w:rPr>
        <w:t>，提升网络承载和互联互通能力。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高水平谋划一体化算力网，建设算力监测平台，升级算力服务平台和算力互联平台，实现算力监测管理和调度服务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。深入推进国家数据流通利用基础设施试点，综合数场、可信数据空间、数据元件、区块链、隐私计算等技术方向，建设数据流通利用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增值协作网络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打造可信数据传输通道、受控式数据开发空间和安全透明的协作环境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鼓励建设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行业数据流通平台并推动互联互通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实施可信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空间发展行动计划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推进企业、行业、城市、个人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、跨境五类可信数据空间建设。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鼓励围绕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质量评价、价值评估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等建设一批数据服务平台，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促进数据资源的价值挖掘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 w:bidi="ar"/>
        </w:rPr>
        <w:t>。</w:t>
      </w:r>
    </w:p>
    <w:p w14:paraId="04B0B8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1"/>
        <w:rPr>
          <w:rFonts w:hint="default" w:eastAsia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eastAsia="黑体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eastAsia="黑体"/>
          <w:color w:val="auto"/>
          <w:sz w:val="32"/>
          <w:szCs w:val="32"/>
          <w:highlight w:val="none"/>
          <w:u w:val="none"/>
          <w:lang w:val="en-US" w:eastAsia="zh-CN"/>
        </w:rPr>
        <w:t>释放数据要素市场价值</w:t>
      </w:r>
    </w:p>
    <w:p w14:paraId="0F6969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）加强多主体数据资源供给</w:t>
      </w:r>
    </w:p>
    <w:p w14:paraId="35EB4DA6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 w:bidi="ar"/>
        </w:rPr>
        <w:t>有效扩大公共数据供给。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制定公共数据开发利用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实施意见，完善共享、开放和授权运营等配套制度。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公共数据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管理机制，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推动各行业领域、各区公共数据上链汇聚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完善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"/>
        </w:rPr>
        <w:t>“一数一源一标准”治理机制</w:t>
      </w:r>
      <w:r>
        <w:rPr>
          <w:rFonts w:hint="eastAsia" w:ascii="仿宋_GB2312" w:hAnsi="Calibri" w:eastAsia="仿宋_GB2312" w:cs="仿宋_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" w:bidi="ar"/>
        </w:rPr>
        <w:t>，</w:t>
      </w:r>
      <w:r>
        <w:rPr>
          <w:rFonts w:hint="default" w:ascii="仿宋_GB2312" w:hAnsi="Calibri" w:eastAsia="仿宋_GB2312" w:cs="仿宋_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"/>
        </w:rPr>
        <w:t>加强公共数据</w:t>
      </w:r>
      <w:r>
        <w:rPr>
          <w:rFonts w:hint="eastAsia" w:ascii="仿宋_GB2312" w:hAnsi="Calibri" w:eastAsia="仿宋_GB2312" w:cs="仿宋_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"/>
        </w:rPr>
        <w:t>供给</w:t>
      </w:r>
      <w:r>
        <w:rPr>
          <w:rFonts w:hint="default" w:ascii="仿宋_GB2312" w:hAnsi="Calibri" w:eastAsia="仿宋_GB2312" w:cs="仿宋_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"/>
        </w:rPr>
        <w:t>质量评估和监督检查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加强数据共享协调，推动公共数据“应共享、尽共享”，促进市级数据下沉和基层数据反哺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。建立开放数据的“接诉即办”机制，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受理、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响应社会主体的数据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和应用反馈。探索政企合作方式开展开放平台基础设施建设和运营，提升创新数据产品的开发效率和价值转化能力。建立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" w:bidi="ar"/>
        </w:rPr>
        <w:t>公共数据分类分级授权机制，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积极推动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" w:bidi="ar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领域授权、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" w:bidi="ar"/>
        </w:rPr>
        <w:t>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场景授权，探索整体授权运营。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深化金融公共数据专区运营，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加快建设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三医、气象、时空等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一批公共数据专区。加强央地协同，推进与国家部委、央企总部建立数据合作机制，加快形成权责清晰的部市协同授权运营模式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7F6382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创新企业和个人数据供给。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提高数据治理能力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企业价值链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环节的数据资源体系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。引导行业龙头企业、互联网平台企业发挥带动作用，促进与中小微企业双向公平授权</w:t>
      </w:r>
      <w:r>
        <w:rPr>
          <w:rFonts w:hint="eastAsia" w:eastAsia="仿宋_GB2312" w:cs="Arial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引导龙头链主企业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面向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链的数据融合增值服务，赋能产业转型升级。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企业面向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生态伙伴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合规供给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数据资源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提升平台生态能级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eastAsia="仿宋_GB2312" w:cs="Arial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/>
          <w:lang w:val="en-US" w:eastAsia="zh-CN" w:bidi="ar"/>
        </w:rPr>
        <w:t>鼓励企业依托其合法获取和持有的数据开发创造衍生数据，支持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采取共享开放、交换交易、资源置换等多种方式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开放数据资源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第三方机构建设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数据资源开放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仿宋_GB2312" w:cs="Arial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/>
          <w:lang w:val="en-US" w:eastAsia="zh-CN" w:bidi="ar"/>
        </w:rPr>
        <w:t>丰富企业数据供给。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highlight w:val="none"/>
          <w:u w:val="none"/>
          <w:lang w:bidi="ar"/>
        </w:rPr>
        <w:t>完善个人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highlight w:val="none"/>
          <w:u w:val="none"/>
          <w:lang w:bidi="ar"/>
        </w:rPr>
        <w:t>权益保障机制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个人数据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匿名化处理，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highlight w:val="none"/>
          <w:u w:val="none"/>
          <w:lang w:val="en-US" w:eastAsia="zh-CN" w:bidi="ar"/>
        </w:rPr>
        <w:t>探索个人数据授权链管理，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个人数据合规供给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2AF967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加快建设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高质量数据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u w:val="none"/>
        </w:rPr>
        <w:t>制定高质量数据集建设实施方案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建立数据资源方、数据加工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方、AI大模型训练方、场景应用需求方等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多方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合作共建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收益分享机制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加强高质量数据集供需对接与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场景推广，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探索数据集供给“结对子”模式，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引导数据企业和人工智能企业“点对点”开放使用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培育一批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高质量数据集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平台，支撑高质量数据集一站式采集、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加工处理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、评估与服务。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医疗健康、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教学、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交通运输、文化旅游、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政务服务、科学研究、工业制造、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能源电力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形成一批重点领域高质量数据集。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完善人工智能数据运营平台，打造国家级人工智能语料库。</w:t>
      </w:r>
    </w:p>
    <w:p w14:paraId="2510E4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）推动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多层次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数据资源流通</w:t>
      </w:r>
    </w:p>
    <w:p w14:paraId="252E40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打造国家级数据交易所。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支持北京国际大数据交易所强化规则引领、夯实技术支撑、提升定价能力、构建交易生态。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en-US"/>
        </w:rPr>
        <w:t>完善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en-US"/>
        </w:rPr>
        <w:t>数据交易规则体系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建立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违规行为发现、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交易争议解决机制，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引领数据交易行业自治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数据流通利用基础设施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数据流通交易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技术能力，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为场内集中交易和场外分散交易提供低成本、高效率、可信赖的数据交付环境。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提升数据产品、数据资产评估定价能力，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引导建立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公允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的数据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市场价格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加快培育和聚拢全链条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数商，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活跃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数据流通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交易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生态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支持北京国际大数据交易所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其他数据交易机构、数据流通交易平台互认互通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，实现数据交易量质的大幅提升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成为全国一体化数据要素市场的重要枢纽。</w:t>
      </w:r>
    </w:p>
    <w:p w14:paraId="64CE8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繁荣数据要素市场。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鼓励发展数据资源、数据产品、数据资产等多类型数据流通交易。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推动数据资源依托数据流通利用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基础设施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实现跨主体、跨平台安全合规流通，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以公共数据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增值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产品入场引领高价值、高频次数据流通交易，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探索数据入股、数据信贷、数据信托和数据资产证券化等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资产流通模式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val="en-US" w:eastAsia="zh-CN"/>
        </w:rPr>
        <w:t>探索推进数据资产统计核算。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支持企业通过自主开发、合作开发、委托运营等方式，丰富数据产品供给、提升数据产品质量。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支持数据流通交易平台互联互通、提高交易效率，降低交易综合成本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鼓励龙头链主企业围绕京津冀特色产业链，加强数据资源汇聚流通，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三地数据产业布局优化和协作能力提升。</w:t>
      </w:r>
    </w:p>
    <w:p w14:paraId="01FEF0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有序推进数据跨境流动。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持续优化升级我市数据跨境流动政策、服务、技术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监管体系。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在中国（北京）自由贸易试验区推动数据跨境负面清单落地，持续扩展负面清单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覆盖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构建数据跨境便利化服务体系，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提升数据跨境服务中心、数据出境“绿色通道”服务能级，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培育一批数据跨境合规评估服务机构，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拓展服务覆盖范围，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降低企业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数据跨境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有跨境合作需求的数据平台的对等开放，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数据跨境双向流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创新发展数字贸易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对接高标准国际经贸规则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北京数字贸易政策制度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建设</w:t>
      </w:r>
      <w:bookmarkStart w:id="54" w:name="OLE_LINK3"/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国际信息产业和数字贸易</w:t>
      </w:r>
      <w:bookmarkEnd w:id="54"/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港、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国际数据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口岸，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促进数字贸易企业集群化发展。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支持数据领域企业出海，积极融入全球数据价值链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25BCF5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）促进多场景数据资源应用</w:t>
      </w:r>
    </w:p>
    <w:p w14:paraId="16197087">
      <w:pPr>
        <w:pStyle w:val="2"/>
        <w:autoSpaceDE w:val="0"/>
        <w:autoSpaceDN w:val="0"/>
        <w:adjustRightInd w:val="0"/>
        <w:snapToGrid w:val="0"/>
        <w:spacing w:beforeLines="0" w:afterLines="0" w:line="56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以智慧城市建设为牵引，深化北京全域数字化转型，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统筹推进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数字经济、数字政务、数字社会、数字文化、数字生态文明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建设在京全面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落地。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0"/>
          <w:u w:val="none"/>
          <w:lang w:val="en-US" w:eastAsia="zh-CN" w:bidi="ar-SA"/>
        </w:rPr>
        <w:t>深入开展“数据要素</w:t>
      </w:r>
      <w:r>
        <w:rPr>
          <w:rFonts w:hint="default" w:ascii="Arial" w:hAnsi="Arial" w:eastAsia="仿宋_GB2312" w:cs="Arial"/>
          <w:snapToGrid w:val="0"/>
          <w:kern w:val="0"/>
          <w:sz w:val="32"/>
          <w:szCs w:val="40"/>
          <w:u w:val="none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0"/>
          <w:u w:val="none"/>
          <w:lang w:val="en-US" w:eastAsia="zh-CN" w:bidi="ar-SA"/>
        </w:rPr>
        <w:t>”行动，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val="en-US" w:eastAsia="zh-CN"/>
        </w:rPr>
        <w:t>组织“数据要素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40"/>
          <w:u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val="en-US" w:eastAsia="zh-CN"/>
        </w:rPr>
        <w:t>”大赛和开放创新大赛，征集遴选“数据要素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40"/>
          <w:u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val="en-US" w:eastAsia="zh-CN"/>
        </w:rPr>
        <w:t>”典型案例，围绕工业制造、科技创新、医疗健康、交通运输、文化旅游、金融服务、绿色低碳等重点领域打造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eastAsia="zh-CN"/>
        </w:rPr>
        <w:t>应用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val="en-US" w:eastAsia="zh-CN"/>
        </w:rPr>
        <w:t>场景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eastAsia="zh-CN"/>
        </w:rPr>
        <w:t>示范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40"/>
          <w:u w:val="none"/>
          <w:lang w:val="en-US" w:eastAsia="zh-CN"/>
        </w:rPr>
        <w:t>深入开展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“人工智能+”行动，深化“人工智能+”示范场景和应用基地建设。统筹推进政务领域人工智能大模型开发应用。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支持各区结合自身优势发展特色应用，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推动核心区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围绕城市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朝阳区围绕场景创新应用，海淀区围绕“人工智能+”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副中心围绕全域特色场景落地，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u w:val="none"/>
        </w:rPr>
        <w:t>经开区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u w:val="none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u w:val="none"/>
        </w:rPr>
        <w:t>智慧城市和智能网联汽车“双智融合”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，打造智慧城市综合应用示范。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完善场景开放创新的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供需对接、揭榜攻关机制，定期发布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场景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开放清单，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鼓励打造跨领域、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跨区域、跨层级场景，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强化场景成果推广应用。</w:t>
      </w:r>
    </w:p>
    <w:p w14:paraId="1236E4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）强化多维度数据安全保障</w:t>
      </w:r>
    </w:p>
    <w:p w14:paraId="6A4317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发挥我市数据安全工作协调机制作用，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推动包容审慎监管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针对数据流通中的新技术、新产品、新模式、新业态，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探索建立“监管沙盒”机制，构建鼓励创新、弹性包容的安全治理环境。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数据脱敏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、隐私计算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区块链等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技术的研究与应用，提升数据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全生命周期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安全保障能力。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落实数据分类分级保护制度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应用或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出台医疗健康、自动驾驶等重点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数据分类分级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培育一批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第三方安全合规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服务机构，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鼓励龙头链主企业或大型平台企业开放安全合规服务能力，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降低企业数据安全合规成本。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推动保险机构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设计数据领域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保险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，合理分散风险。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发挥行业协会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引导作用，强化守信激励和失信惩戒，营造数据行业自律氛围。</w:t>
      </w:r>
    </w:p>
    <w:p w14:paraId="40FEB9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1"/>
        <w:rPr>
          <w:rFonts w:hint="default" w:eastAsia="黑体"/>
          <w:color w:val="auto"/>
          <w:sz w:val="32"/>
          <w:szCs w:val="40"/>
          <w:highlight w:val="none"/>
          <w:u w:val="none"/>
          <w:lang w:val="en-US"/>
        </w:rPr>
      </w:pPr>
      <w:r>
        <w:rPr>
          <w:rFonts w:hint="eastAsia" w:eastAsia="黑体"/>
          <w:color w:val="auto"/>
          <w:sz w:val="32"/>
          <w:szCs w:val="40"/>
          <w:highlight w:val="none"/>
          <w:u w:val="none"/>
          <w:lang w:val="en-US" w:eastAsia="zh-CN"/>
        </w:rPr>
        <w:t>四</w:t>
      </w:r>
      <w:r>
        <w:rPr>
          <w:rFonts w:eastAsia="黑体"/>
          <w:color w:val="auto"/>
          <w:sz w:val="32"/>
          <w:szCs w:val="40"/>
          <w:highlight w:val="none"/>
          <w:u w:val="none"/>
        </w:rPr>
        <w:t>、</w:t>
      </w:r>
      <w:r>
        <w:rPr>
          <w:rFonts w:hint="eastAsia" w:eastAsia="黑体"/>
          <w:color w:val="auto"/>
          <w:sz w:val="32"/>
          <w:szCs w:val="40"/>
          <w:highlight w:val="none"/>
          <w:u w:val="none"/>
          <w:lang w:val="en-US" w:eastAsia="zh-CN"/>
        </w:rPr>
        <w:t>发展数据要素生态体系</w:t>
      </w:r>
    </w:p>
    <w:p w14:paraId="2F8FD4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）构建数据技术创新体系</w:t>
      </w:r>
    </w:p>
    <w:p w14:paraId="649389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建立数据、科技、发改、经信、金融等跨部门协作的数据核心技术攻关机制，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围绕数据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采存传算管用各环节</w:t>
      </w:r>
      <w:r>
        <w:rPr>
          <w:rFonts w:eastAsia="仿宋_GB2312"/>
          <w:b w:val="0"/>
          <w:bCs w:val="0"/>
          <w:color w:val="auto"/>
          <w:sz w:val="32"/>
          <w:szCs w:val="40"/>
          <w:highlight w:val="none"/>
          <w:u w:val="none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难点和痛点，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研究提出数据领域关键技术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攻关计划，推动成果转化落地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bidi="ar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数据技术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和人工智能技术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开源生态发展，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推进数据技术和人工智能技术深度融合和创新应用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发挥企业创新主体作用，推动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产学研用单位联合组建数据技术创新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中心、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数据产品和技术评测机构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支持龙头企业建设一批行业数据要素创新中心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公共数据训练基地，统筹数据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算力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算法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供给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智慧城市协同创新仿真实验平台，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促进数据、技术、场景联动创新。</w:t>
      </w:r>
    </w:p>
    <w:p w14:paraId="43D0A4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完善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数据要素服务体系</w:t>
      </w:r>
    </w:p>
    <w:p w14:paraId="178037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畅通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数据领域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争议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</w:rPr>
        <w:t>渠道，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探索建立数据产权专业化纠纷调解和争议解决机制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推动北京知识产权法院、北京互联网法院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各自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组建涉数据要素案件专业审判团队，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数据流通交易责任的司法裁判规则。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律师协会适时出台行业指引，提升数据要素法律服务能力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支持各区设立特色数据要素服务中心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并提升在线服务能力，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完善全市数据要素服务网络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鼓励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合规认证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、质量评价、资产评估、安全审计、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风险评估、教育培训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等第三方专业服务机构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规范，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lang w:eastAsia="zh-CN"/>
        </w:rPr>
        <w:t>服务机构认定、评级，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打造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一流数据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专业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服务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为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全国一体化数据市场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提供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“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北京服务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”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7F9523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</w:pPr>
      <w:bookmarkStart w:id="55" w:name="_Toc29479"/>
      <w:bookmarkStart w:id="56" w:name="_Toc15986"/>
      <w:bookmarkStart w:id="57" w:name="_Toc754"/>
      <w:bookmarkStart w:id="58" w:name="_Toc12744"/>
      <w:bookmarkStart w:id="59" w:name="_Toc26534"/>
      <w:bookmarkStart w:id="60" w:name="_Toc1625"/>
      <w:bookmarkStart w:id="61" w:name="_Toc1672"/>
      <w:bookmarkStart w:id="62" w:name="_Toc4309"/>
      <w:bookmarkStart w:id="63" w:name="_Toc18000"/>
      <w:bookmarkStart w:id="64" w:name="_Toc30949"/>
      <w:bookmarkStart w:id="65" w:name="_Toc3488"/>
      <w:bookmarkStart w:id="66" w:name="_Toc13135"/>
      <w:bookmarkStart w:id="67" w:name="_Toc13014"/>
      <w:bookmarkStart w:id="68" w:name="_Toc2222"/>
      <w:bookmarkStart w:id="69" w:name="_Toc2363"/>
      <w:bookmarkStart w:id="70" w:name="_Toc4500"/>
      <w:bookmarkStart w:id="71" w:name="_Toc17488"/>
      <w:bookmarkStart w:id="72" w:name="_Toc13562"/>
      <w:bookmarkStart w:id="73" w:name="_Toc28331"/>
      <w:bookmarkStart w:id="74" w:name="_Toc4916"/>
      <w:bookmarkStart w:id="75" w:name="_Toc20696"/>
      <w:bookmarkStart w:id="76" w:name="_Toc32146"/>
      <w:bookmarkStart w:id="77" w:name="_Toc12645"/>
      <w:bookmarkStart w:id="78" w:name="_Toc26045"/>
      <w:bookmarkStart w:id="79" w:name="_Toc20246"/>
      <w:bookmarkStart w:id="80" w:name="_Toc11329"/>
      <w:bookmarkStart w:id="81" w:name="_Toc731"/>
      <w:bookmarkStart w:id="82" w:name="_Toc10104"/>
      <w:bookmarkStart w:id="83" w:name="_Toc26277"/>
      <w:bookmarkStart w:id="84" w:name="_Toc18013"/>
      <w:bookmarkStart w:id="85" w:name="_Toc9473"/>
      <w:bookmarkStart w:id="86" w:name="_Toc4081"/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（九）培育数据产业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发展体系</w:t>
      </w:r>
    </w:p>
    <w:p w14:paraId="6F7CAE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9"/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</w:pPr>
      <w:bookmarkStart w:id="87" w:name="OLE_LINK4"/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制定适应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数据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领域特征的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数据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产业发展政策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，开展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数据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梯度培育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仿宋_GB2312" w:cs="Arial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加快培育数据资源、数据技术、数据服务、数据应用、数据安全、数据基础设施等领域企业。</w:t>
      </w:r>
      <w:r>
        <w:rPr>
          <w:rFonts w:hint="default" w:ascii="Arial" w:hAnsi="Arial" w:eastAsia="仿宋_GB2312" w:cs="Arial"/>
          <w:b w:val="0"/>
          <w:bCs w:val="0"/>
          <w:color w:val="auto"/>
          <w:sz w:val="32"/>
          <w:szCs w:val="32"/>
          <w:highlight w:val="none"/>
          <w:u w:val="none"/>
          <w:lang w:bidi="ar"/>
        </w:rPr>
        <w:t>探索培育一批数据企业专业孵化器，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建立孵化器与数据流通交易平台的直通车，助力数据企业孵化成长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bidi="ar"/>
        </w:rPr>
        <w:t>。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持续遴选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培育</w:t>
      </w:r>
      <w:r>
        <w:rPr>
          <w:rFonts w:hint="default" w:ascii="Arial" w:hAnsi="Arial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bidi="ar"/>
        </w:rPr>
        <w:t>数据领域的</w:t>
      </w:r>
      <w:r>
        <w:rPr>
          <w:rFonts w:hint="eastAsia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专精特新企业</w:t>
      </w:r>
      <w:r>
        <w:rPr>
          <w:rFonts w:hint="default" w:ascii="Arial" w:hAnsi="Arial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bidi="ar"/>
        </w:rPr>
        <w:t>、独角兽企业</w:t>
      </w:r>
      <w:r>
        <w:rPr>
          <w:rFonts w:hint="eastAsia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Arial" w:hAnsi="Arial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bidi="ar"/>
        </w:rPr>
        <w:t>瞪羚企业等</w:t>
      </w:r>
      <w:r>
        <w:rPr>
          <w:rFonts w:hint="default" w:ascii="Arial" w:hAnsi="Arial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强化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bidi="ar"/>
        </w:rPr>
        <w:t>概念验证、场景打磨、融资路演、应用推广等服务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bidi="ar"/>
        </w:rPr>
        <w:t>，</w:t>
      </w:r>
      <w:r>
        <w:rPr>
          <w:rFonts w:hint="default" w:ascii="Arial" w:hAnsi="Arial" w:eastAsia="仿宋_GB2312" w:cs="Arial"/>
          <w:color w:val="auto"/>
          <w:spacing w:val="0"/>
          <w:kern w:val="0"/>
          <w:sz w:val="32"/>
          <w:szCs w:val="32"/>
          <w:highlight w:val="none"/>
          <w:u w:val="none"/>
          <w:lang w:bidi="ar"/>
        </w:rPr>
        <w:t>助力企业快速成长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bookmarkEnd w:id="87"/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支持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数据企业上市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加强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北京国际大数据交易所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与北京证券交易所联动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eastAsia="仿宋_GB2312" w:cs="Arial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优化数据产业空间布局</w:t>
      </w:r>
      <w:r>
        <w:rPr>
          <w:rFonts w:hint="eastAsia" w:eastAsia="仿宋_GB2312" w:cs="Arial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/>
          <w:lang w:val="en-US" w:eastAsia="zh-CN" w:bidi="ar"/>
        </w:rPr>
        <w:t>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支持各区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基于区域特色，加强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数据、人才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技术资源集聚，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打造一批协同互补、特色发展、具有国际竞争力的数据产业集聚区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eastAsia="仿宋_GB2312" w:cs="Arial"/>
          <w:color w:val="auto"/>
          <w:sz w:val="32"/>
          <w:szCs w:val="32"/>
          <w:highlight w:val="none"/>
          <w:u w:val="none"/>
          <w:lang w:val="en-US" w:eastAsia="zh-CN"/>
        </w:rPr>
        <w:t>完善集聚区支持政策，便利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</w:rPr>
        <w:t>数据企业用数、用云、用电、用地。</w:t>
      </w:r>
    </w:p>
    <w:p w14:paraId="58E27DB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1"/>
        <w:rPr>
          <w:rFonts w:eastAsia="黑体"/>
          <w:color w:val="auto"/>
          <w:sz w:val="32"/>
          <w:szCs w:val="40"/>
          <w:highlight w:val="none"/>
          <w:u w:val="none"/>
        </w:rPr>
      </w:pPr>
      <w:bookmarkStart w:id="88" w:name="_Toc19891"/>
      <w:bookmarkStart w:id="89" w:name="_Toc1786"/>
      <w:bookmarkStart w:id="90" w:name="_Toc12707"/>
      <w:bookmarkStart w:id="91" w:name="_Toc17304"/>
      <w:bookmarkStart w:id="92" w:name="_Toc17676"/>
      <w:bookmarkStart w:id="93" w:name="_Toc1600"/>
      <w:bookmarkStart w:id="94" w:name="_Toc4092"/>
      <w:bookmarkStart w:id="95" w:name="_Toc7335"/>
      <w:bookmarkStart w:id="96" w:name="_Toc5861"/>
      <w:bookmarkStart w:id="97" w:name="_Toc13773"/>
      <w:bookmarkStart w:id="98" w:name="_Toc850"/>
      <w:bookmarkStart w:id="99" w:name="_Toc11731"/>
      <w:bookmarkStart w:id="100" w:name="_Toc12346"/>
      <w:bookmarkStart w:id="101" w:name="_Toc14136"/>
      <w:bookmarkStart w:id="102" w:name="_Toc3323"/>
      <w:bookmarkStart w:id="103" w:name="_Toc27864"/>
      <w:bookmarkStart w:id="104" w:name="_Toc17161"/>
      <w:bookmarkStart w:id="105" w:name="_Toc15047"/>
      <w:bookmarkStart w:id="106" w:name="_Toc23168"/>
      <w:bookmarkStart w:id="107" w:name="_Toc16226"/>
      <w:bookmarkStart w:id="108" w:name="_Toc10456"/>
      <w:bookmarkStart w:id="109" w:name="_Toc20926"/>
      <w:bookmarkStart w:id="110" w:name="_Toc11515"/>
      <w:bookmarkStart w:id="111" w:name="_Toc32767"/>
      <w:bookmarkStart w:id="112" w:name="_Toc27905"/>
      <w:bookmarkStart w:id="113" w:name="_Toc19957"/>
      <w:bookmarkStart w:id="114" w:name="_Toc25000"/>
      <w:bookmarkStart w:id="115" w:name="_Toc16589"/>
      <w:bookmarkStart w:id="116" w:name="_Toc29695"/>
      <w:bookmarkStart w:id="117" w:name="_Toc6329"/>
      <w:bookmarkStart w:id="118" w:name="_Toc174094746"/>
      <w:bookmarkStart w:id="119" w:name="_Toc12130"/>
      <w:bookmarkStart w:id="120" w:name="_Toc1756612650"/>
      <w:bookmarkStart w:id="121" w:name="_Toc23278"/>
      <w:bookmarkStart w:id="122" w:name="_Toc17939"/>
      <w:bookmarkStart w:id="123" w:name="_Toc12102"/>
      <w:bookmarkStart w:id="124" w:name="_Toc7030"/>
      <w:bookmarkStart w:id="125" w:name="_Toc15380"/>
      <w:bookmarkStart w:id="126" w:name="_Toc27151"/>
      <w:bookmarkStart w:id="127" w:name="_Toc10866"/>
      <w:r>
        <w:rPr>
          <w:rFonts w:eastAsia="黑体"/>
          <w:color w:val="auto"/>
          <w:sz w:val="32"/>
          <w:szCs w:val="40"/>
          <w:highlight w:val="none"/>
          <w:u w:val="none"/>
        </w:rPr>
        <w:t>保障措施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29827B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</w:rPr>
        <w:t>）加强组织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实施</w:t>
      </w:r>
    </w:p>
    <w:p w14:paraId="2A1A14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坚持党对数据工作的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eastAsia="zh-CN"/>
        </w:rPr>
        <w:t>全面领导，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建立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市领导牵头的定期调度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机制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，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组建试验区建设工作专班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推动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跨部门、跨层级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高效协同，重要情况及时向市委市政府报告。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</w:rPr>
        <w:t>建立数据要素市场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val="en-US" w:eastAsia="zh-CN"/>
        </w:rPr>
        <w:t>监测评价机制，加强定期评估和督促指导，保障各项任务有序推进。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推动北京市大数据中心优化转型。</w:t>
      </w:r>
    </w:p>
    <w:p w14:paraId="714D49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完善政策保障</w:t>
      </w:r>
    </w:p>
    <w:p w14:paraId="6A2EAA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eastAsia="仿宋_GB2312"/>
          <w:color w:val="auto"/>
          <w:sz w:val="32"/>
          <w:szCs w:val="40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落实研发费用加计扣除、高新技术企业税收优惠等政策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围绕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创新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、平台建设、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场景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应用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等方面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加大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政策协同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和政策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支持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建立政府引导、市场化配置为主的多元化保障机制，积极争取中央资金和政策支持，充分发挥基金支持作用，强化各类资源资金统筹</w:t>
      </w:r>
      <w:r>
        <w:rPr>
          <w:rFonts w:eastAsia="仿宋_GB2312"/>
          <w:color w:val="auto"/>
          <w:sz w:val="32"/>
          <w:szCs w:val="40"/>
          <w:highlight w:val="none"/>
          <w:u w:val="none"/>
        </w:rPr>
        <w:t>。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鼓励各类金融机构创新产品和服务，加大对数据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领域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企业的融资支持力度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引导社会资本有序参与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  <w:lang w:val="en-US" w:eastAsia="zh-CN"/>
        </w:rPr>
        <w:t>数据资源</w:t>
      </w:r>
      <w:r>
        <w:rPr>
          <w:rFonts w:hint="eastAsia" w:eastAsia="仿宋_GB2312"/>
          <w:color w:val="auto"/>
          <w:sz w:val="32"/>
          <w:szCs w:val="40"/>
          <w:highlight w:val="none"/>
          <w:u w:val="none"/>
        </w:rPr>
        <w:t>开发利用。</w:t>
      </w:r>
    </w:p>
    <w:p w14:paraId="7DD2FA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default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highlight w:val="none"/>
          <w:u w:val="none"/>
          <w:lang w:val="en-US" w:eastAsia="zh-CN"/>
        </w:rPr>
        <w:t>（十二）强化人才建设</w:t>
      </w:r>
    </w:p>
    <w:p w14:paraId="194576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联合在京高校、科研院所、科技企业等拓展海外引才渠道，通过顾问指导、联合攻关等形式引入一批数据领域高精尖人才。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鼓励校企合作建立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数字人才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实训基地、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协同创新基地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或产学研平台，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加快数字人才培育成长。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鼓励企事业单位和行政机构设立首席数据官，探索将首席数据官和组织管理体系相衔接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，明确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首席数据官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权责，更好发挥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</w:rPr>
        <w:t>首席数据官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作用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完善数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</w:rPr>
        <w:t>人才职称评价体系，提供便捷的职称评审通道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eastAsia="zh-CN"/>
        </w:rPr>
        <w:t>。</w:t>
      </w:r>
    </w:p>
    <w:p w14:paraId="7C2715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2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营造发展氛围</w:t>
      </w:r>
    </w:p>
    <w:p w14:paraId="5EAACE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eastAsia="zh-CN"/>
        </w:rPr>
        <w:t>强化政策宣传引导，调动各界共同参与。充分依托中关村论坛、全球数字经济大会等平台，推介数据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val="en-US" w:eastAsia="zh-CN"/>
        </w:rPr>
        <w:t>要素综合试验区建设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eastAsia="zh-CN"/>
        </w:rPr>
        <w:t>成果，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val="en-US" w:eastAsia="zh-CN"/>
        </w:rPr>
        <w:t>扩大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eastAsia="zh-CN"/>
        </w:rPr>
        <w:t>我市数据要素市场化配置改革的综合示范效应，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40"/>
          <w:highlight w:val="none"/>
          <w:u w:val="none"/>
          <w:lang w:val="en-US" w:eastAsia="zh-CN"/>
        </w:rPr>
        <w:t>营造发展氛围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40"/>
          <w:highlight w:val="none"/>
          <w:u w:val="none"/>
          <w:lang w:eastAsia="zh-CN"/>
        </w:rPr>
        <w:t>。</w:t>
      </w:r>
    </w:p>
    <w:p w14:paraId="0F37C0CB">
      <w:pPr>
        <w:keepNext w:val="0"/>
        <w:keepLines w:val="0"/>
        <w:pageBreakBefore w:val="0"/>
        <w:wordWrap/>
        <w:overflowPunct/>
        <w:topLinePunct w:val="0"/>
        <w:bidi w:val="0"/>
        <w:spacing w:beforeLines="0" w:after="0" w:afterLines="0" w:line="560" w:lineRule="exact"/>
        <w:jc w:val="both"/>
        <w:outlineLvl w:val="0"/>
        <w:rPr>
          <w:rFonts w:hint="default" w:ascii="黑体" w:hAnsi="黑体" w:eastAsia="黑体" w:cs="黑体"/>
          <w:snapToGrid w:val="0"/>
          <w:color w:val="auto"/>
          <w:spacing w:val="5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5"/>
          <w:kern w:val="0"/>
          <w:sz w:val="32"/>
          <w:szCs w:val="32"/>
          <w:highlight w:val="none"/>
          <w:u w:val="none"/>
          <w:lang w:val="en-US" w:eastAsia="zh-CN"/>
        </w:rPr>
        <w:t xml:space="preserve">                                       </w:t>
      </w:r>
      <w:bookmarkStart w:id="128" w:name="_GoBack"/>
      <w:bookmarkEnd w:id="128"/>
    </w:p>
    <w:p w14:paraId="2F2B218C">
      <w:pPr>
        <w:rPr>
          <w:u w:val="none"/>
        </w:rPr>
      </w:pPr>
    </w:p>
    <w:p w14:paraId="278D17DA">
      <w:pPr>
        <w:rPr>
          <w:u w:val="none"/>
        </w:rPr>
      </w:pPr>
    </w:p>
    <w:p w14:paraId="69534F8C">
      <w:pPr>
        <w:rPr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B44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1D55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1D55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A88F"/>
    <w:multiLevelType w:val="singleLevel"/>
    <w:tmpl w:val="5C1BA8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DdhOWU1NDViOGE2NmNhZmVkNTEwYTU5ZTY4ZWEifQ=="/>
    <w:docVar w:name="KSO_WPS_MARK_KEY" w:val="98a5e54d-9d6c-4903-829f-8c7d46f2fc00"/>
  </w:docVars>
  <w:rsids>
    <w:rsidRoot w:val="0AD41E15"/>
    <w:rsid w:val="06F02301"/>
    <w:rsid w:val="071765C7"/>
    <w:rsid w:val="0AD41E15"/>
    <w:rsid w:val="0F76312B"/>
    <w:rsid w:val="244971A7"/>
    <w:rsid w:val="2CC27C08"/>
    <w:rsid w:val="3F2D7E4F"/>
    <w:rsid w:val="3FF6210E"/>
    <w:rsid w:val="426000A4"/>
    <w:rsid w:val="45B25DBF"/>
    <w:rsid w:val="48C26CC5"/>
    <w:rsid w:val="521F79F1"/>
    <w:rsid w:val="5E3A2D37"/>
    <w:rsid w:val="62B06448"/>
    <w:rsid w:val="650E70C3"/>
    <w:rsid w:val="65AF7B55"/>
    <w:rsid w:val="65D81772"/>
    <w:rsid w:val="74783805"/>
    <w:rsid w:val="74912E40"/>
    <w:rsid w:val="7774408D"/>
    <w:rsid w:val="7995659F"/>
    <w:rsid w:val="7AFE5D56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6777</Words>
  <Characters>6836</Characters>
  <Lines>0</Lines>
  <Paragraphs>0</Paragraphs>
  <TotalTime>2</TotalTime>
  <ScaleCrop>false</ScaleCrop>
  <LinksUpToDate>false</LinksUpToDate>
  <CharactersWithSpaces>6909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2024-11-26T02:23:00Z</dcterms:created>
  <dc:creator>x</dc:creator>
  <cp:lastModifiedBy>x</cp:lastModifiedBy>
  <cp:lastPrinted>2025-04-02T03:33:00Z</cp:lastPrinted>
  <dcterms:modified xsi:type="dcterms:W3CDTF">2025-04-03T07:49:01Z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FA028CF5A9964E79BE5EDB0E29B78D7F_13</vt:lpwstr>
  </property>
  <property fmtid="{D5CDD505-2E9C-101B-9397-08002B2CF9AE}" pid="4" name="KSOTemplateDocerSaveRecord">
    <vt:lpwstr>eyJoZGlkIjoiNzI1NDc5MjM5YjFlYjU5YTQ3Y2QzZDI2YjM5ZDczMzAiLCJ1c2VySWQiOiI3ODI3MjMzMDkifQ==</vt:lpwstr>
  </property>
</Properties>
</file>