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rPr>
          <w:rFonts w:hint="eastAsia"/>
        </w:rPr>
      </w:pPr>
      <w:bookmarkStart w:id="5" w:name="_GoBack"/>
      <w:bookmarkEnd w:id="5"/>
    </w:p>
    <w:p>
      <w:pPr>
        <w:pStyle w:val="9"/>
        <w:spacing w:line="72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北京经济技术开发区声环境功能区划实施细则</w:t>
      </w:r>
    </w:p>
    <w:p>
      <w:pPr>
        <w:pStyle w:val="9"/>
        <w:spacing w:line="72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（2024年修订版）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为加强区域环境噪声治理，改善城市声环境质量，提高人民群众生活水平，贯彻落实《中华人民共和国噪声污染防治法》，依据《声环境质量标准》（GB 3096-2008）、</w:t>
      </w:r>
      <w:bookmarkStart w:id="0" w:name="OLE_LINK1"/>
      <w:r>
        <w:rPr>
          <w:rFonts w:hint="eastAsia" w:ascii="仿宋_GB2312" w:hAnsi="仿宋_GB2312" w:eastAsia="仿宋_GB2312" w:cs="仿宋_GB2312"/>
          <w:sz w:val="32"/>
          <w:szCs w:val="32"/>
        </w:rPr>
        <w:t>《声环境功能区划分技术规范》(GB/T 15190-2014)</w:t>
      </w:r>
      <w:bookmarkEnd w:id="0"/>
      <w:r>
        <w:rPr>
          <w:rFonts w:hint="eastAsia" w:ascii="仿宋_GB2312" w:hAnsi="仿宋_GB2312" w:eastAsia="仿宋_GB2312" w:cs="仿宋_GB2312"/>
          <w:sz w:val="32"/>
          <w:szCs w:val="32"/>
        </w:rPr>
        <w:t>、《关于加强和规范声环境功能区划分管理工作的通知》（环办大气函〔2017〕1709号），结合本区的实际情况，制定本实施细则。</w:t>
      </w:r>
    </w:p>
    <w:p>
      <w:pPr>
        <w:widowControl/>
        <w:spacing w:line="560" w:lineRule="exact"/>
        <w:ind w:firstLine="640"/>
        <w:jc w:val="left"/>
        <w:rPr>
          <w:rFonts w:ascii="黑体" w:hAnsi="黑体" w:eastAsia="黑体" w:cs="黑体"/>
          <w:kern w:val="0"/>
          <w:sz w:val="32"/>
          <w:szCs w:val="32"/>
          <w:lang w:bidi="ar"/>
        </w:rPr>
      </w:pPr>
      <w:r>
        <w:rPr>
          <w:rFonts w:hint="eastAsia" w:ascii="黑体" w:hAnsi="黑体" w:eastAsia="黑体" w:cs="黑体"/>
          <w:kern w:val="0"/>
          <w:sz w:val="32"/>
          <w:szCs w:val="32"/>
          <w:lang w:bidi="ar"/>
        </w:rPr>
        <w:t>一、适用范围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本细则适用于北京经济技术开发区行使区级政府职能范围内的声环境管理（约60平方公里）。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机场周围区域受飞机通过（起飞、降落、低空飞行）噪声的影响不适用于本细则。</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本细则适用的昼间、夜间时段分别为：昼间6:00—22:00，夜间22:00—次日6:00。</w:t>
      </w:r>
    </w:p>
    <w:p>
      <w:pPr>
        <w:widowControl/>
        <w:spacing w:line="560" w:lineRule="exact"/>
        <w:ind w:firstLine="640"/>
        <w:jc w:val="left"/>
        <w:rPr>
          <w:rFonts w:ascii="黑体" w:hAnsi="黑体" w:eastAsia="黑体" w:cs="黑体"/>
          <w:kern w:val="0"/>
          <w:sz w:val="32"/>
          <w:szCs w:val="32"/>
          <w:lang w:bidi="ar"/>
        </w:rPr>
      </w:pPr>
      <w:r>
        <w:rPr>
          <w:rFonts w:hint="eastAsia" w:ascii="黑体" w:hAnsi="黑体" w:eastAsia="黑体" w:cs="黑体"/>
          <w:kern w:val="0"/>
          <w:sz w:val="32"/>
          <w:szCs w:val="32"/>
          <w:lang w:bidi="ar"/>
        </w:rPr>
        <w:t>二、声环境功能区分类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根据《声环境质量标准》（GB 3096-2008）以及北京经济技术开发区规划建设用地情况，按以下要求进行划分：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（一）1类声环境功能区适用于以居民住宅、医疗卫生、文化教育、科研设计、行政办公为主要功能，需要保持安静的区域。1类区标准限值为昼间55dB(A)、夜间45dB(A)。</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（二）2类声环境功能区适用于以商业金融、集市贸易为主要功能，或者居住、商业、工业混杂，需要维护住宅安静的区域。2类区标准限值为昼间60dB(A)、夜间50dB(A)。</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(三)3类声环境功能区适用于以工业生产、仓储物流为主要功能,需要防止工业噪声对周围环境产生严重影响的区域。3类区标准限值为昼间65dB(A)、夜间55dB(A)。</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（四）4类声环境功能区分为4a类区和4b类区两种类型：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a类区为高速公路、一级公路、二级公路、城市快速路、城市主干路、城市次干路、城市轨道交通（地面段）两侧一定距离范围内（距离要求见表1）区域，4a类区标准限值为昼间70dB(A)、夜间55dB(A)。4b类区为铁路（铁路专用线除外）用地范围外两侧一定距离范围内（距离要求见表1）区域和铁路场站，4b类区标准限值为昼间70dB(A)、夜间60dB(A),适用于2011年1月1日起环境影响评价文件通过审批的新建铁路(含新开廊道的增建铁路)干线建设项目两侧区域。</w:t>
      </w:r>
    </w:p>
    <w:p>
      <w:pPr>
        <w:pStyle w:val="20"/>
        <w:spacing w:after="0" w:line="560" w:lineRule="exact"/>
        <w:ind w:left="0" w:firstLine="0" w:firstLineChars="0"/>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表1  4类区两侧距离的划定要求</w:t>
      </w:r>
    </w:p>
    <w:tbl>
      <w:tblPr>
        <w:tblStyle w:val="10"/>
        <w:tblW w:w="9654"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57" w:type="dxa"/>
          <w:left w:w="57" w:type="dxa"/>
          <w:bottom w:w="57" w:type="dxa"/>
          <w:right w:w="57" w:type="dxa"/>
        </w:tblCellMar>
      </w:tblPr>
      <w:tblGrid>
        <w:gridCol w:w="4674"/>
        <w:gridCol w:w="2725"/>
        <w:gridCol w:w="225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57" w:type="dxa"/>
            <w:left w:w="57" w:type="dxa"/>
            <w:bottom w:w="57" w:type="dxa"/>
            <w:right w:w="57" w:type="dxa"/>
          </w:tblCellMar>
        </w:tblPrEx>
        <w:trPr>
          <w:trHeight w:val="567" w:hRule="atLeast"/>
          <w:jc w:val="center"/>
        </w:trPr>
        <w:tc>
          <w:tcPr>
            <w:tcW w:w="4876"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源强类型</w:t>
            </w:r>
          </w:p>
        </w:tc>
        <w:tc>
          <w:tcPr>
            <w:tcW w:w="2472"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划分距离（米）</w:t>
            </w:r>
          </w:p>
        </w:tc>
        <w:tc>
          <w:tcPr>
            <w:tcW w:w="2306"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相邻功能区类型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57" w:type="dxa"/>
            <w:left w:w="57" w:type="dxa"/>
            <w:bottom w:w="57" w:type="dxa"/>
            <w:right w:w="57" w:type="dxa"/>
          </w:tblCellMar>
        </w:tblPrEx>
        <w:trPr>
          <w:trHeight w:val="510" w:hRule="atLeast"/>
          <w:jc w:val="center"/>
        </w:trPr>
        <w:tc>
          <w:tcPr>
            <w:tcW w:w="4876" w:type="dxa"/>
            <w:vMerge w:val="restart"/>
            <w:tcBorders>
              <w:top w:val="outset" w:color="000000" w:sz="6" w:space="0"/>
              <w:left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高速公路、一级公路、二级公路、城市快速路、城市主干路、城市次干路、城市轨道交通（地面段）</w:t>
            </w:r>
          </w:p>
        </w:tc>
        <w:tc>
          <w:tcPr>
            <w:tcW w:w="2472"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55</w:t>
            </w:r>
          </w:p>
        </w:tc>
        <w:tc>
          <w:tcPr>
            <w:tcW w:w="2306"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57" w:type="dxa"/>
            <w:left w:w="57" w:type="dxa"/>
            <w:bottom w:w="57" w:type="dxa"/>
            <w:right w:w="57" w:type="dxa"/>
          </w:tblCellMar>
        </w:tblPrEx>
        <w:trPr>
          <w:trHeight w:val="510" w:hRule="atLeast"/>
          <w:jc w:val="center"/>
        </w:trPr>
        <w:tc>
          <w:tcPr>
            <w:tcW w:w="4876" w:type="dxa"/>
            <w:vMerge w:val="continue"/>
            <w:tcBorders>
              <w:left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p>
        </w:tc>
        <w:tc>
          <w:tcPr>
            <w:tcW w:w="2472"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2306" w:type="dxa"/>
            <w:tcBorders>
              <w:top w:val="outset" w:color="000000" w:sz="6" w:space="0"/>
              <w:left w:val="single" w:color="auto" w:sz="0"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57" w:type="dxa"/>
            <w:left w:w="57" w:type="dxa"/>
            <w:bottom w:w="57" w:type="dxa"/>
            <w:right w:w="57" w:type="dxa"/>
          </w:tblCellMar>
        </w:tblPrEx>
        <w:trPr>
          <w:trHeight w:val="510" w:hRule="atLeast"/>
          <w:jc w:val="center"/>
        </w:trPr>
        <w:tc>
          <w:tcPr>
            <w:tcW w:w="4876" w:type="dxa"/>
            <w:vMerge w:val="continue"/>
            <w:tcBorders>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p>
        </w:tc>
        <w:tc>
          <w:tcPr>
            <w:tcW w:w="2472"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2306" w:type="dxa"/>
            <w:tcBorders>
              <w:top w:val="outset" w:color="000000" w:sz="6" w:space="0"/>
              <w:left w:val="single" w:color="auto" w:sz="0"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57" w:type="dxa"/>
            <w:left w:w="57" w:type="dxa"/>
            <w:bottom w:w="57" w:type="dxa"/>
            <w:right w:w="57" w:type="dxa"/>
          </w:tblCellMar>
        </w:tblPrEx>
        <w:trPr>
          <w:trHeight w:val="510" w:hRule="atLeast"/>
          <w:jc w:val="center"/>
        </w:trPr>
        <w:tc>
          <w:tcPr>
            <w:tcW w:w="4876" w:type="dxa"/>
            <w:vMerge w:val="restart"/>
            <w:tcBorders>
              <w:left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铁路干线</w:t>
            </w:r>
          </w:p>
        </w:tc>
        <w:tc>
          <w:tcPr>
            <w:tcW w:w="2472"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55</w:t>
            </w:r>
          </w:p>
        </w:tc>
        <w:tc>
          <w:tcPr>
            <w:tcW w:w="2306" w:type="dxa"/>
            <w:tcBorders>
              <w:top w:val="outset" w:color="000000" w:sz="6" w:space="0"/>
              <w:left w:val="single" w:color="auto" w:sz="0"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57" w:type="dxa"/>
            <w:left w:w="57" w:type="dxa"/>
            <w:bottom w:w="57" w:type="dxa"/>
            <w:right w:w="57" w:type="dxa"/>
          </w:tblCellMar>
        </w:tblPrEx>
        <w:trPr>
          <w:trHeight w:val="510" w:hRule="atLeast"/>
          <w:jc w:val="center"/>
        </w:trPr>
        <w:tc>
          <w:tcPr>
            <w:tcW w:w="4876" w:type="dxa"/>
            <w:vMerge w:val="continue"/>
            <w:tcBorders>
              <w:left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p>
        </w:tc>
        <w:tc>
          <w:tcPr>
            <w:tcW w:w="2472"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2306" w:type="dxa"/>
            <w:tcBorders>
              <w:top w:val="outset" w:color="000000" w:sz="6" w:space="0"/>
              <w:left w:val="single" w:color="auto" w:sz="0"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57" w:type="dxa"/>
            <w:left w:w="57" w:type="dxa"/>
            <w:bottom w:w="57" w:type="dxa"/>
            <w:right w:w="57" w:type="dxa"/>
          </w:tblCellMar>
        </w:tblPrEx>
        <w:trPr>
          <w:trHeight w:val="510" w:hRule="atLeast"/>
          <w:jc w:val="center"/>
        </w:trPr>
        <w:tc>
          <w:tcPr>
            <w:tcW w:w="4876" w:type="dxa"/>
            <w:vMerge w:val="continue"/>
            <w:tcBorders>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p>
        </w:tc>
        <w:tc>
          <w:tcPr>
            <w:tcW w:w="2472" w:type="dxa"/>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2306" w:type="dxa"/>
            <w:tcBorders>
              <w:top w:val="outset" w:color="000000" w:sz="6" w:space="0"/>
              <w:left w:val="single" w:color="auto" w:sz="0"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57" w:type="dxa"/>
            <w:left w:w="57" w:type="dxa"/>
            <w:bottom w:w="57" w:type="dxa"/>
            <w:right w:w="57"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tcMar>
              <w:top w:w="57" w:type="dxa"/>
              <w:left w:w="57" w:type="dxa"/>
              <w:bottom w:w="57" w:type="dxa"/>
              <w:right w:w="57" w:type="dxa"/>
            </w:tcMar>
            <w:vAlign w:val="center"/>
          </w:tcPr>
          <w:p>
            <w:pPr>
              <w:spacing w:line="40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轨道交通地下与地面连接处的划分以城市轨道交通中心线与地面交点处为圆心，外侧一定距离为半径绘制圆弧与线路两侧区界连接，半径执行上述划分距离要求。</w:t>
            </w:r>
          </w:p>
        </w:tc>
      </w:tr>
    </w:tbl>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2.若临路建筑以低于三层楼房的建筑（含开阔地）为主，线路边界线外一定距离内（见表1）的区域为4a类区。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若划分距离范围内临路建筑以高于三层楼房以上（含三层）的建筑为主，第一排建筑面向线路一侧至线路边界线的区域及该建筑物两侧一定纵深距离（见表1）范围内受交通噪声直达声影响的区域为4a类区。并排的两个建筑物临路一侧的相邻两点间距离小于或等于20米时，视同直线连接。第二排及以后的建筑，若其高于前排建筑或虽低于前排建筑但因楼座错落设置使部分楼体探出前排遮挡并受到线路交通噪声的直达声影响，则高出及探出部分的楼层面向线路一侧范围为4a类区。其余部分未受到交通噪声直达声影响的区域执行其相邻声环境功能区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地面段公路和城市道路以最外侧非机动车道路或机非混行道路外沿为边界，高路基公路和城市道路以最外侧的边沟或路基边缘为边界，没有辅路的高架公路和城市道路以高架段地面垂直投影的最外侧为边界，高速公路以护网处为边界，没有护网的按一般公路和城市道路相关情况处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5.对于4b类区与4a类区有重叠的部分，划分为4b类区。</w:t>
      </w:r>
    </w:p>
    <w:p>
      <w:pPr>
        <w:widowControl/>
        <w:spacing w:line="560" w:lineRule="exact"/>
        <w:ind w:firstLine="640"/>
        <w:jc w:val="left"/>
        <w:rPr>
          <w:rFonts w:ascii="黑体" w:hAnsi="黑体" w:eastAsia="黑体" w:cs="黑体"/>
          <w:kern w:val="0"/>
          <w:sz w:val="32"/>
          <w:szCs w:val="32"/>
          <w:lang w:bidi="ar"/>
        </w:rPr>
      </w:pPr>
      <w:r>
        <w:rPr>
          <w:rFonts w:hint="eastAsia" w:ascii="黑体" w:hAnsi="黑体" w:eastAsia="黑体" w:cs="黑体"/>
          <w:kern w:val="0"/>
          <w:sz w:val="32"/>
          <w:szCs w:val="32"/>
          <w:lang w:bidi="ar"/>
        </w:rPr>
        <w:t>三、声环境功能区划分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北京经济技术开发区声环境功能区依据</w:t>
      </w:r>
      <w:bookmarkStart w:id="1" w:name="OLE_LINK7"/>
      <w:r>
        <w:rPr>
          <w:rFonts w:hint="eastAsia" w:ascii="仿宋_GB2312" w:hAnsi="仿宋_GB2312" w:eastAsia="仿宋_GB2312" w:cs="仿宋_GB2312"/>
          <w:sz w:val="32"/>
          <w:szCs w:val="32"/>
        </w:rPr>
        <w:t>《亦庄新城规划（国土空间规划）(2017年—2035年)》、</w:t>
      </w:r>
      <w:r>
        <w:rPr>
          <w:rFonts w:ascii="仿宋_GB2312" w:hAnsi="仿宋_GB2312" w:eastAsia="仿宋_GB2312" w:cs="仿宋_GB2312"/>
          <w:sz w:val="32"/>
          <w:szCs w:val="32"/>
        </w:rPr>
        <w:t>《亦庄新城核心地区控制性详细规划（街区层面）（2020年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2035年）》</w:t>
      </w:r>
      <w:bookmarkEnd w:id="1"/>
      <w:r>
        <w:rPr>
          <w:rFonts w:hint="eastAsia" w:ascii="仿宋_GB2312" w:hAnsi="仿宋_GB2312" w:eastAsia="仿宋_GB2312" w:cs="仿宋_GB2312"/>
          <w:sz w:val="32"/>
          <w:szCs w:val="32"/>
        </w:rPr>
        <w:t>划分为1、2、3和4类。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（一）1类区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101核心区居住区：由北顺时针为五环路-北区界-文化西园北路-文化园东路-文化园西路-天华西路-北环西路-天华东路-天华北街-荣华中路-科慧大道-天宝东路-荣京西街-三海子东路-西区界，面积约6.3平方公里。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102河西区居住区：由北顺时针为三海子东路-凉水河-博兴路-兴海路-博兴八路-新凤河路-博兴西路（三海子东路）-泰河路-博兴十路-凉水河一街，面积约7.9平方公里。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103路东区居住区：由北顺时针为科创街-嘉创路-经海九路-科创十二街-经海六路，面积约1.4平方公里。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（二）2类区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核心区荣华路中心公建区：由北顺时针为文化园西路-文化园东路-东环北路-北环东路-宏达北路-宏达中路-兴盛街-文昌大道-地盛东路-天宝东路-科慧大道-荣华中路-天华北街-天华东路-北环西路-天华西路，面积约1.7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202路南区混合区：由北顺时针为融景北三街-环景西二路-融景街-亦柏路，面积约1.8平方公里。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（三）3类区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301核心区工业区：由北顺时针为荣京西街-地盛东路-文昌大道-兴盛街-宏达中路-宏达北路-北环东路-东环北路-文化西园北路-京沪高速公路-凉水河，面积约12.5平方公里。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302河西区工业区：由北顺时针为兴海路-博兴路-凉水河-新凤河-博兴西路（三海子东路）-新凤河路-博兴八路，面积约6.6平方公里。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303路东区工业区：由北顺时针为科创一街-经海路-科创街-经海六路-科创十二街-经海九路-凉水河-京沪高速公路－北区界，面积约12.4平方公里。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304路南区工业区：由北顺时针为新凤河-东区界-融景北三街-亦柏路-融景街-环景西二路-亦通街-亦柏路-南区界-亦驰街-博兴西路（三海子东路），面积约7.9平方公里。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（四）4类区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4类区划分情况详见附件1、2。</w:t>
      </w:r>
    </w:p>
    <w:p>
      <w:pPr>
        <w:widowControl/>
        <w:spacing w:line="560" w:lineRule="exact"/>
        <w:ind w:firstLine="640"/>
        <w:jc w:val="left"/>
        <w:rPr>
          <w:rFonts w:ascii="黑体" w:hAnsi="黑体" w:eastAsia="黑体" w:cs="黑体"/>
          <w:kern w:val="0"/>
          <w:sz w:val="32"/>
          <w:szCs w:val="32"/>
          <w:lang w:bidi="ar"/>
        </w:rPr>
      </w:pPr>
      <w:r>
        <w:rPr>
          <w:rFonts w:hint="eastAsia" w:ascii="黑体" w:hAnsi="黑体" w:eastAsia="黑体" w:cs="黑体"/>
          <w:kern w:val="0"/>
          <w:sz w:val="32"/>
          <w:szCs w:val="32"/>
          <w:lang w:bidi="ar"/>
        </w:rPr>
        <w:t>四、补充规定</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1.3类区中居住区执行1类区标准。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2.交通干线建设规划未实施前应按照当前声环境功能区类别管理，规划实施后交通干线两侧及时调整为4类区。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3.振动环境功能区制订前可参照声环境功能区。</w:t>
      </w:r>
    </w:p>
    <w:p>
      <w:pPr>
        <w:widowControl/>
        <w:spacing w:line="560" w:lineRule="exact"/>
        <w:ind w:firstLine="640"/>
        <w:jc w:val="left"/>
        <w:rPr>
          <w:rFonts w:ascii="黑体" w:hAnsi="黑体" w:eastAsia="黑体" w:cs="黑体"/>
          <w:kern w:val="0"/>
          <w:sz w:val="32"/>
          <w:szCs w:val="32"/>
          <w:lang w:bidi="ar"/>
        </w:rPr>
      </w:pPr>
      <w:r>
        <w:rPr>
          <w:rFonts w:hint="eastAsia" w:ascii="黑体" w:hAnsi="黑体" w:eastAsia="黑体" w:cs="黑体"/>
          <w:kern w:val="0"/>
          <w:sz w:val="32"/>
          <w:szCs w:val="32"/>
          <w:lang w:bidi="ar"/>
        </w:rPr>
        <w:t>五、附则</w:t>
      </w:r>
    </w:p>
    <w:p>
      <w:pPr>
        <w:spacing w:line="560" w:lineRule="exact"/>
        <w:ind w:firstLine="640"/>
        <w:rPr>
          <w:rFonts w:ascii="仿宋_GB2312" w:hAnsi="仿宋_GB2312" w:eastAsia="仿宋_GB2312" w:cs="仿宋_GB2312"/>
          <w:sz w:val="32"/>
          <w:szCs w:val="32"/>
        </w:rPr>
      </w:pPr>
      <w:bookmarkStart w:id="2" w:name="_Hlk187051157"/>
      <w:r>
        <w:rPr>
          <w:rFonts w:hint="eastAsia" w:ascii="仿宋_GB2312" w:hAnsi="仿宋_GB2312" w:eastAsia="仿宋_GB2312" w:cs="仿宋_GB2312"/>
          <w:sz w:val="32"/>
          <w:szCs w:val="32"/>
        </w:rPr>
        <w:t>本细则自北京经济技术开发区</w:t>
      </w:r>
      <w:bookmarkStart w:id="3" w:name="OLE_LINK2"/>
      <w:r>
        <w:rPr>
          <w:rFonts w:hint="eastAsia" w:ascii="仿宋_GB2312" w:hAnsi="仿宋_GB2312" w:eastAsia="仿宋_GB2312" w:cs="仿宋_GB2312"/>
          <w:sz w:val="32"/>
          <w:szCs w:val="32"/>
        </w:rPr>
        <w:t>管理委员会</w:t>
      </w:r>
      <w:bookmarkEnd w:id="3"/>
      <w:r>
        <w:rPr>
          <w:rFonts w:hint="eastAsia" w:ascii="仿宋_GB2312" w:hAnsi="仿宋_GB2312" w:eastAsia="仿宋_GB2312" w:cs="仿宋_GB2312"/>
          <w:sz w:val="32"/>
          <w:szCs w:val="32"/>
        </w:rPr>
        <w:t>发布之日起实施。</w:t>
      </w:r>
      <w:bookmarkEnd w:id="2"/>
      <w:bookmarkStart w:id="4" w:name="_Hlk187055559"/>
      <w:r>
        <w:rPr>
          <w:rFonts w:hint="eastAsia" w:ascii="仿宋_GB2312" w:hAnsi="仿宋_GB2312" w:eastAsia="仿宋_GB2312" w:cs="仿宋_GB2312"/>
          <w:sz w:val="32"/>
          <w:szCs w:val="32"/>
        </w:rPr>
        <w:t>《关于开发区噪声功能区调整及实施细则的批复》（京技管〔2013〕102号）同时废止</w:t>
      </w:r>
      <w:bookmarkEnd w:id="4"/>
      <w:r>
        <w:rPr>
          <w:rFonts w:hint="eastAsia" w:ascii="仿宋_GB2312" w:hAnsi="仿宋_GB2312" w:eastAsia="仿宋_GB2312" w:cs="仿宋_GB2312"/>
          <w:sz w:val="32"/>
          <w:szCs w:val="32"/>
        </w:rPr>
        <w:t>。本细则由北京经济技术开发区生态环境建设局负责解释。</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附件：1.4a类区适用的道路</w:t>
      </w:r>
    </w:p>
    <w:p>
      <w:pPr>
        <w:spacing w:line="560" w:lineRule="exact"/>
        <w:ind w:left="1902" w:leftChars="659"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2.4a类区适用的城市轨道交通（地面段）线路</w:t>
      </w:r>
    </w:p>
    <w:p>
      <w:pPr>
        <w:spacing w:line="560" w:lineRule="exact"/>
        <w:ind w:firstLine="1600" w:firstLineChars="500"/>
      </w:pPr>
      <w:r>
        <w:rPr>
          <w:rFonts w:hint="eastAsia" w:ascii="仿宋_GB2312" w:hAnsi="仿宋_GB2312" w:eastAsia="仿宋_GB2312" w:cs="仿宋_GB2312"/>
          <w:sz w:val="32"/>
          <w:szCs w:val="32"/>
        </w:rPr>
        <w:t>3.北京经济技术开发区声环境功能区划示意图</w:t>
      </w:r>
    </w:p>
    <w:p>
      <w:pPr>
        <w:spacing w:line="600" w:lineRule="exact"/>
        <w:ind w:firstLine="0" w:firstLineChars="0"/>
        <w:outlineLvl w:val="0"/>
        <w:rPr>
          <w:rFonts w:ascii="黑体" w:hAnsi="黑体" w:eastAsia="黑体" w:cs="黑体"/>
          <w:sz w:val="32"/>
          <w:szCs w:val="32"/>
        </w:rPr>
      </w:pPr>
      <w:r>
        <w:rPr>
          <w:rFonts w:ascii="仿宋_GB2312" w:hAnsi="仿宋" w:eastAsia="仿宋_GB2312" w:cs="仿宋"/>
          <w:sz w:val="32"/>
          <w:szCs w:val="32"/>
        </w:rPr>
        <w:br w:type="page"/>
      </w:r>
      <w:r>
        <w:rPr>
          <w:rFonts w:hint="eastAsia" w:ascii="黑体" w:hAnsi="黑体" w:eastAsia="黑体" w:cs="黑体"/>
          <w:sz w:val="32"/>
          <w:szCs w:val="32"/>
        </w:rPr>
        <w:t>附件1</w:t>
      </w:r>
    </w:p>
    <w:p>
      <w:pPr>
        <w:pStyle w:val="2"/>
        <w:spacing w:after="156" w:afterLines="50"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4a类区适用的道路</w:t>
      </w:r>
    </w:p>
    <w:tbl>
      <w:tblPr>
        <w:tblStyle w:val="10"/>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721"/>
        <w:gridCol w:w="272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80"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bidi="ar"/>
              </w:rPr>
              <w:t>序号</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bidi="ar"/>
              </w:rPr>
              <w:t>道路名称</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bidi="ar"/>
              </w:rPr>
              <w:t>起点</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终点</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bidi="ar"/>
              </w:rPr>
              <w:t>道路等级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六环路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东区界</w:t>
            </w:r>
          </w:p>
        </w:tc>
        <w:tc>
          <w:tcPr>
            <w:tcW w:w="2721" w:type="dxa"/>
            <w:noWrap/>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2</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京沪高速</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北区界</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凉水河</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五环路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东区界</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西区界</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2268"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泰河路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亦驰街</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北环西路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北环东路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文化园东路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荣京东街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荣京东街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荣昌东街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荣昌东街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文化园西路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荣京西街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荣京西街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荣昌西街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次</w:t>
            </w:r>
            <w:r>
              <w:rPr>
                <w:rFonts w:hint="eastAsia" w:ascii="仿宋_GB2312" w:hAnsi="仿宋_GB2312" w:eastAsia="仿宋_GB2312" w:cs="仿宋_GB2312"/>
                <w:kern w:val="0"/>
                <w:sz w:val="28"/>
                <w:szCs w:val="28"/>
                <w:lang w:bidi="ar"/>
              </w:rPr>
              <w:t>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荣昌西街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次</w:t>
            </w:r>
            <w:r>
              <w:rPr>
                <w:rFonts w:hint="eastAsia" w:ascii="仿宋_GB2312" w:hAnsi="仿宋_GB2312" w:eastAsia="仿宋_GB2312" w:cs="仿宋_GB2312"/>
                <w:kern w:val="0"/>
                <w:sz w:val="28"/>
                <w:szCs w:val="28"/>
                <w:lang w:bidi="ar"/>
              </w:rPr>
              <w:t>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13</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三台山路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五环路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文化园西路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14</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五环路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北环东路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15</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北环东路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荣京东街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16</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荣京东街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荣昌西街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17</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荣京西街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18</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荣京东街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荣华中路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19</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荣昌西街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西环中路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20</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荣昌东街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21</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永昌中路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荣京东街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荣昌东街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22</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永昌南路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荣昌东街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23</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康定街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24</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嘉创路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25</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科创一街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26</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科创五街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27</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科创十二街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经海九路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28</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科创一街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科创十七街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29</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科创一街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科创十七街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30</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经海九路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嘉创路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科创十七街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31</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科谷二街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经海九路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通惠干渠路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32</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嘉创路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经海九路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33</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泰河路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新凤河路</w:t>
            </w:r>
          </w:p>
        </w:tc>
        <w:tc>
          <w:tcPr>
            <w:tcW w:w="2721" w:type="dxa"/>
            <w:noWrap/>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34</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南六环路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35</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博兴三路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南六环路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36</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新凤河路</w:t>
            </w:r>
          </w:p>
        </w:tc>
        <w:tc>
          <w:tcPr>
            <w:tcW w:w="2721" w:type="dxa"/>
            <w:noWrap/>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凉水河二街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37</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三海子东路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凉水河一街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38</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融兴街</w:t>
            </w:r>
          </w:p>
        </w:tc>
        <w:tc>
          <w:tcPr>
            <w:tcW w:w="2721" w:type="dxa"/>
            <w:noWrap/>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亦柏路</w:t>
            </w:r>
          </w:p>
        </w:tc>
        <w:tc>
          <w:tcPr>
            <w:tcW w:w="2721" w:type="dxa"/>
            <w:noWrap/>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39</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融兴北二街</w:t>
            </w:r>
          </w:p>
        </w:tc>
        <w:tc>
          <w:tcPr>
            <w:tcW w:w="2721" w:type="dxa"/>
            <w:noWrap/>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亦柏路</w:t>
            </w:r>
          </w:p>
        </w:tc>
        <w:tc>
          <w:tcPr>
            <w:tcW w:w="2721" w:type="dxa"/>
            <w:noWrap/>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40</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融景街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环景西二路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亦柏路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41</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融景北二街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环景西二路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亦柏路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42</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瑞合路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南六环路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亦驰街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43</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亦柏路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南六环路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南区南街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44</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文化园西路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45</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文化园东路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46</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天宝中路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科慧大道</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荣京西街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47</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天华南街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科慧大道</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48</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隆庆街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荣华中路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49</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永昌北路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北环东路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荣京东街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50</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地盛中路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荣京西街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文昌大道</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51</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地泽北街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文昌大道</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52</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运成街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荣华南路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53</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经海三路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科创一街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科创十七街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54</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经海六路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科创十二街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55</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科创三街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56</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科创七街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57</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通惠干渠路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58</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科创十一街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经海九路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通惠干渠路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59</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科创十四街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通惠干渠路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经海一路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60</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科创十七街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经海九路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东环南路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61</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通惠干渠路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经海九路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科创十七街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62</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经惠东路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科创十一街</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科谷五街</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63</w:t>
            </w:r>
          </w:p>
        </w:tc>
        <w:tc>
          <w:tcPr>
            <w:tcW w:w="2268"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凉水河路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博兴三路</w:t>
            </w:r>
          </w:p>
        </w:tc>
        <w:tc>
          <w:tcPr>
            <w:tcW w:w="272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三海子东路</w:t>
            </w:r>
          </w:p>
        </w:tc>
        <w:tc>
          <w:tcPr>
            <w:tcW w:w="1361" w:type="dxa"/>
            <w:noWrap/>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64</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凉水河一街</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博兴三路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三海子东路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65</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泰河二街</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博兴八路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66</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姜场街</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博兴八路</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67</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兴海路</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新凤河路</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博兴三路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68</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兴海路</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博兴路</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69</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博兴八路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西环中路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新凤河路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70</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兴海二街</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博兴路</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71</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融兴北一街</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亦柏路</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72</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融兴北三街</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亦柏路</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73</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融兴南三街</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瑞合路</w:t>
            </w:r>
          </w:p>
        </w:tc>
        <w:tc>
          <w:tcPr>
            <w:tcW w:w="2721" w:type="dxa"/>
            <w:tcMar>
              <w:top w:w="0" w:type="dxa"/>
              <w:left w:w="28" w:type="dxa"/>
              <w:bottom w:w="0" w:type="dxa"/>
              <w:right w:w="28" w:type="dxa"/>
            </w:tcMar>
            <w:vAlign w:val="center"/>
          </w:tcPr>
          <w:p>
            <w:pPr>
              <w:widowControl/>
              <w:spacing w:line="400" w:lineRule="exact"/>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博兴西路</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（三海子东路）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74</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瑞合东二路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融兴北四街</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融兴街</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75</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融景北三街</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环景西二路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亦柏路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76</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环景西二路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融景北三街</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亦通街</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0"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77</w:t>
            </w:r>
          </w:p>
        </w:tc>
        <w:tc>
          <w:tcPr>
            <w:tcW w:w="2268"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亦通街</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环景西二路</w:t>
            </w:r>
          </w:p>
        </w:tc>
        <w:tc>
          <w:tcPr>
            <w:tcW w:w="272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亦柏路</w:t>
            </w:r>
          </w:p>
        </w:tc>
        <w:tc>
          <w:tcPr>
            <w:tcW w:w="1361" w:type="dxa"/>
            <w:tcMar>
              <w:top w:w="0" w:type="dxa"/>
              <w:left w:w="28" w:type="dxa"/>
              <w:bottom w:w="0" w:type="dxa"/>
              <w:right w:w="28" w:type="dxa"/>
            </w:tcMar>
            <w:vAlign w:val="center"/>
          </w:tcPr>
          <w:p>
            <w:pPr>
              <w:widowControl/>
              <w:spacing w:line="240" w:lineRule="auto"/>
              <w:ind w:firstLine="0" w:firstLineChars="0"/>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次干路</w:t>
            </w:r>
          </w:p>
        </w:tc>
      </w:tr>
    </w:tbl>
    <w:p>
      <w:pPr>
        <w:spacing w:before="156" w:beforeLines="50" w:after="156" w:afterLines="50" w:line="440" w:lineRule="exact"/>
        <w:ind w:firstLine="0" w:firstLineChars="0"/>
        <w:outlineLvl w:val="0"/>
        <w:rPr>
          <w:rFonts w:ascii="黑体" w:eastAsia="黑体"/>
          <w:sz w:val="32"/>
          <w:szCs w:val="32"/>
        </w:rPr>
      </w:pPr>
      <w:r>
        <w:rPr>
          <w:rFonts w:hint="eastAsia" w:ascii="黑体" w:hAnsi="宋体" w:eastAsia="黑体"/>
          <w:sz w:val="32"/>
          <w:szCs w:val="32"/>
        </w:rPr>
        <w:br w:type="page"/>
      </w:r>
      <w:r>
        <w:rPr>
          <w:rFonts w:hint="eastAsia" w:ascii="黑体" w:hAnsi="宋体" w:eastAsia="黑体"/>
          <w:sz w:val="32"/>
          <w:szCs w:val="32"/>
        </w:rPr>
        <w:t>附件</w:t>
      </w:r>
      <w:r>
        <w:rPr>
          <w:rFonts w:hint="eastAsia" w:ascii="黑体" w:eastAsia="黑体"/>
          <w:sz w:val="32"/>
          <w:szCs w:val="32"/>
        </w:rPr>
        <w:t>2</w:t>
      </w:r>
    </w:p>
    <w:p>
      <w:pPr>
        <w:ind w:firstLine="0" w:firstLineChars="0"/>
        <w:jc w:val="center"/>
        <w:outlineLvl w:val="0"/>
        <w:rPr>
          <w:rFonts w:ascii="黑体" w:hAnsi="黑体" w:eastAsia="黑体" w:cs="黑体"/>
          <w:sz w:val="32"/>
          <w:szCs w:val="28"/>
        </w:rPr>
      </w:pPr>
      <w:r>
        <w:rPr>
          <w:rFonts w:hint="eastAsia" w:ascii="黑体" w:hAnsi="黑体" w:eastAsia="黑体" w:cs="黑体"/>
          <w:sz w:val="32"/>
          <w:szCs w:val="28"/>
        </w:rPr>
        <w:t>4a类区适用的城市轨道交通（地面段）线路</w:t>
      </w:r>
    </w:p>
    <w:tbl>
      <w:tblPr>
        <w:tblStyle w:val="10"/>
        <w:tblW w:w="9015" w:type="dxa"/>
        <w:jc w:val="center"/>
        <w:tblLayout w:type="fixed"/>
        <w:tblCellMar>
          <w:top w:w="0" w:type="dxa"/>
          <w:left w:w="0" w:type="dxa"/>
          <w:bottom w:w="0" w:type="dxa"/>
          <w:right w:w="0" w:type="dxa"/>
        </w:tblCellMar>
      </w:tblPr>
      <w:tblGrid>
        <w:gridCol w:w="794"/>
        <w:gridCol w:w="3685"/>
        <w:gridCol w:w="2268"/>
        <w:gridCol w:w="2268"/>
      </w:tblGrid>
      <w:tr>
        <w:tblPrEx>
          <w:tblCellMar>
            <w:top w:w="0" w:type="dxa"/>
            <w:left w:w="0" w:type="dxa"/>
            <w:bottom w:w="0" w:type="dxa"/>
            <w:right w:w="0" w:type="dxa"/>
          </w:tblCellMar>
        </w:tblPrEx>
        <w:trPr>
          <w:trHeight w:val="403"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spacing w:line="240" w:lineRule="auto"/>
              <w:ind w:firstLine="0" w:firstLineChars="0"/>
              <w:jc w:val="center"/>
              <w:textAlignment w:val="bottom"/>
              <w:rPr>
                <w:rFonts w:ascii="仿宋_GB2312" w:hAnsi="宋体" w:eastAsia="仿宋_GB2312" w:cs="宋体"/>
                <w:b/>
                <w:bCs/>
                <w:kern w:val="0"/>
                <w:sz w:val="28"/>
                <w:szCs w:val="28"/>
                <w:lang w:bidi="ar"/>
              </w:rPr>
            </w:pPr>
            <w:r>
              <w:rPr>
                <w:rFonts w:ascii="仿宋_GB2312" w:hAnsi="宋体" w:eastAsia="仿宋_GB2312" w:cs="宋体"/>
                <w:b/>
                <w:bCs/>
                <w:kern w:val="0"/>
                <w:sz w:val="28"/>
                <w:szCs w:val="28"/>
                <w:lang w:bidi="ar"/>
              </w:rPr>
              <w:t>序号</w:t>
            </w:r>
          </w:p>
        </w:tc>
        <w:tc>
          <w:tcPr>
            <w:tcW w:w="3685"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b/>
                <w:bCs/>
                <w:kern w:val="0"/>
                <w:sz w:val="28"/>
                <w:szCs w:val="28"/>
                <w:lang w:bidi="ar"/>
              </w:rPr>
            </w:pPr>
            <w:r>
              <w:rPr>
                <w:rFonts w:ascii="仿宋_GB2312" w:hAnsi="宋体" w:eastAsia="仿宋_GB2312" w:cs="宋体"/>
                <w:b/>
                <w:bCs/>
                <w:kern w:val="0"/>
                <w:sz w:val="28"/>
                <w:szCs w:val="28"/>
                <w:lang w:bidi="ar"/>
              </w:rPr>
              <w:t>城市轨道交通（地面段）名称</w:t>
            </w:r>
          </w:p>
        </w:tc>
        <w:tc>
          <w:tcPr>
            <w:tcW w:w="2268"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b/>
                <w:bCs/>
                <w:kern w:val="0"/>
                <w:sz w:val="28"/>
                <w:szCs w:val="28"/>
                <w:lang w:bidi="ar"/>
              </w:rPr>
            </w:pPr>
            <w:r>
              <w:rPr>
                <w:rFonts w:ascii="仿宋_GB2312" w:hAnsi="宋体" w:eastAsia="仿宋_GB2312" w:cs="宋体"/>
                <w:b/>
                <w:bCs/>
                <w:kern w:val="0"/>
                <w:sz w:val="28"/>
                <w:szCs w:val="28"/>
                <w:lang w:bidi="ar"/>
              </w:rPr>
              <w:t>起点</w:t>
            </w:r>
          </w:p>
        </w:tc>
        <w:tc>
          <w:tcPr>
            <w:tcW w:w="2268"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b/>
                <w:bCs/>
                <w:kern w:val="0"/>
                <w:sz w:val="28"/>
                <w:szCs w:val="28"/>
                <w:lang w:bidi="ar"/>
              </w:rPr>
            </w:pPr>
            <w:r>
              <w:rPr>
                <w:rFonts w:ascii="仿宋_GB2312" w:hAnsi="宋体" w:eastAsia="仿宋_GB2312" w:cs="宋体"/>
                <w:b/>
                <w:bCs/>
                <w:kern w:val="0"/>
                <w:sz w:val="28"/>
                <w:szCs w:val="28"/>
                <w:lang w:bidi="ar"/>
              </w:rPr>
              <w:t>终点</w:t>
            </w:r>
          </w:p>
        </w:tc>
      </w:tr>
      <w:tr>
        <w:tblPrEx>
          <w:tblCellMar>
            <w:top w:w="0" w:type="dxa"/>
            <w:left w:w="0" w:type="dxa"/>
            <w:bottom w:w="0" w:type="dxa"/>
            <w:right w:w="0" w:type="dxa"/>
          </w:tblCellMar>
        </w:tblPrEx>
        <w:trPr>
          <w:trHeight w:val="403"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kern w:val="0"/>
                <w:sz w:val="28"/>
                <w:szCs w:val="28"/>
                <w:lang w:bidi="ar"/>
              </w:rPr>
            </w:pPr>
            <w:r>
              <w:rPr>
                <w:rFonts w:ascii="仿宋_GB2312" w:hAnsi="宋体" w:eastAsia="仿宋_GB2312" w:cs="宋体"/>
                <w:kern w:val="0"/>
                <w:sz w:val="28"/>
                <w:szCs w:val="28"/>
                <w:lang w:bidi="ar"/>
              </w:rPr>
              <w:t>1</w:t>
            </w:r>
          </w:p>
        </w:tc>
        <w:tc>
          <w:tcPr>
            <w:tcW w:w="3685"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亦庄线</w:t>
            </w:r>
          </w:p>
        </w:tc>
        <w:tc>
          <w:tcPr>
            <w:tcW w:w="2268"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北区界</w:t>
            </w:r>
          </w:p>
        </w:tc>
        <w:tc>
          <w:tcPr>
            <w:tcW w:w="2268"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经海六路（入地处）</w:t>
            </w:r>
          </w:p>
        </w:tc>
      </w:tr>
      <w:tr>
        <w:tblPrEx>
          <w:tblCellMar>
            <w:top w:w="0" w:type="dxa"/>
            <w:left w:w="0" w:type="dxa"/>
            <w:bottom w:w="0" w:type="dxa"/>
            <w:right w:w="0" w:type="dxa"/>
          </w:tblCellMar>
        </w:tblPrEx>
        <w:trPr>
          <w:trHeight w:val="403"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2</w:t>
            </w:r>
          </w:p>
        </w:tc>
        <w:tc>
          <w:tcPr>
            <w:tcW w:w="3685"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亦庄T1线</w:t>
            </w:r>
          </w:p>
        </w:tc>
        <w:tc>
          <w:tcPr>
            <w:tcW w:w="2268"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定海园站</w:t>
            </w:r>
          </w:p>
        </w:tc>
        <w:tc>
          <w:tcPr>
            <w:tcW w:w="2268" w:type="dxa"/>
            <w:tcBorders>
              <w:top w:val="single" w:color="000000" w:sz="4" w:space="0"/>
              <w:left w:val="single" w:color="000000" w:sz="4" w:space="0"/>
              <w:bottom w:val="single" w:color="000000" w:sz="4" w:space="0"/>
              <w:right w:val="single" w:color="000000" w:sz="4" w:space="0"/>
            </w:tcBorders>
            <w:noWrap/>
            <w:tcMar>
              <w:top w:w="7" w:type="dxa"/>
              <w:left w:w="7" w:type="dxa"/>
              <w:right w:w="7" w:type="dxa"/>
            </w:tcMar>
            <w:vAlign w:val="center"/>
          </w:tcPr>
          <w:p>
            <w:pPr>
              <w:widowControl/>
              <w:ind w:firstLine="0" w:firstLineChars="0"/>
              <w:jc w:val="center"/>
              <w:textAlignment w:val="bottom"/>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南区界</w:t>
            </w:r>
          </w:p>
        </w:tc>
      </w:tr>
    </w:tbl>
    <w:p>
      <w:pPr>
        <w:pStyle w:val="2"/>
        <w:spacing w:after="312" w:afterLines="100" w:line="240" w:lineRule="auto"/>
        <w:ind w:firstLine="0" w:firstLineChars="0"/>
        <w:rPr>
          <w:rFonts w:ascii="黑体" w:hAnsi="宋体" w:eastAsia="黑体"/>
          <w:sz w:val="32"/>
          <w:szCs w:val="32"/>
        </w:rPr>
      </w:pPr>
      <w:r>
        <w:br w:type="page"/>
      </w:r>
      <w:r>
        <w:rPr>
          <w:rFonts w:hint="eastAsia" w:ascii="黑体" w:hAnsi="宋体" w:eastAsia="黑体"/>
          <w:sz w:val="32"/>
          <w:szCs w:val="32"/>
        </w:rPr>
        <w:t>附件3</w:t>
      </w:r>
    </w:p>
    <w:p>
      <w:pPr>
        <w:pStyle w:val="2"/>
        <w:ind w:firstLine="0" w:firstLineChars="0"/>
      </w:pPr>
      <w:r>
        <w:drawing>
          <wp:inline distT="0" distB="0" distL="0" distR="0">
            <wp:extent cx="5770245" cy="7582535"/>
            <wp:effectExtent l="0" t="0" r="1905" b="0"/>
            <wp:docPr id="6250523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52321" name="图片 1"/>
                    <pic:cNvPicPr>
                      <a:picLocks noChangeAspect="1" noChangeArrowheads="1"/>
                    </pic:cNvPicPr>
                  </pic:nvPicPr>
                  <pic:blipFill>
                    <a:blip r:embed="rId12">
                      <a:extLst>
                        <a:ext uri="{28A0092B-C50C-407E-A947-70E740481C1C}">
                          <a14:useLocalDpi xmlns:a14="http://schemas.microsoft.com/office/drawing/2010/main" val="0"/>
                        </a:ext>
                      </a:extLst>
                    </a:blip>
                    <a:srcRect r="652"/>
                    <a:stretch>
                      <a:fillRect/>
                    </a:stretch>
                  </pic:blipFill>
                  <pic:spPr>
                    <a:xfrm>
                      <a:off x="0" y="0"/>
                      <a:ext cx="5772475" cy="7585527"/>
                    </a:xfrm>
                    <a:prstGeom prst="rect">
                      <a:avLst/>
                    </a:prstGeom>
                    <a:noFill/>
                    <a:ln>
                      <a:noFill/>
                    </a:ln>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pPr>
                      <w:pStyle w:val="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zNWU5ZGY5NWZiODk5YzA1ZDZiMmJmZTIzNTZlODcifQ=="/>
  </w:docVars>
  <w:rsids>
    <w:rsidRoot w:val="31B16521"/>
    <w:rsid w:val="000372FA"/>
    <w:rsid w:val="00047700"/>
    <w:rsid w:val="000730AE"/>
    <w:rsid w:val="00095E39"/>
    <w:rsid w:val="000A12EA"/>
    <w:rsid w:val="000B6E80"/>
    <w:rsid w:val="000E3D5B"/>
    <w:rsid w:val="000E5911"/>
    <w:rsid w:val="00101B8A"/>
    <w:rsid w:val="0015134F"/>
    <w:rsid w:val="00170A87"/>
    <w:rsid w:val="001761F7"/>
    <w:rsid w:val="00183508"/>
    <w:rsid w:val="00183B9A"/>
    <w:rsid w:val="0019166C"/>
    <w:rsid w:val="00196A1B"/>
    <w:rsid w:val="001B0ADA"/>
    <w:rsid w:val="001D1662"/>
    <w:rsid w:val="001D305C"/>
    <w:rsid w:val="00215894"/>
    <w:rsid w:val="002339BA"/>
    <w:rsid w:val="00243DD4"/>
    <w:rsid w:val="00247D17"/>
    <w:rsid w:val="00257A34"/>
    <w:rsid w:val="00265BD2"/>
    <w:rsid w:val="00273715"/>
    <w:rsid w:val="002850BF"/>
    <w:rsid w:val="002859C6"/>
    <w:rsid w:val="002B5953"/>
    <w:rsid w:val="002C5B1E"/>
    <w:rsid w:val="002D4835"/>
    <w:rsid w:val="00311D44"/>
    <w:rsid w:val="00316BAA"/>
    <w:rsid w:val="0031702A"/>
    <w:rsid w:val="00347AC6"/>
    <w:rsid w:val="00361E7B"/>
    <w:rsid w:val="003C3621"/>
    <w:rsid w:val="003C6B65"/>
    <w:rsid w:val="00410B4C"/>
    <w:rsid w:val="00476DA5"/>
    <w:rsid w:val="00482333"/>
    <w:rsid w:val="004A4C92"/>
    <w:rsid w:val="004B561F"/>
    <w:rsid w:val="004D1CAF"/>
    <w:rsid w:val="005055FE"/>
    <w:rsid w:val="00523C13"/>
    <w:rsid w:val="00583146"/>
    <w:rsid w:val="005E1150"/>
    <w:rsid w:val="005F1E51"/>
    <w:rsid w:val="005F63C1"/>
    <w:rsid w:val="00637584"/>
    <w:rsid w:val="00650AB2"/>
    <w:rsid w:val="00684622"/>
    <w:rsid w:val="006C31B4"/>
    <w:rsid w:val="006D26CF"/>
    <w:rsid w:val="00702318"/>
    <w:rsid w:val="00707CEE"/>
    <w:rsid w:val="00746770"/>
    <w:rsid w:val="00761EFC"/>
    <w:rsid w:val="00796C6E"/>
    <w:rsid w:val="007B211F"/>
    <w:rsid w:val="007C26FD"/>
    <w:rsid w:val="007F35D0"/>
    <w:rsid w:val="00866385"/>
    <w:rsid w:val="008A3623"/>
    <w:rsid w:val="008F1ED1"/>
    <w:rsid w:val="008F67A2"/>
    <w:rsid w:val="009118BB"/>
    <w:rsid w:val="00946A4F"/>
    <w:rsid w:val="00951890"/>
    <w:rsid w:val="009624B5"/>
    <w:rsid w:val="00971A85"/>
    <w:rsid w:val="00974C20"/>
    <w:rsid w:val="009C0483"/>
    <w:rsid w:val="009C17F7"/>
    <w:rsid w:val="009E5EE9"/>
    <w:rsid w:val="009F152D"/>
    <w:rsid w:val="00A01BA3"/>
    <w:rsid w:val="00A035B3"/>
    <w:rsid w:val="00A2124F"/>
    <w:rsid w:val="00A32C70"/>
    <w:rsid w:val="00A47FDF"/>
    <w:rsid w:val="00A641C4"/>
    <w:rsid w:val="00A71C93"/>
    <w:rsid w:val="00AA3DA2"/>
    <w:rsid w:val="00AD1089"/>
    <w:rsid w:val="00AD7C26"/>
    <w:rsid w:val="00AF065A"/>
    <w:rsid w:val="00B274DE"/>
    <w:rsid w:val="00B8327A"/>
    <w:rsid w:val="00B87A24"/>
    <w:rsid w:val="00C05A6B"/>
    <w:rsid w:val="00C15658"/>
    <w:rsid w:val="00C32803"/>
    <w:rsid w:val="00C5506E"/>
    <w:rsid w:val="00C62659"/>
    <w:rsid w:val="00C67033"/>
    <w:rsid w:val="00C83612"/>
    <w:rsid w:val="00C8686A"/>
    <w:rsid w:val="00C90AFC"/>
    <w:rsid w:val="00C9642B"/>
    <w:rsid w:val="00CB25BF"/>
    <w:rsid w:val="00CD2A19"/>
    <w:rsid w:val="00CD2C9F"/>
    <w:rsid w:val="00CF0D51"/>
    <w:rsid w:val="00D54E13"/>
    <w:rsid w:val="00D6382D"/>
    <w:rsid w:val="00E01A17"/>
    <w:rsid w:val="00E073E0"/>
    <w:rsid w:val="00E81495"/>
    <w:rsid w:val="00E91283"/>
    <w:rsid w:val="00EB3E0C"/>
    <w:rsid w:val="00ED35E6"/>
    <w:rsid w:val="00F02456"/>
    <w:rsid w:val="00F07EB7"/>
    <w:rsid w:val="00F1369A"/>
    <w:rsid w:val="00F34AC5"/>
    <w:rsid w:val="00F5265A"/>
    <w:rsid w:val="00F652C8"/>
    <w:rsid w:val="00F72E26"/>
    <w:rsid w:val="00F916DC"/>
    <w:rsid w:val="00F922D3"/>
    <w:rsid w:val="00FE66A0"/>
    <w:rsid w:val="00FF371A"/>
    <w:rsid w:val="00FF5660"/>
    <w:rsid w:val="03596B97"/>
    <w:rsid w:val="039C3E64"/>
    <w:rsid w:val="04155920"/>
    <w:rsid w:val="05012484"/>
    <w:rsid w:val="069F5B64"/>
    <w:rsid w:val="06FA0B00"/>
    <w:rsid w:val="08C67391"/>
    <w:rsid w:val="090E048F"/>
    <w:rsid w:val="09DD4E2B"/>
    <w:rsid w:val="0A6E5533"/>
    <w:rsid w:val="0A762E91"/>
    <w:rsid w:val="0AB54F45"/>
    <w:rsid w:val="0AF14335"/>
    <w:rsid w:val="0B5D2277"/>
    <w:rsid w:val="0B6D4294"/>
    <w:rsid w:val="0BCE4B75"/>
    <w:rsid w:val="0BD12BE3"/>
    <w:rsid w:val="0C542FD4"/>
    <w:rsid w:val="0D186481"/>
    <w:rsid w:val="0EF10D38"/>
    <w:rsid w:val="0F180B33"/>
    <w:rsid w:val="11172377"/>
    <w:rsid w:val="11D5182E"/>
    <w:rsid w:val="123A6D11"/>
    <w:rsid w:val="12C02EFB"/>
    <w:rsid w:val="153573F8"/>
    <w:rsid w:val="157F52EF"/>
    <w:rsid w:val="15A00868"/>
    <w:rsid w:val="16092B9C"/>
    <w:rsid w:val="1621234B"/>
    <w:rsid w:val="16467BBB"/>
    <w:rsid w:val="16C45831"/>
    <w:rsid w:val="17AF42BB"/>
    <w:rsid w:val="18C15C1F"/>
    <w:rsid w:val="19D90D46"/>
    <w:rsid w:val="1A0334EA"/>
    <w:rsid w:val="1AFD5F22"/>
    <w:rsid w:val="1C943B4C"/>
    <w:rsid w:val="1CFD623F"/>
    <w:rsid w:val="1D0F6519"/>
    <w:rsid w:val="1D2C63B9"/>
    <w:rsid w:val="1D913F67"/>
    <w:rsid w:val="1DAC3D5A"/>
    <w:rsid w:val="1DCD4349"/>
    <w:rsid w:val="1E4A4D39"/>
    <w:rsid w:val="1E4D0FDF"/>
    <w:rsid w:val="1EB1403F"/>
    <w:rsid w:val="1F9A4AD4"/>
    <w:rsid w:val="203025A9"/>
    <w:rsid w:val="20651585"/>
    <w:rsid w:val="22654D47"/>
    <w:rsid w:val="231E2329"/>
    <w:rsid w:val="259226A5"/>
    <w:rsid w:val="26075B8B"/>
    <w:rsid w:val="262A3DAC"/>
    <w:rsid w:val="27675510"/>
    <w:rsid w:val="27C313CD"/>
    <w:rsid w:val="29284336"/>
    <w:rsid w:val="29F714A0"/>
    <w:rsid w:val="2B4514FB"/>
    <w:rsid w:val="2B7859AF"/>
    <w:rsid w:val="2B8A6344"/>
    <w:rsid w:val="2C8903AA"/>
    <w:rsid w:val="2D4D2B6B"/>
    <w:rsid w:val="2DCD6212"/>
    <w:rsid w:val="2E277E7A"/>
    <w:rsid w:val="2EA03D03"/>
    <w:rsid w:val="2EE11D58"/>
    <w:rsid w:val="301937F3"/>
    <w:rsid w:val="303F594F"/>
    <w:rsid w:val="31135BA1"/>
    <w:rsid w:val="314B6E77"/>
    <w:rsid w:val="31B16521"/>
    <w:rsid w:val="32D06D32"/>
    <w:rsid w:val="34B7615B"/>
    <w:rsid w:val="35E47FCC"/>
    <w:rsid w:val="3619514A"/>
    <w:rsid w:val="367F2294"/>
    <w:rsid w:val="36EE0774"/>
    <w:rsid w:val="3747497F"/>
    <w:rsid w:val="38197B73"/>
    <w:rsid w:val="38533AB5"/>
    <w:rsid w:val="39B93D4B"/>
    <w:rsid w:val="39F71049"/>
    <w:rsid w:val="3A1D0886"/>
    <w:rsid w:val="3AE05FE5"/>
    <w:rsid w:val="3AE95C32"/>
    <w:rsid w:val="3B0D5A35"/>
    <w:rsid w:val="3B7019AF"/>
    <w:rsid w:val="3BB371F1"/>
    <w:rsid w:val="3C600091"/>
    <w:rsid w:val="3D1E68EC"/>
    <w:rsid w:val="3D336B56"/>
    <w:rsid w:val="3DCC2666"/>
    <w:rsid w:val="3E526094"/>
    <w:rsid w:val="3E9347FD"/>
    <w:rsid w:val="3F9D1D4A"/>
    <w:rsid w:val="42AE7F82"/>
    <w:rsid w:val="42D31FAD"/>
    <w:rsid w:val="42F57BE8"/>
    <w:rsid w:val="44AE2C66"/>
    <w:rsid w:val="44C22253"/>
    <w:rsid w:val="452013CA"/>
    <w:rsid w:val="452B7DF8"/>
    <w:rsid w:val="46592DAD"/>
    <w:rsid w:val="47B70069"/>
    <w:rsid w:val="47E97EB9"/>
    <w:rsid w:val="48993A47"/>
    <w:rsid w:val="49A02A60"/>
    <w:rsid w:val="4A3270E4"/>
    <w:rsid w:val="4B9874CE"/>
    <w:rsid w:val="4D0E3703"/>
    <w:rsid w:val="4DA12318"/>
    <w:rsid w:val="4DC5064E"/>
    <w:rsid w:val="4E6C5F5C"/>
    <w:rsid w:val="4E8326E2"/>
    <w:rsid w:val="4FF86CF7"/>
    <w:rsid w:val="50CA6717"/>
    <w:rsid w:val="50E53BEB"/>
    <w:rsid w:val="52850173"/>
    <w:rsid w:val="52DF776B"/>
    <w:rsid w:val="54532EC8"/>
    <w:rsid w:val="54747A90"/>
    <w:rsid w:val="550B72FE"/>
    <w:rsid w:val="55833339"/>
    <w:rsid w:val="560E67A3"/>
    <w:rsid w:val="56890735"/>
    <w:rsid w:val="57505858"/>
    <w:rsid w:val="578E4E34"/>
    <w:rsid w:val="583B63E9"/>
    <w:rsid w:val="591744C4"/>
    <w:rsid w:val="59512650"/>
    <w:rsid w:val="599A1A6C"/>
    <w:rsid w:val="5AB75161"/>
    <w:rsid w:val="5AD22D98"/>
    <w:rsid w:val="5AD24A38"/>
    <w:rsid w:val="5BF60D08"/>
    <w:rsid w:val="5D196A53"/>
    <w:rsid w:val="5E826760"/>
    <w:rsid w:val="5E843DA0"/>
    <w:rsid w:val="5EC424E3"/>
    <w:rsid w:val="5ED115B9"/>
    <w:rsid w:val="5FAB1E0A"/>
    <w:rsid w:val="5FB4319C"/>
    <w:rsid w:val="5FD01870"/>
    <w:rsid w:val="60B747FE"/>
    <w:rsid w:val="6109222D"/>
    <w:rsid w:val="61C55054"/>
    <w:rsid w:val="62453F3F"/>
    <w:rsid w:val="62C3746A"/>
    <w:rsid w:val="647E6E92"/>
    <w:rsid w:val="64C01ECD"/>
    <w:rsid w:val="64F508AF"/>
    <w:rsid w:val="658F4228"/>
    <w:rsid w:val="65A62A83"/>
    <w:rsid w:val="65A7350B"/>
    <w:rsid w:val="65B05023"/>
    <w:rsid w:val="67C73559"/>
    <w:rsid w:val="67D55C76"/>
    <w:rsid w:val="680B5B3B"/>
    <w:rsid w:val="69D56401"/>
    <w:rsid w:val="6AE56D7C"/>
    <w:rsid w:val="6B836F47"/>
    <w:rsid w:val="6BA918F3"/>
    <w:rsid w:val="6BD57527"/>
    <w:rsid w:val="6CA70567"/>
    <w:rsid w:val="6DAA1953"/>
    <w:rsid w:val="6E0E5A3E"/>
    <w:rsid w:val="716D33C3"/>
    <w:rsid w:val="71DD6189"/>
    <w:rsid w:val="73D27A4E"/>
    <w:rsid w:val="7683749F"/>
    <w:rsid w:val="769D3E02"/>
    <w:rsid w:val="775D7CA8"/>
    <w:rsid w:val="77D25D2E"/>
    <w:rsid w:val="78F54081"/>
    <w:rsid w:val="799E295C"/>
    <w:rsid w:val="79EE111E"/>
    <w:rsid w:val="7AB530B6"/>
    <w:rsid w:val="7AF03DBF"/>
    <w:rsid w:val="7C2E2512"/>
    <w:rsid w:val="7C4116D4"/>
    <w:rsid w:val="7CAF663E"/>
    <w:rsid w:val="7D7426FB"/>
    <w:rsid w:val="7DD24CD9"/>
    <w:rsid w:val="7E0435B3"/>
    <w:rsid w:val="7EDA0285"/>
    <w:rsid w:val="7EEA7E01"/>
    <w:rsid w:val="7EF65E95"/>
    <w:rsid w:val="7F031450"/>
    <w:rsid w:val="7F8F0BDA"/>
    <w:rsid w:val="7FED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link w:val="15"/>
    <w:qFormat/>
    <w:uiPriority w:val="9"/>
    <w:pPr>
      <w:keepNext/>
      <w:keepLines/>
      <w:spacing w:before="60" w:after="60"/>
      <w:outlineLvl w:val="0"/>
    </w:pPr>
    <w:rPr>
      <w:b/>
      <w:bCs/>
      <w:kern w:val="44"/>
      <w:sz w:val="32"/>
      <w:szCs w:val="44"/>
    </w:rPr>
  </w:style>
  <w:style w:type="paragraph" w:styleId="4">
    <w:name w:val="heading 2"/>
    <w:basedOn w:val="1"/>
    <w:next w:val="5"/>
    <w:qFormat/>
    <w:uiPriority w:val="0"/>
    <w:pPr>
      <w:keepNext/>
      <w:keepLines/>
      <w:tabs>
        <w:tab w:val="left" w:pos="1755"/>
      </w:tabs>
      <w:spacing w:before="60" w:after="60"/>
      <w:jc w:val="left"/>
      <w:outlineLvl w:val="1"/>
    </w:pPr>
    <w:rPr>
      <w:rFonts w:eastAsia="黑体"/>
      <w:b/>
      <w:sz w:val="2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er"/>
    <w:basedOn w:val="1"/>
    <w:next w:val="1"/>
    <w:link w:val="18"/>
    <w:unhideWhenUsed/>
    <w:qFormat/>
    <w:uiPriority w:val="99"/>
    <w:pPr>
      <w:tabs>
        <w:tab w:val="center" w:pos="4153"/>
        <w:tab w:val="right" w:pos="8306"/>
      </w:tabs>
      <w:snapToGrid w:val="0"/>
      <w:jc w:val="left"/>
    </w:pPr>
    <w:rPr>
      <w:sz w:val="18"/>
      <w:szCs w:val="18"/>
    </w:rPr>
  </w:style>
  <w:style w:type="paragraph" w:styleId="5">
    <w:name w:val="Normal Indent"/>
    <w:basedOn w:val="1"/>
    <w:qFormat/>
    <w:uiPriority w:val="0"/>
    <w:rPr>
      <w:rFonts w:ascii="宋体"/>
      <w:spacing w:val="20"/>
    </w:rPr>
  </w:style>
  <w:style w:type="paragraph" w:styleId="6">
    <w:name w:val="header"/>
    <w:basedOn w:val="1"/>
    <w:link w:val="17"/>
    <w:unhideWhenUsed/>
    <w:qFormat/>
    <w:uiPriority w:val="99"/>
    <w:pP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9">
    <w:name w:val="Title"/>
    <w:basedOn w:val="1"/>
    <w:next w:val="1"/>
    <w:qFormat/>
    <w:uiPriority w:val="0"/>
    <w:pPr>
      <w:ind w:firstLine="0" w:firstLineChars="0"/>
      <w:jc w:val="center"/>
    </w:pPr>
    <w:rPr>
      <w:rFonts w:eastAsia="黑体"/>
      <w:sz w:val="36"/>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qFormat/>
    <w:uiPriority w:val="20"/>
    <w:rPr>
      <w:i/>
    </w:rPr>
  </w:style>
  <w:style w:type="character" w:styleId="14">
    <w:name w:val="Hyperlink"/>
    <w:unhideWhenUsed/>
    <w:qFormat/>
    <w:uiPriority w:val="99"/>
    <w:rPr>
      <w:color w:val="0000FF"/>
      <w:u w:val="single"/>
    </w:rPr>
  </w:style>
  <w:style w:type="character" w:customStyle="1" w:styleId="15">
    <w:name w:val="标题 1 字符"/>
    <w:link w:val="3"/>
    <w:qFormat/>
    <w:uiPriority w:val="9"/>
    <w:rPr>
      <w:rFonts w:ascii="Calibri" w:hAnsi="Calibri" w:eastAsia="宋体"/>
      <w:b/>
      <w:bCs/>
      <w:kern w:val="44"/>
      <w:sz w:val="32"/>
      <w:szCs w:val="44"/>
    </w:rPr>
  </w:style>
  <w:style w:type="character" w:styleId="16">
    <w:name w:val="Placeholder Text"/>
    <w:semiHidden/>
    <w:qFormat/>
    <w:uiPriority w:val="99"/>
    <w:rPr>
      <w:color w:val="808080"/>
    </w:rPr>
  </w:style>
  <w:style w:type="character" w:customStyle="1" w:styleId="17">
    <w:name w:val="页眉 字符"/>
    <w:link w:val="6"/>
    <w:qFormat/>
    <w:uiPriority w:val="99"/>
    <w:rPr>
      <w:sz w:val="18"/>
      <w:szCs w:val="18"/>
    </w:rPr>
  </w:style>
  <w:style w:type="character" w:customStyle="1" w:styleId="18">
    <w:name w:val="页脚 字符"/>
    <w:link w:val="2"/>
    <w:qFormat/>
    <w:uiPriority w:val="99"/>
    <w:rPr>
      <w:sz w:val="18"/>
      <w:szCs w:val="18"/>
    </w:rPr>
  </w:style>
  <w:style w:type="paragraph" w:customStyle="1" w:styleId="19">
    <w:name w:val="正文文本 2 New"/>
    <w:basedOn w:val="1"/>
    <w:qFormat/>
    <w:uiPriority w:val="0"/>
    <w:pPr>
      <w:spacing w:after="120" w:line="480" w:lineRule="auto"/>
    </w:pPr>
  </w:style>
  <w:style w:type="paragraph" w:styleId="20">
    <w:name w:val="List Paragraph"/>
    <w:basedOn w:val="1"/>
    <w:qFormat/>
    <w:uiPriority w:val="0"/>
    <w:pPr>
      <w:widowControl/>
      <w:spacing w:after="624" w:line="252" w:lineRule="auto"/>
      <w:ind w:left="720"/>
      <w:contextualSpacing/>
    </w:pPr>
    <w:rPr>
      <w:rFonts w:ascii="Cambria" w:hAnsi="Cambria"/>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700</Words>
  <Characters>3992</Characters>
  <Lines>33</Lines>
  <Paragraphs>9</Paragraphs>
  <TotalTime>0</TotalTime>
  <ScaleCrop>false</ScaleCrop>
  <LinksUpToDate>false</LinksUpToDate>
  <CharactersWithSpaces>4683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2025-02-10T03:25:00Z</dcterms:created>
  <dc:creator>姜葱蒜</dc:creator>
  <cp:lastModifiedBy>遇见</cp:lastModifiedBy>
  <cp:lastPrinted>2025-02-13T06:56:37Z</cp:lastPrinted>
  <dcterms:modified xsi:type="dcterms:W3CDTF">2025-02-13T06:56:52Z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3BBE731723324843BFBA6DF2B2ECC3C1</vt:lpwstr>
  </property>
  <property fmtid="{D5CDD505-2E9C-101B-9397-08002B2CF9AE}" pid="4" name="KSOTemplateDocerSaveRecord">
    <vt:lpwstr>eyJoZGlkIjoiZTMzNWU5ZGY5NWZiODk5YzA1ZDZiMmJmZTIzNTZlODciLCJ1c2VySWQiOiI0MjQ4NzA3NjkifQ==</vt:lpwstr>
  </property>
</Properties>
</file>