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8DBD">
      <w:pPr>
        <w:spacing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《安全生产等级评定技术规范 第37部分：旅游客运企业》</w:t>
      </w:r>
    </w:p>
    <w:p w14:paraId="324A687F">
      <w:pPr>
        <w:spacing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北京市地方标准修订编制说明</w:t>
      </w:r>
    </w:p>
    <w:p w14:paraId="34AE4A00">
      <w:pPr>
        <w:spacing w:line="500" w:lineRule="exact"/>
        <w:ind w:firstLine="560" w:firstLineChars="200"/>
        <w:rPr>
          <w:rFonts w:hint="eastAsia" w:ascii="仿宋_GB2312" w:hAnsi="仿宋_GB2312" w:eastAsia="仿宋_GB2312" w:cs="仿宋_GB2312"/>
          <w:sz w:val="28"/>
          <w:szCs w:val="28"/>
        </w:rPr>
      </w:pPr>
    </w:p>
    <w:p w14:paraId="373B6E30">
      <w:pPr>
        <w:spacing w:line="500" w:lineRule="exact"/>
        <w:ind w:firstLine="560" w:firstLineChars="200"/>
        <w:rPr>
          <w:rFonts w:ascii="仿宋_GB2312" w:hAnsi="仿宋_GB2312" w:eastAsia="仿宋_GB2312" w:cs="仿宋_GB2312"/>
          <w:sz w:val="28"/>
          <w:szCs w:val="28"/>
        </w:rPr>
      </w:pPr>
    </w:p>
    <w:p w14:paraId="1D59BF4A">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一、任务来源、起草单位、主要起草人</w:t>
      </w:r>
    </w:p>
    <w:p w14:paraId="170C32D5">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（一）任务来源</w:t>
      </w:r>
    </w:p>
    <w:p w14:paraId="4A06CAA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贯彻《首都标准化发展纲要2035》，落实《推动首都高质量发展标准体系建设实施方案》，2023年12月19日，北京市市场监管局印发《2023年北京市地方标准修订项目计划(第三批)》（京市监函[2023]149号），其中《安全生产等级评定技术规范 第37部分：旅游客运企业》修订列为2024年度标准计划（项目编号20231316）。本标准由北京市交通委员会提出、归口并组织实施。</w:t>
      </w:r>
    </w:p>
    <w:p w14:paraId="01994821">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（二）起草单位</w:t>
      </w:r>
    </w:p>
    <w:p w14:paraId="7070DD3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北京诺亚明升交通科技有限公司、北京市道路运输协会、北京北汽出租汽车集团有限责任公司、首都汽车旅游车有限公司。</w:t>
      </w:r>
    </w:p>
    <w:p w14:paraId="34E2C4B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主要起草人：蒋怡璇、徐亚博、高丰、韩芳、赵斌。</w:t>
      </w:r>
    </w:p>
    <w:p w14:paraId="7AA2A2E2">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二、标准修订的必要性和意义</w:t>
      </w:r>
    </w:p>
    <w:p w14:paraId="4C4FAD97">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（一）修订《安全生产等级评定技术规范 第37部分：旅游客运企业》是适应法律、法规调整的需要。</w:t>
      </w:r>
    </w:p>
    <w:p w14:paraId="27C34C8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《安全生产等级评定技术规范 第37部分：旅游客运企业》2017年12月15日发布，2018年7月1日实施，至今已经5年时间。期间，道路客运行业法律、法规进行了重大修订，行业安全管理要求发生重大变化。一是《中华人民共和国道路运输条例》2022年3月29日进行第四次修订，2023年7月20日《国务院关于修改和废止部分行政法规的决定》进行第五次修订。二是2022年9月21日交通运输部发布《关于修改〈道路旅客运输及客运站管理规定〉的决定》，新《客规》适应人们出行需求变化和人们安全、便捷出行要求，新增了定制客运服务章节，鼓励发展依托互联网平台开展线上预订、就近出行定制旅游客运服务。这样，2017年制订的地标相关要求明显与行业规章不符。三是与2017年地标紧密关联的《道路旅客运输企业安全管理规范》进行修订，于2018年4月正式实施，对道路客运安全要求进行重大调整，例如驾驶员的安全教育培训由原来的每月2次调整为每月1次。同时，与2017年地标相关的《道路运输车辆动态监督管理办 》于2021年进行修订，9月1日经交通运输部第23次部务会议通过，并经公安部、应急管理部同意，予以公布，对旅游客运动态监控要求进行细化。四是依据《中华人民共和国安全生产法》等有关法律法规，制定的《企业安全生产费用提取和使用管理办法》2022年进行修订。该《办法》于2022年11月21日由财政部、应急管理部以财资〔2022〕136号印发。对旅游客运安全生产费用使用进行重大调整，将车辆保险纳入安全生产</w:t>
      </w:r>
      <w:bookmarkStart w:id="0" w:name="_GoBack"/>
      <w:bookmarkEnd w:id="0"/>
      <w:r>
        <w:rPr>
          <w:rFonts w:hint="eastAsia" w:ascii="仿宋_GB2312" w:hAnsi="仿宋_GB2312" w:eastAsia="仿宋_GB2312" w:cs="仿宋_GB2312"/>
          <w:sz w:val="28"/>
          <w:szCs w:val="28"/>
        </w:rPr>
        <w:t>经费使用范围。五是近年交通运输部和文化旅游部等多部委发布《关于交通与旅游融合发展指导意见》等多项重要行业融合发展文件。期间，2017年引用相关标准也进行了修订，发生变化。系列的法律法规和标准发生重大变化，所以修订2017年标准是法律法规和相关标准调整的需要。</w:t>
      </w:r>
    </w:p>
    <w:p w14:paraId="0A5AB1C1">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（二）修订《安全生产等级评定技术规范 第37部分：旅游客运企业》是保障旅游客运安全的客观需要。</w:t>
      </w:r>
    </w:p>
    <w:p w14:paraId="5461F82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疫情过后，旅游客运迅速恢复。北京作为世界旅游城市，游客来自世界各地，旅游客运安全已成为北京市安全管理重点行业和重点领域。北京作为世界旅游城市的同时，也是国内外重大活动的举办地。旅游客运是北京旅游和重大活动保障主力军。适应新的需求，对2017年标准进行修订调整，是本市旅游客运安全必不可少的重要工作。在旅游客运市场变化同时，近3年北京市旅游客运行业规模也迅速增长，旅游客运车辆由6800多辆增长至10000多辆。特别是适应北京绿色交通发展，纯电动旅游客运从无到有，增加了3000多辆，原标准缺乏对纯电动相关技术要求，适应旅游运力结构变化，原标准也急需修订。</w:t>
      </w:r>
    </w:p>
    <w:p w14:paraId="4D78DA9C">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三、主要工作过程</w:t>
      </w:r>
    </w:p>
    <w:p w14:paraId="30677D99">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（一）成立工作组</w:t>
      </w:r>
    </w:p>
    <w:p w14:paraId="0D4A11C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2024年2月，成立标准编制工作组，明确小组成员的工作内容和任务。</w:t>
      </w:r>
    </w:p>
    <w:p w14:paraId="6D98C5CC">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（二）收集资料</w:t>
      </w:r>
    </w:p>
    <w:p w14:paraId="18E9206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2024年3月 -6月，全面收集旅游客运企业安全管理相关法律法规、部门规章、国标行标、北京市有关旅游客运企业安全管理相关文件制度。</w:t>
      </w:r>
    </w:p>
    <w:p w14:paraId="428C6AC7">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（三）项目调研</w:t>
      </w:r>
    </w:p>
    <w:p w14:paraId="1FE934F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6月-9月，对本市北京北汽旅游车有限公司、首都旅游车限公司、北京银建运输有限公司、新月联合运输有限公司进行实地调研。标准编制课题组对企业基础管理和现场作业管理进行逐项调查分析。通过查阅记录、交流谈话、查看现场等对企业安全管理现状进行全面调研。</w:t>
      </w:r>
    </w:p>
    <w:p w14:paraId="50A13441">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（四）标准修订</w:t>
      </w:r>
    </w:p>
    <w:p w14:paraId="535E839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2024年9月1日-10月1日，根据调研以及旅游客运相关的标准规范、法律法规，开始标准修订工作。对标准正文进行了修订，形成标准讨论稿。</w:t>
      </w:r>
    </w:p>
    <w:p w14:paraId="6BEC34B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2024年11月20，起草单位组织召开专家讨论会，对标准修订讨论稿征求专家意见，并根据专家提出的意见进行了修订，形成标准征求意见稿。</w:t>
      </w:r>
    </w:p>
    <w:p w14:paraId="5FAF3508">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（五）意见征求</w:t>
      </w:r>
    </w:p>
    <w:p w14:paraId="5F926B1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2025年1月，该标准在市质监局网站向社会公开征求意见。</w:t>
      </w:r>
    </w:p>
    <w:p w14:paraId="0F24375E">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四、制定标准的原则和依据，与现行法律、法规、标准的关系</w:t>
      </w:r>
    </w:p>
    <w:p w14:paraId="7B6CBFF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的修订编制工作以本市旅游客运企业安全生产管理为基础，以《中华人民共和国安全生产法》、《道路旅客运输及客运站管理规定》、《北京市道路运输管理条例》等法律法规为修订编制依据，以新版《道路旅客运输企业安全管理规范》和本市旅游客运相关管理规定进行修订编写。本标准是对2017年发布标准的修订。</w:t>
      </w:r>
    </w:p>
    <w:p w14:paraId="160DC7D1">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五、主要条款的说明，主要技术指标、参数、实验验证的论述</w:t>
      </w:r>
    </w:p>
    <w:p w14:paraId="29B7694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根据相关法规、标准变化和《安全生产等级评定技术规范  第37部分：旅游客运企业》（JT/T1322.37）实施情况，编制组对标准中规范性引用文件、基础管理、场所环境、生产设备设施、操作人员行为规范等内容进行了补充修订，具体修订内容如下：</w:t>
      </w:r>
    </w:p>
    <w:p w14:paraId="7C4EA626">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（一）规范性引用文件</w:t>
      </w:r>
    </w:p>
    <w:p w14:paraId="70490C7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1、删除《道路运输车辆综合性能要求和检验方法》（GB18565）,该标准已被《机动车安全技术检验项目和方法》（GB 37900）替代。</w:t>
      </w:r>
    </w:p>
    <w:p w14:paraId="3D6F49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2、增加燃料电池电动汽车安全要求（GB 24549）、燃料电池电动汽车车载氢系统技术条件（GB/T 26990）、电动客车安全要求（GB 38032）。近年旅游客运新增纯电客车4000多辆，氢燃料电池客车300多辆。</w:t>
      </w:r>
    </w:p>
    <w:p w14:paraId="7150923D">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（二）基础管理部分</w:t>
      </w:r>
    </w:p>
    <w:p w14:paraId="3B07170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了3.1.2安全管理机构和人员条要求。依据交通运输部2023年11月11日发布的《道路旅客运输企业安全管理规范》第七条和第八条要求。道路旅客运输企业应当设置安全生产管理机构或者配备专职安全生产管理人员；主要负责人和安全生产管理人员应当具备与本单位所从事的生产经营活动相应的安全生产知识和管理能力。</w:t>
      </w:r>
    </w:p>
    <w:p w14:paraId="1A0C7FA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2、修改了原3.1.2.3车辆技术管理人员配备数量要求。专业车辆技术管理人员按照每50辆车1人的标准配备，最低不少于1人。</w:t>
      </w:r>
    </w:p>
    <w:p w14:paraId="6C8AF8E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3、修改原3.1.3.1安全生产经费提取要求，修改为按月提取。</w:t>
      </w:r>
    </w:p>
    <w:p w14:paraId="2A7B5C5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4、增加3.1.4.3驾驶员每2年接受继续教育，修改为每年接受不少于8学时继续教育，诚信考核等级为不合格的驾驶员的继续教育学时应不少于 18 学时。与《道路旅客运输企业安全管理规范》和《北京市驾驶员诚信考核实施细则》一致。</w:t>
      </w:r>
    </w:p>
    <w:p w14:paraId="5992EFF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5、修订原3.1.6.1d)款，分5款对驾驶员心身健康、违法等进行具体明确。</w:t>
      </w:r>
    </w:p>
    <w:p w14:paraId="750BC51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6、增加3.1.7车辆管理。3.1.7.1-3.1.7.4共4条。对车辆档案、维护、使用年限和报废管理提出技术要求。</w:t>
      </w:r>
    </w:p>
    <w:p w14:paraId="5F94192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7、增加3.1.9风险管理。3.1.9.1-3.1.9.5共5条。中共中央 国务院《关于推进安全生产领域改革发展的意见》明确提出构建安全风险分级管控和隐患排查治理双重预防机制，《道路旅客运输企业安全管理规范》第三十五条要求旅游客运企业经营者应当按照有关规定建立安全生产风险分级管控制度。本节分别从安全风险识别、评估、防控、告示、动态监控进行规定。</w:t>
      </w:r>
    </w:p>
    <w:p w14:paraId="4F96EB3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8、增加3.1.9违章及事故管理，4.1.9.1-4.1.9.3共3条。</w:t>
      </w:r>
    </w:p>
    <w:p w14:paraId="6BCAF10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根据海因里希法则，事故都产生于事故隐患。违章及事故的管理是客运企业管理重点。</w:t>
      </w:r>
    </w:p>
    <w:p w14:paraId="638D750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4.1.9.1要求每月查询违章和事故。</w:t>
      </w:r>
    </w:p>
    <w:p w14:paraId="44CF858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4.1.9.2定期对驾驶员违章及事故进行分析，及时教育和处理。</w:t>
      </w:r>
    </w:p>
    <w:p w14:paraId="6841784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4.1.9.3对事故处理：四不放过进行规定。</w:t>
      </w:r>
    </w:p>
    <w:p w14:paraId="32B05ADE">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（三）场所环境部分</w:t>
      </w:r>
    </w:p>
    <w:p w14:paraId="329AC20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1、增加3.2.2.2电动客车和燃料电池客车停车场应远离火源、热源、高压线和易燃易爆物品。</w:t>
      </w:r>
    </w:p>
    <w:p w14:paraId="7612560A">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（四）生产设备设施部分</w:t>
      </w:r>
    </w:p>
    <w:p w14:paraId="387BB31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2、增加3.3.2.1.4电动客车安全要求应符合GB37032的规定。</w:t>
      </w:r>
    </w:p>
    <w:p w14:paraId="7C937EE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3、增加燃料电池客车安全应符合GB/T 24549-2020、GB/T 26990的规定。</w:t>
      </w:r>
    </w:p>
    <w:p w14:paraId="4178718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3、删除原3.3.1.3车辆维护，并入车辆管理。</w:t>
      </w:r>
    </w:p>
    <w:p w14:paraId="44A853E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4、删除原3.3.1.4车辆报废，并入车辆管理。</w:t>
      </w:r>
    </w:p>
    <w:p w14:paraId="08A8D66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5、删除原3.3.1.5车辆档案管理，并入车辆管理。</w:t>
      </w:r>
    </w:p>
    <w:p w14:paraId="5035504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6、修改原3.3.2.1营运客车应安装具有行车记录功能卫星定位装置和智能视频监控装置，增加智能视频监控要求。</w:t>
      </w:r>
    </w:p>
    <w:p w14:paraId="2855BC77">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（五）操作人员规范部分</w:t>
      </w:r>
    </w:p>
    <w:p w14:paraId="7C2BE0B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1、增加3.4.5安全员</w:t>
      </w:r>
    </w:p>
    <w:p w14:paraId="3A57E0B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安全员应对驾驶员从业行为进行定期考核；应对监控员报告的违法驾驶采取措施制止；应对驾驶从业行为定期考核；应对一次计10分有以上诚信考核计分的驾驶员（重点人），应不继续安排上岗作业。</w:t>
      </w:r>
    </w:p>
    <w:p w14:paraId="58555EA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2、增加3.4.6停车管理员，对车辆出入记录管理，以及充设过充过放管理。</w:t>
      </w:r>
    </w:p>
    <w:p w14:paraId="5E1CAB5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1、增加驾驶员存在一次计10分及以上诚信考核计分情形且未严肃处理的，应不继续安排上岗作业，作为一级否决条款。</w:t>
      </w:r>
    </w:p>
    <w:p w14:paraId="0CE5384B">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（六）附录部分</w:t>
      </w:r>
    </w:p>
    <w:p w14:paraId="50AD3E0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1、附录A安全生产等级评定一级否决条款</w:t>
      </w:r>
    </w:p>
    <w:p w14:paraId="2130A56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安全生产管理机构和人员配备企业规模由10辆修改为20辆。</w:t>
      </w:r>
    </w:p>
    <w:p w14:paraId="624514C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2、附录B基础管理要求指标的安全生产等级评定细则</w:t>
      </w:r>
    </w:p>
    <w:p w14:paraId="0F3A623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（1）1.2.1增加调度管理制度要求。</w:t>
      </w:r>
    </w:p>
    <w:p w14:paraId="4DD6CEF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（2）1.4.2安全生产管理机构和人员配备企业规模由10辆修改为20辆。</w:t>
      </w:r>
    </w:p>
    <w:p w14:paraId="44CEC4A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（3）增加1.4.3分300辆（含）车以下和以下两种规模配备专职安全管理人员。</w:t>
      </w:r>
    </w:p>
    <w:p w14:paraId="4B5B1C3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（4）1.5.1安全生产费用提取修改为每月提取，保障投入。</w:t>
      </w:r>
    </w:p>
    <w:p w14:paraId="0156A39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（5）增加1.5.2建立安全生产费用台帐，定期跟踪、监督。</w:t>
      </w:r>
    </w:p>
    <w:p w14:paraId="73CE3BA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（6）承运人责任保险保额由40万元/人修改为100万元/人。</w:t>
      </w:r>
    </w:p>
    <w:p w14:paraId="49D4770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（7）1.6.3 主要负责人和安全管理人员初次培训学时由不少于32学时修改为不少于24学时，每年再培训学时由不少于24学时修改为不少于12学时。</w:t>
      </w:r>
    </w:p>
    <w:p w14:paraId="76E70D7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（8）1.6.3驾驶员每年接受继续教育，修改为每年接受8学时基础教育，诚信考核等级为不合格的驾驶员的继续教育学时应不少于 18 学时；</w:t>
      </w:r>
    </w:p>
    <w:p w14:paraId="18FBE0A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（9）1.8增加安全风险管理6条要求。</w:t>
      </w:r>
    </w:p>
    <w:p w14:paraId="11E715E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（10）增加1.12运营管理4条要求。</w:t>
      </w:r>
    </w:p>
    <w:p w14:paraId="69401C9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（11）增加1.13违章及事故管理3条要求。</w:t>
      </w:r>
    </w:p>
    <w:p w14:paraId="5B95358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3、附录C场所环境要素的安全生产等级评定细则</w:t>
      </w:r>
    </w:p>
    <w:p w14:paraId="06344F9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增加2.2.3电动和燃料电池客车停车场应远离火源、热源、高压线和易燃、易爆物品。</w:t>
      </w:r>
    </w:p>
    <w:p w14:paraId="1FDF41B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4、生产设备设施要素的安全生产等级评定细则</w:t>
      </w:r>
    </w:p>
    <w:p w14:paraId="52E97AE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（1）增加3.1.2.15电动客车安全技术要求。</w:t>
      </w:r>
    </w:p>
    <w:p w14:paraId="621CACD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（2）增加3.1.2.16燃料电池和车安全技术要求。</w:t>
      </w:r>
    </w:p>
    <w:p w14:paraId="011F5B1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（3）增加3.1.2.17车载氢系统安全技术要求。</w:t>
      </w:r>
    </w:p>
    <w:p w14:paraId="2AF5866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（4）原3.1.3-3.1.5细则并入车辆管理部分。</w:t>
      </w:r>
    </w:p>
    <w:p w14:paraId="2831CE20">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（八）操作人员行为规范要素的安全生产等级评定细则</w:t>
      </w:r>
    </w:p>
    <w:p w14:paraId="19BD632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1、增加4.2.1-4.2.4驾驶员配备、运次起讫地、单个运次最长日期和极端天气调度要求。</w:t>
      </w:r>
    </w:p>
    <w:p w14:paraId="11918FD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2、增加4.5安全员操作规范。定期教育、处理监控发生违法驾驶行为、对驾驶员定期考核和重点驾驶员处理要求。</w:t>
      </w:r>
    </w:p>
    <w:p w14:paraId="18491EC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3、增加停车管理员操作规范。对车辆出入记录，充电管理人员应定期检查。</w:t>
      </w:r>
    </w:p>
    <w:p w14:paraId="482EF320">
      <w:pPr>
        <w:spacing w:line="5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（九）分值权重</w:t>
      </w:r>
    </w:p>
    <w:p w14:paraId="4C31FC9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旅游客运企业安全生产等级评定总分为1000分，根据本次修订内容的增减，结合2017年版标准实施反馈，对标准分数权重进行调整。</w:t>
      </w:r>
    </w:p>
    <w:p w14:paraId="34B4D71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1、设定方法</w:t>
      </w:r>
    </w:p>
    <w:p w14:paraId="18ABA4A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标准编写组在调研听升降台企业、行业管理部门应用2017年版标准分值合理性建议基础上，采用专家评定法，合理调整各评定要素分值。</w:t>
      </w:r>
    </w:p>
    <w:p w14:paraId="0BD98A9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2、调整依据</w:t>
      </w:r>
    </w:p>
    <w:p w14:paraId="33A5B0F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一是依据行业安全风险分析结果，根据风险大小合理设定分值。二是根据安全管理实际对相关分值进行调整，增加新增内容等分值，适当减少文字记录等项目分值。</w:t>
      </w:r>
    </w:p>
    <w:p w14:paraId="7683013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3、总体分值结构。</w:t>
      </w:r>
    </w:p>
    <w:p w14:paraId="1AD1B29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旅游客运企业安全生产等级评定包括基础管理、设施设备和人员操作等5个部分。其结构如表1-1。</w:t>
      </w:r>
    </w:p>
    <w:p w14:paraId="79BDBD3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表1-1 旅游客运企业安全生产等级评定要素分值及权重</w:t>
      </w:r>
    </w:p>
    <w:tbl>
      <w:tblPr>
        <w:tblStyle w:val="4"/>
        <w:tblW w:w="0" w:type="auto"/>
        <w:jc w:val="center"/>
        <w:tblLayout w:type="fixed"/>
        <w:tblCellMar>
          <w:top w:w="15" w:type="dxa"/>
          <w:left w:w="15" w:type="dxa"/>
          <w:bottom w:w="15" w:type="dxa"/>
          <w:right w:w="15" w:type="dxa"/>
        </w:tblCellMar>
      </w:tblPr>
      <w:tblGrid>
        <w:gridCol w:w="900"/>
        <w:gridCol w:w="3465"/>
        <w:gridCol w:w="1635"/>
        <w:gridCol w:w="1635"/>
      </w:tblGrid>
      <w:tr w14:paraId="5D93AD79">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F120B06">
            <w:pPr>
              <w:spacing w:line="360" w:lineRule="auto"/>
              <w:jc w:val="center"/>
              <w:rPr>
                <w:rFonts w:ascii="仿宋" w:hAnsi="仿宋" w:eastAsia="仿宋"/>
                <w:sz w:val="24"/>
              </w:rPr>
            </w:pPr>
            <w:r>
              <w:rPr>
                <w:rFonts w:hint="eastAsia" w:ascii="仿宋" w:hAnsi="仿宋" w:eastAsia="仿宋"/>
                <w:sz w:val="24"/>
              </w:rPr>
              <w:t>序号</w:t>
            </w:r>
          </w:p>
        </w:tc>
        <w:tc>
          <w:tcPr>
            <w:tcW w:w="3465" w:type="dxa"/>
            <w:tcBorders>
              <w:top w:val="single" w:color="000000" w:sz="4" w:space="0"/>
              <w:left w:val="single" w:color="000000" w:sz="4" w:space="0"/>
              <w:bottom w:val="single" w:color="000000" w:sz="4" w:space="0"/>
              <w:right w:val="single" w:color="000000" w:sz="4" w:space="0"/>
            </w:tcBorders>
            <w:vAlign w:val="center"/>
          </w:tcPr>
          <w:p w14:paraId="723DF02B">
            <w:pPr>
              <w:spacing w:line="360" w:lineRule="auto"/>
              <w:jc w:val="center"/>
              <w:rPr>
                <w:rFonts w:ascii="仿宋" w:hAnsi="仿宋" w:eastAsia="仿宋"/>
                <w:sz w:val="24"/>
              </w:rPr>
            </w:pPr>
            <w:r>
              <w:rPr>
                <w:rFonts w:hint="eastAsia" w:ascii="仿宋" w:hAnsi="仿宋" w:eastAsia="仿宋"/>
                <w:sz w:val="24"/>
              </w:rPr>
              <w:t>项  目</w:t>
            </w:r>
          </w:p>
        </w:tc>
        <w:tc>
          <w:tcPr>
            <w:tcW w:w="1635" w:type="dxa"/>
            <w:tcBorders>
              <w:top w:val="single" w:color="000000" w:sz="4" w:space="0"/>
              <w:left w:val="single" w:color="000000" w:sz="4" w:space="0"/>
              <w:bottom w:val="single" w:color="000000" w:sz="4" w:space="0"/>
              <w:right w:val="single" w:color="000000" w:sz="4" w:space="0"/>
            </w:tcBorders>
            <w:vAlign w:val="center"/>
          </w:tcPr>
          <w:p w14:paraId="4D339FBA">
            <w:pPr>
              <w:spacing w:line="360" w:lineRule="auto"/>
              <w:jc w:val="center"/>
              <w:rPr>
                <w:rFonts w:ascii="仿宋" w:hAnsi="仿宋" w:eastAsia="仿宋"/>
                <w:sz w:val="24"/>
              </w:rPr>
            </w:pPr>
            <w:r>
              <w:rPr>
                <w:rFonts w:hint="eastAsia" w:ascii="仿宋" w:hAnsi="仿宋" w:eastAsia="仿宋"/>
                <w:sz w:val="24"/>
              </w:rPr>
              <w:t>分值</w:t>
            </w:r>
          </w:p>
        </w:tc>
        <w:tc>
          <w:tcPr>
            <w:tcW w:w="1635" w:type="dxa"/>
            <w:tcBorders>
              <w:top w:val="single" w:color="000000" w:sz="4" w:space="0"/>
              <w:left w:val="single" w:color="000000" w:sz="4" w:space="0"/>
              <w:bottom w:val="single" w:color="000000" w:sz="4" w:space="0"/>
              <w:right w:val="single" w:color="000000" w:sz="4" w:space="0"/>
            </w:tcBorders>
            <w:vAlign w:val="center"/>
          </w:tcPr>
          <w:p w14:paraId="50837105">
            <w:pPr>
              <w:spacing w:line="360" w:lineRule="auto"/>
              <w:jc w:val="center"/>
              <w:rPr>
                <w:rFonts w:ascii="仿宋" w:hAnsi="仿宋" w:eastAsia="仿宋"/>
                <w:sz w:val="24"/>
              </w:rPr>
            </w:pPr>
            <w:r>
              <w:rPr>
                <w:rFonts w:hint="eastAsia" w:ascii="仿宋" w:hAnsi="仿宋" w:eastAsia="仿宋"/>
                <w:sz w:val="24"/>
              </w:rPr>
              <w:t>权重比例</w:t>
            </w:r>
          </w:p>
        </w:tc>
      </w:tr>
      <w:tr w14:paraId="17FA672D">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0F0">
            <w:pPr>
              <w:spacing w:line="360" w:lineRule="auto"/>
              <w:jc w:val="center"/>
              <w:rPr>
                <w:rFonts w:ascii="仿宋" w:hAnsi="仿宋" w:eastAsia="仿宋"/>
                <w:sz w:val="24"/>
              </w:rPr>
            </w:pPr>
            <w:r>
              <w:rPr>
                <w:rFonts w:hint="eastAsia" w:ascii="仿宋" w:hAnsi="仿宋" w:eastAsia="仿宋"/>
                <w:sz w:val="24"/>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tcPr>
          <w:p w14:paraId="232C12D5">
            <w:pPr>
              <w:spacing w:line="360" w:lineRule="auto"/>
              <w:jc w:val="center"/>
              <w:rPr>
                <w:rFonts w:ascii="仿宋" w:hAnsi="仿宋" w:eastAsia="仿宋"/>
                <w:sz w:val="24"/>
              </w:rPr>
            </w:pPr>
            <w:r>
              <w:rPr>
                <w:rFonts w:hint="eastAsia" w:ascii="仿宋" w:hAnsi="仿宋" w:eastAsia="仿宋"/>
                <w:sz w:val="24"/>
              </w:rPr>
              <w:t>基础管理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3F55">
            <w:pPr>
              <w:spacing w:line="360" w:lineRule="auto"/>
              <w:jc w:val="center"/>
              <w:rPr>
                <w:rFonts w:ascii="仿宋" w:hAnsi="仿宋" w:eastAsia="仿宋"/>
                <w:sz w:val="24"/>
              </w:rPr>
            </w:pPr>
            <w:r>
              <w:rPr>
                <w:rFonts w:hint="eastAsia" w:ascii="仿宋" w:hAnsi="仿宋" w:eastAsia="仿宋"/>
                <w:sz w:val="24"/>
              </w:rPr>
              <w:t>400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846F">
            <w:pPr>
              <w:spacing w:line="360" w:lineRule="auto"/>
              <w:jc w:val="center"/>
              <w:rPr>
                <w:rFonts w:ascii="仿宋" w:hAnsi="仿宋" w:eastAsia="仿宋"/>
                <w:sz w:val="24"/>
              </w:rPr>
            </w:pPr>
            <w:r>
              <w:rPr>
                <w:rFonts w:hint="eastAsia" w:ascii="仿宋" w:hAnsi="仿宋" w:eastAsia="仿宋"/>
                <w:sz w:val="24"/>
              </w:rPr>
              <w:t>40.0%</w:t>
            </w:r>
          </w:p>
        </w:tc>
      </w:tr>
      <w:tr w14:paraId="5F77B101">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DC72">
            <w:pPr>
              <w:spacing w:line="360" w:lineRule="auto"/>
              <w:jc w:val="center"/>
              <w:rPr>
                <w:rFonts w:ascii="仿宋" w:hAnsi="仿宋" w:eastAsia="仿宋"/>
                <w:sz w:val="24"/>
              </w:rPr>
            </w:pPr>
            <w:r>
              <w:rPr>
                <w:rFonts w:hint="eastAsia" w:ascii="仿宋" w:hAnsi="仿宋" w:eastAsia="仿宋"/>
                <w:sz w:val="24"/>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tcPr>
          <w:p w14:paraId="5E99FCF8">
            <w:pPr>
              <w:spacing w:line="360" w:lineRule="auto"/>
              <w:jc w:val="center"/>
              <w:rPr>
                <w:rFonts w:ascii="仿宋" w:hAnsi="仿宋" w:eastAsia="仿宋"/>
                <w:sz w:val="24"/>
              </w:rPr>
            </w:pPr>
            <w:r>
              <w:rPr>
                <w:rFonts w:hint="eastAsia" w:ascii="仿宋" w:hAnsi="仿宋" w:eastAsia="仿宋"/>
                <w:sz w:val="24"/>
              </w:rPr>
              <w:t>场所环境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A42A">
            <w:pPr>
              <w:spacing w:line="360" w:lineRule="auto"/>
              <w:jc w:val="center"/>
              <w:rPr>
                <w:rFonts w:ascii="仿宋" w:hAnsi="仿宋" w:eastAsia="仿宋"/>
                <w:sz w:val="24"/>
              </w:rPr>
            </w:pPr>
            <w:r>
              <w:rPr>
                <w:rFonts w:hint="eastAsia" w:ascii="仿宋" w:hAnsi="仿宋" w:eastAsia="仿宋"/>
                <w:sz w:val="24"/>
              </w:rPr>
              <w:t>60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B293">
            <w:pPr>
              <w:spacing w:line="360" w:lineRule="auto"/>
              <w:jc w:val="center"/>
              <w:rPr>
                <w:rFonts w:ascii="仿宋" w:hAnsi="仿宋" w:eastAsia="仿宋"/>
                <w:sz w:val="24"/>
              </w:rPr>
            </w:pPr>
            <w:r>
              <w:rPr>
                <w:rFonts w:hint="eastAsia" w:ascii="仿宋" w:hAnsi="仿宋" w:eastAsia="仿宋"/>
                <w:sz w:val="24"/>
              </w:rPr>
              <w:t>6.0%</w:t>
            </w:r>
          </w:p>
        </w:tc>
      </w:tr>
      <w:tr w14:paraId="74C11E3F">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5A05">
            <w:pPr>
              <w:spacing w:line="360" w:lineRule="auto"/>
              <w:jc w:val="center"/>
              <w:rPr>
                <w:rFonts w:ascii="仿宋" w:hAnsi="仿宋" w:eastAsia="仿宋"/>
                <w:sz w:val="24"/>
              </w:rPr>
            </w:pPr>
            <w:r>
              <w:rPr>
                <w:rFonts w:hint="eastAsia" w:ascii="仿宋" w:hAnsi="仿宋" w:eastAsia="仿宋"/>
                <w:sz w:val="24"/>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tcPr>
          <w:p w14:paraId="40601F73">
            <w:pPr>
              <w:spacing w:line="360" w:lineRule="auto"/>
              <w:jc w:val="center"/>
              <w:rPr>
                <w:rFonts w:ascii="仿宋" w:hAnsi="仿宋" w:eastAsia="仿宋"/>
                <w:sz w:val="24"/>
              </w:rPr>
            </w:pPr>
            <w:r>
              <w:rPr>
                <w:rFonts w:hint="eastAsia" w:ascii="仿宋" w:hAnsi="仿宋" w:eastAsia="仿宋"/>
                <w:sz w:val="24"/>
              </w:rPr>
              <w:t>生产设备设施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A01">
            <w:pPr>
              <w:spacing w:line="360" w:lineRule="auto"/>
              <w:jc w:val="center"/>
              <w:rPr>
                <w:rFonts w:ascii="仿宋" w:hAnsi="仿宋" w:eastAsia="仿宋"/>
                <w:sz w:val="24"/>
              </w:rPr>
            </w:pPr>
            <w:r>
              <w:rPr>
                <w:rFonts w:hint="eastAsia" w:ascii="仿宋" w:hAnsi="仿宋" w:eastAsia="仿宋"/>
                <w:sz w:val="24"/>
              </w:rPr>
              <w:t>240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F04B">
            <w:pPr>
              <w:spacing w:line="360" w:lineRule="auto"/>
              <w:jc w:val="center"/>
              <w:rPr>
                <w:rFonts w:ascii="仿宋" w:hAnsi="仿宋" w:eastAsia="仿宋"/>
                <w:sz w:val="24"/>
              </w:rPr>
            </w:pPr>
            <w:r>
              <w:rPr>
                <w:rFonts w:hint="eastAsia" w:ascii="仿宋" w:hAnsi="仿宋" w:eastAsia="仿宋"/>
                <w:sz w:val="24"/>
              </w:rPr>
              <w:t>24.0%</w:t>
            </w:r>
          </w:p>
        </w:tc>
      </w:tr>
      <w:tr w14:paraId="2D0ACC91">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F26">
            <w:pPr>
              <w:spacing w:line="360" w:lineRule="auto"/>
              <w:jc w:val="center"/>
              <w:rPr>
                <w:rFonts w:ascii="仿宋" w:hAnsi="仿宋" w:eastAsia="仿宋"/>
                <w:sz w:val="24"/>
              </w:rPr>
            </w:pPr>
            <w:r>
              <w:rPr>
                <w:rFonts w:hint="eastAsia" w:ascii="仿宋" w:hAnsi="仿宋" w:eastAsia="仿宋"/>
                <w:sz w:val="24"/>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auto"/>
          </w:tcPr>
          <w:p w14:paraId="66932CCF">
            <w:pPr>
              <w:spacing w:line="360" w:lineRule="auto"/>
              <w:jc w:val="center"/>
              <w:rPr>
                <w:rFonts w:ascii="仿宋" w:hAnsi="仿宋" w:eastAsia="仿宋"/>
                <w:sz w:val="24"/>
              </w:rPr>
            </w:pPr>
            <w:r>
              <w:rPr>
                <w:rFonts w:hint="eastAsia" w:ascii="仿宋" w:hAnsi="仿宋" w:eastAsia="仿宋"/>
                <w:sz w:val="24"/>
              </w:rPr>
              <w:t>操作人员行为规范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F065">
            <w:pPr>
              <w:spacing w:line="360" w:lineRule="auto"/>
              <w:jc w:val="center"/>
              <w:rPr>
                <w:rFonts w:ascii="仿宋" w:hAnsi="仿宋" w:eastAsia="仿宋"/>
                <w:sz w:val="24"/>
              </w:rPr>
            </w:pPr>
            <w:r>
              <w:rPr>
                <w:rFonts w:hint="eastAsia" w:ascii="仿宋" w:hAnsi="仿宋" w:eastAsia="仿宋"/>
                <w:sz w:val="24"/>
              </w:rPr>
              <w:t>300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1B73">
            <w:pPr>
              <w:spacing w:line="360" w:lineRule="auto"/>
              <w:jc w:val="center"/>
              <w:rPr>
                <w:rFonts w:ascii="仿宋" w:hAnsi="仿宋" w:eastAsia="仿宋"/>
                <w:sz w:val="24"/>
              </w:rPr>
            </w:pPr>
            <w:r>
              <w:rPr>
                <w:rFonts w:hint="eastAsia" w:ascii="仿宋" w:hAnsi="仿宋" w:eastAsia="仿宋"/>
                <w:sz w:val="24"/>
              </w:rPr>
              <w:t>30.0%</w:t>
            </w:r>
          </w:p>
        </w:tc>
      </w:tr>
      <w:tr w14:paraId="2B46783E">
        <w:tblPrEx>
          <w:tblCellMar>
            <w:top w:w="15" w:type="dxa"/>
            <w:left w:w="15" w:type="dxa"/>
            <w:bottom w:w="15" w:type="dxa"/>
            <w:right w:w="15" w:type="dxa"/>
          </w:tblCellMar>
        </w:tblPrEx>
        <w:trPr>
          <w:trHeight w:val="6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9C96">
            <w:pPr>
              <w:spacing w:line="360" w:lineRule="auto"/>
              <w:jc w:val="center"/>
              <w:rPr>
                <w:rFonts w:ascii="仿宋" w:hAnsi="仿宋" w:eastAsia="仿宋"/>
                <w:sz w:val="24"/>
              </w:rPr>
            </w:pPr>
            <w:r>
              <w:rPr>
                <w:rFonts w:hint="eastAsia" w:ascii="仿宋" w:hAnsi="仿宋" w:eastAsia="仿宋"/>
                <w:sz w:val="24"/>
              </w:rPr>
              <w:t>合计</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1EC07">
            <w:pPr>
              <w:spacing w:line="360" w:lineRule="auto"/>
              <w:jc w:val="center"/>
              <w:rPr>
                <w:rFonts w:ascii="仿宋" w:hAnsi="仿宋" w:eastAsia="仿宋"/>
                <w:sz w:val="24"/>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89198">
            <w:pPr>
              <w:spacing w:line="360" w:lineRule="auto"/>
              <w:jc w:val="center"/>
              <w:rPr>
                <w:rFonts w:ascii="仿宋" w:hAnsi="仿宋" w:eastAsia="仿宋"/>
                <w:sz w:val="24"/>
              </w:rPr>
            </w:pPr>
            <w:r>
              <w:rPr>
                <w:rFonts w:hint="eastAsia" w:ascii="仿宋" w:hAnsi="仿宋" w:eastAsia="仿宋"/>
                <w:sz w:val="24"/>
              </w:rPr>
              <w:t>1000</w:t>
            </w:r>
          </w:p>
        </w:tc>
      </w:tr>
    </w:tbl>
    <w:p w14:paraId="497FBE7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4、分值权重调整及说明 </w:t>
      </w:r>
    </w:p>
    <w:p w14:paraId="44BA89D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分值调整主要集中于基础管理部分，具体调整如下： </w:t>
      </w:r>
    </w:p>
    <w:tbl>
      <w:tblPr>
        <w:tblStyle w:val="4"/>
        <w:tblW w:w="7419" w:type="dxa"/>
        <w:jc w:val="center"/>
        <w:tblLayout w:type="fixed"/>
        <w:tblCellMar>
          <w:top w:w="15" w:type="dxa"/>
          <w:left w:w="15" w:type="dxa"/>
          <w:bottom w:w="15" w:type="dxa"/>
          <w:right w:w="15" w:type="dxa"/>
        </w:tblCellMar>
      </w:tblPr>
      <w:tblGrid>
        <w:gridCol w:w="975"/>
        <w:gridCol w:w="2126"/>
        <w:gridCol w:w="1163"/>
        <w:gridCol w:w="1963"/>
        <w:gridCol w:w="1192"/>
      </w:tblGrid>
      <w:tr w14:paraId="15C23DE2">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4346AFD5">
            <w:pPr>
              <w:spacing w:line="360" w:lineRule="auto"/>
              <w:jc w:val="center"/>
              <w:rPr>
                <w:rFonts w:ascii="宋体" w:hAnsi="宋体" w:cs="宋体"/>
                <w:color w:val="444444"/>
                <w:kern w:val="0"/>
                <w:sz w:val="24"/>
              </w:rPr>
            </w:pPr>
            <w:r>
              <w:rPr>
                <w:rFonts w:hint="eastAsia" w:ascii="宋体" w:hAnsi="宋体" w:cs="宋体"/>
                <w:color w:val="444444"/>
                <w:kern w:val="0"/>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14:paraId="09D45719">
            <w:pPr>
              <w:spacing w:line="360" w:lineRule="auto"/>
              <w:ind w:firstLine="480"/>
              <w:jc w:val="center"/>
              <w:rPr>
                <w:rFonts w:ascii="宋体" w:hAnsi="宋体" w:cs="宋体"/>
                <w:color w:val="444444"/>
                <w:kern w:val="0"/>
                <w:sz w:val="24"/>
              </w:rPr>
            </w:pPr>
            <w:r>
              <w:rPr>
                <w:rFonts w:hint="eastAsia" w:ascii="宋体" w:hAnsi="宋体" w:cs="宋体"/>
                <w:color w:val="444444"/>
                <w:kern w:val="0"/>
                <w:sz w:val="24"/>
              </w:rPr>
              <w:t>项   目</w:t>
            </w:r>
          </w:p>
        </w:tc>
        <w:tc>
          <w:tcPr>
            <w:tcW w:w="1163" w:type="dxa"/>
            <w:tcBorders>
              <w:top w:val="single" w:color="000000" w:sz="4" w:space="0"/>
              <w:left w:val="single" w:color="000000" w:sz="4" w:space="0"/>
              <w:bottom w:val="single" w:color="000000" w:sz="4" w:space="0"/>
              <w:right w:val="single" w:color="000000" w:sz="4" w:space="0"/>
            </w:tcBorders>
            <w:vAlign w:val="center"/>
          </w:tcPr>
          <w:p w14:paraId="321E0FF5">
            <w:pPr>
              <w:spacing w:line="360" w:lineRule="auto"/>
              <w:jc w:val="center"/>
              <w:rPr>
                <w:rFonts w:ascii="宋体" w:hAnsi="宋体" w:cs="宋体"/>
                <w:color w:val="444444"/>
                <w:kern w:val="0"/>
                <w:sz w:val="24"/>
              </w:rPr>
            </w:pPr>
            <w:r>
              <w:rPr>
                <w:rFonts w:hint="eastAsia" w:ascii="宋体" w:hAnsi="宋体" w:cs="宋体"/>
                <w:color w:val="444444"/>
                <w:kern w:val="0"/>
                <w:sz w:val="24"/>
              </w:rPr>
              <w:t>原分值</w:t>
            </w:r>
          </w:p>
        </w:tc>
        <w:tc>
          <w:tcPr>
            <w:tcW w:w="1963" w:type="dxa"/>
            <w:tcBorders>
              <w:top w:val="single" w:color="000000" w:sz="4" w:space="0"/>
              <w:left w:val="single" w:color="000000" w:sz="4" w:space="0"/>
              <w:bottom w:val="single" w:color="000000" w:sz="4" w:space="0"/>
              <w:right w:val="single" w:color="000000" w:sz="4" w:space="0"/>
            </w:tcBorders>
            <w:vAlign w:val="center"/>
          </w:tcPr>
          <w:p w14:paraId="4656F47C">
            <w:pPr>
              <w:spacing w:line="360" w:lineRule="auto"/>
              <w:jc w:val="center"/>
              <w:rPr>
                <w:rFonts w:ascii="宋体" w:hAnsi="宋体" w:cs="宋体"/>
                <w:color w:val="444444"/>
                <w:kern w:val="0"/>
                <w:sz w:val="24"/>
              </w:rPr>
            </w:pPr>
            <w:r>
              <w:rPr>
                <w:rFonts w:hint="eastAsia" w:ascii="宋体" w:hAnsi="宋体" w:cs="宋体"/>
                <w:color w:val="444444"/>
                <w:kern w:val="0"/>
                <w:sz w:val="24"/>
              </w:rPr>
              <w:t>调整后分值</w:t>
            </w:r>
          </w:p>
        </w:tc>
        <w:tc>
          <w:tcPr>
            <w:tcW w:w="1192" w:type="dxa"/>
            <w:tcBorders>
              <w:top w:val="single" w:color="000000" w:sz="4" w:space="0"/>
              <w:left w:val="single" w:color="000000" w:sz="4" w:space="0"/>
              <w:bottom w:val="single" w:color="000000" w:sz="4" w:space="0"/>
              <w:right w:val="single" w:color="000000" w:sz="4" w:space="0"/>
            </w:tcBorders>
          </w:tcPr>
          <w:p w14:paraId="10EE01A8">
            <w:pPr>
              <w:spacing w:line="360" w:lineRule="auto"/>
              <w:jc w:val="center"/>
              <w:rPr>
                <w:rFonts w:ascii="宋体" w:hAnsi="宋体" w:cs="宋体"/>
                <w:color w:val="444444"/>
                <w:kern w:val="0"/>
                <w:sz w:val="24"/>
              </w:rPr>
            </w:pPr>
            <w:r>
              <w:rPr>
                <w:rFonts w:hint="eastAsia" w:ascii="宋体" w:hAnsi="宋体" w:cs="宋体"/>
                <w:color w:val="444444"/>
                <w:kern w:val="0"/>
                <w:sz w:val="24"/>
              </w:rPr>
              <w:t>增减</w:t>
            </w:r>
          </w:p>
        </w:tc>
      </w:tr>
      <w:tr w14:paraId="11B66AB7">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D540">
            <w:pPr>
              <w:spacing w:line="360" w:lineRule="auto"/>
              <w:ind w:firstLine="480"/>
              <w:rPr>
                <w:rFonts w:ascii="宋体" w:hAnsi="宋体" w:cs="宋体"/>
                <w:color w:val="444444"/>
                <w:kern w:val="0"/>
                <w:sz w:val="24"/>
              </w:rPr>
            </w:pPr>
            <w:r>
              <w:rPr>
                <w:rFonts w:hint="eastAsia" w:ascii="宋体" w:hAnsi="宋体" w:cs="宋体"/>
                <w:color w:val="444444"/>
                <w:kern w:val="0"/>
                <w:sz w:val="24"/>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681DE365">
            <w:pPr>
              <w:spacing w:line="360" w:lineRule="auto"/>
              <w:jc w:val="left"/>
              <w:rPr>
                <w:rFonts w:ascii="宋体" w:hAnsi="宋体" w:cs="宋体"/>
                <w:color w:val="444444"/>
                <w:kern w:val="0"/>
                <w:sz w:val="24"/>
              </w:rPr>
            </w:pPr>
            <w:r>
              <w:rPr>
                <w:rFonts w:hint="eastAsia" w:ascii="宋体" w:hAnsi="宋体" w:cs="宋体"/>
                <w:color w:val="444444"/>
                <w:kern w:val="0"/>
                <w:sz w:val="24"/>
              </w:rPr>
              <w:t>安全生产责任制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5DA99027">
            <w:pPr>
              <w:spacing w:line="360" w:lineRule="auto"/>
              <w:ind w:firstLine="480"/>
              <w:rPr>
                <w:rFonts w:ascii="宋体" w:hAnsi="宋体" w:cs="宋体"/>
                <w:color w:val="444444"/>
                <w:kern w:val="0"/>
                <w:sz w:val="24"/>
              </w:rPr>
            </w:pPr>
            <w:r>
              <w:rPr>
                <w:rFonts w:hint="eastAsia" w:ascii="宋体" w:hAnsi="宋体" w:cs="宋体"/>
                <w:color w:val="444444"/>
                <w:kern w:val="0"/>
                <w:sz w:val="24"/>
              </w:rPr>
              <w:t>35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08AD">
            <w:pPr>
              <w:spacing w:line="360" w:lineRule="auto"/>
              <w:ind w:firstLine="480"/>
              <w:rPr>
                <w:rFonts w:ascii="宋体" w:hAnsi="宋体" w:cs="宋体"/>
                <w:color w:val="444444"/>
                <w:kern w:val="0"/>
                <w:sz w:val="24"/>
              </w:rPr>
            </w:pPr>
            <w:r>
              <w:rPr>
                <w:rFonts w:hint="eastAsia" w:ascii="宋体" w:hAnsi="宋体" w:cs="宋体"/>
                <w:color w:val="444444"/>
                <w:kern w:val="0"/>
                <w:sz w:val="24"/>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61B5ACE3">
            <w:pPr>
              <w:spacing w:line="360" w:lineRule="auto"/>
              <w:ind w:firstLine="480"/>
              <w:rPr>
                <w:rFonts w:ascii="宋体" w:hAnsi="宋体" w:cs="宋体"/>
                <w:color w:val="444444"/>
                <w:kern w:val="0"/>
                <w:sz w:val="24"/>
              </w:rPr>
            </w:pPr>
            <w:r>
              <w:rPr>
                <w:rFonts w:hint="eastAsia" w:ascii="宋体" w:hAnsi="宋体" w:cs="宋体"/>
                <w:color w:val="444444"/>
                <w:kern w:val="0"/>
                <w:sz w:val="24"/>
              </w:rPr>
              <w:t>-5</w:t>
            </w:r>
          </w:p>
        </w:tc>
      </w:tr>
      <w:tr w14:paraId="6D479BB0">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B7B0">
            <w:pPr>
              <w:spacing w:line="360" w:lineRule="auto"/>
              <w:ind w:firstLine="480"/>
              <w:rPr>
                <w:rFonts w:ascii="宋体" w:hAnsi="宋体" w:cs="宋体"/>
                <w:color w:val="444444"/>
                <w:kern w:val="0"/>
                <w:sz w:val="24"/>
              </w:rPr>
            </w:pPr>
            <w:r>
              <w:rPr>
                <w:rFonts w:hint="eastAsia" w:ascii="宋体" w:hAnsi="宋体" w:cs="宋体"/>
                <w:color w:val="444444"/>
                <w:kern w:val="0"/>
                <w:sz w:val="24"/>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B1BA02C">
            <w:pPr>
              <w:spacing w:line="360" w:lineRule="auto"/>
              <w:jc w:val="left"/>
              <w:rPr>
                <w:rFonts w:ascii="宋体" w:hAnsi="宋体" w:cs="宋体"/>
                <w:color w:val="444444"/>
                <w:kern w:val="0"/>
                <w:sz w:val="24"/>
              </w:rPr>
            </w:pPr>
            <w:r>
              <w:rPr>
                <w:rFonts w:hint="eastAsia" w:ascii="宋体" w:hAnsi="宋体" w:cs="宋体"/>
                <w:color w:val="444444"/>
                <w:kern w:val="0"/>
                <w:sz w:val="24"/>
              </w:rPr>
              <w:t>安全生产制度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0DDC8B88">
            <w:pPr>
              <w:spacing w:line="360" w:lineRule="auto"/>
              <w:ind w:firstLine="480"/>
              <w:rPr>
                <w:rFonts w:ascii="宋体" w:hAnsi="宋体" w:cs="宋体"/>
                <w:color w:val="444444"/>
                <w:kern w:val="0"/>
                <w:sz w:val="24"/>
              </w:rPr>
            </w:pPr>
            <w:r>
              <w:rPr>
                <w:rFonts w:hint="eastAsia" w:ascii="宋体" w:hAnsi="宋体" w:cs="宋体"/>
                <w:color w:val="444444"/>
                <w:kern w:val="0"/>
                <w:sz w:val="24"/>
              </w:rPr>
              <w:t>50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A830">
            <w:pPr>
              <w:spacing w:line="360" w:lineRule="auto"/>
              <w:ind w:firstLine="480"/>
              <w:rPr>
                <w:rFonts w:ascii="宋体" w:hAnsi="宋体" w:cs="宋体"/>
                <w:color w:val="444444"/>
                <w:kern w:val="0"/>
                <w:sz w:val="24"/>
              </w:rPr>
            </w:pPr>
            <w:r>
              <w:rPr>
                <w:rFonts w:hint="eastAsia" w:ascii="宋体" w:hAnsi="宋体" w:cs="宋体"/>
                <w:color w:val="444444"/>
                <w:kern w:val="0"/>
                <w:sz w:val="24"/>
              </w:rPr>
              <w:t>40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4BFE13BA">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r>
      <w:tr w14:paraId="4C85E057">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95F6">
            <w:pPr>
              <w:spacing w:line="360" w:lineRule="auto"/>
              <w:ind w:firstLine="480"/>
              <w:rPr>
                <w:rFonts w:ascii="宋体" w:hAnsi="宋体" w:cs="宋体"/>
                <w:color w:val="444444"/>
                <w:kern w:val="0"/>
                <w:sz w:val="24"/>
              </w:rPr>
            </w:pPr>
            <w:r>
              <w:rPr>
                <w:rFonts w:hint="eastAsia" w:ascii="宋体" w:hAnsi="宋体" w:cs="宋体"/>
                <w:color w:val="444444"/>
                <w:kern w:val="0"/>
                <w:sz w:val="24"/>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C81F548">
            <w:pPr>
              <w:spacing w:line="360" w:lineRule="auto"/>
              <w:jc w:val="left"/>
              <w:rPr>
                <w:rFonts w:ascii="宋体" w:hAnsi="宋体" w:cs="宋体"/>
                <w:color w:val="444444"/>
                <w:kern w:val="0"/>
                <w:sz w:val="24"/>
              </w:rPr>
            </w:pPr>
            <w:r>
              <w:rPr>
                <w:rFonts w:hint="eastAsia" w:ascii="宋体" w:hAnsi="宋体" w:cs="宋体"/>
                <w:color w:val="444444"/>
                <w:kern w:val="0"/>
                <w:sz w:val="24"/>
              </w:rPr>
              <w:t>安全操作规程</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40AB88D3">
            <w:pPr>
              <w:spacing w:line="360" w:lineRule="auto"/>
              <w:ind w:firstLine="480"/>
              <w:rPr>
                <w:rFonts w:ascii="宋体" w:hAnsi="宋体" w:cs="宋体"/>
                <w:color w:val="444444"/>
                <w:kern w:val="0"/>
                <w:sz w:val="24"/>
              </w:rPr>
            </w:pPr>
            <w:r>
              <w:rPr>
                <w:rFonts w:hint="eastAsia" w:ascii="宋体" w:hAnsi="宋体" w:cs="宋体"/>
                <w:color w:val="444444"/>
                <w:kern w:val="0"/>
                <w:sz w:val="24"/>
              </w:rPr>
              <w:t>35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CCF0">
            <w:pPr>
              <w:spacing w:line="360" w:lineRule="auto"/>
              <w:ind w:firstLine="480"/>
              <w:rPr>
                <w:rFonts w:ascii="宋体" w:hAnsi="宋体" w:cs="宋体"/>
                <w:color w:val="444444"/>
                <w:kern w:val="0"/>
                <w:sz w:val="24"/>
              </w:rPr>
            </w:pPr>
            <w:r>
              <w:rPr>
                <w:rFonts w:hint="eastAsia" w:ascii="宋体" w:hAnsi="宋体" w:cs="宋体"/>
                <w:color w:val="444444"/>
                <w:kern w:val="0"/>
                <w:sz w:val="24"/>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733ED532">
            <w:pPr>
              <w:spacing w:line="360" w:lineRule="auto"/>
              <w:ind w:firstLine="480"/>
              <w:rPr>
                <w:rFonts w:ascii="宋体" w:hAnsi="宋体" w:cs="宋体"/>
                <w:color w:val="444444"/>
                <w:kern w:val="0"/>
                <w:sz w:val="24"/>
              </w:rPr>
            </w:pPr>
            <w:r>
              <w:rPr>
                <w:rFonts w:hint="eastAsia" w:ascii="宋体" w:hAnsi="宋体" w:cs="宋体"/>
                <w:color w:val="444444"/>
                <w:kern w:val="0"/>
                <w:sz w:val="24"/>
              </w:rPr>
              <w:t>-5</w:t>
            </w:r>
          </w:p>
        </w:tc>
      </w:tr>
      <w:tr w14:paraId="1E45FA70">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924">
            <w:pPr>
              <w:spacing w:line="360" w:lineRule="auto"/>
              <w:ind w:firstLine="480"/>
              <w:rPr>
                <w:rFonts w:ascii="宋体" w:hAnsi="宋体" w:cs="宋体"/>
                <w:color w:val="444444"/>
                <w:kern w:val="0"/>
                <w:sz w:val="24"/>
              </w:rPr>
            </w:pPr>
            <w:r>
              <w:rPr>
                <w:rFonts w:hint="eastAsia" w:ascii="宋体" w:hAnsi="宋体" w:cs="宋体"/>
                <w:color w:val="444444"/>
                <w:kern w:val="0"/>
                <w:sz w:val="24"/>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78EB442">
            <w:pPr>
              <w:spacing w:line="360" w:lineRule="auto"/>
              <w:jc w:val="left"/>
              <w:rPr>
                <w:rFonts w:ascii="宋体" w:hAnsi="宋体" w:cs="宋体"/>
                <w:color w:val="444444"/>
                <w:kern w:val="0"/>
                <w:sz w:val="24"/>
              </w:rPr>
            </w:pPr>
            <w:r>
              <w:rPr>
                <w:rFonts w:hint="eastAsia" w:ascii="宋体" w:hAnsi="宋体" w:cs="宋体"/>
                <w:color w:val="444444"/>
                <w:kern w:val="0"/>
                <w:sz w:val="24"/>
              </w:rPr>
              <w:t>安全管理机构人员</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18A61B13">
            <w:pPr>
              <w:spacing w:line="360" w:lineRule="auto"/>
              <w:ind w:firstLine="480"/>
              <w:rPr>
                <w:rFonts w:ascii="宋体" w:hAnsi="宋体" w:cs="宋体"/>
                <w:color w:val="444444"/>
                <w:kern w:val="0"/>
                <w:sz w:val="24"/>
              </w:rPr>
            </w:pPr>
            <w:r>
              <w:rPr>
                <w:rFonts w:hint="eastAsia" w:ascii="宋体" w:hAnsi="宋体" w:cs="宋体"/>
                <w:color w:val="444444"/>
                <w:kern w:val="0"/>
                <w:sz w:val="24"/>
              </w:rPr>
              <w:t>30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6C3D">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626A2CCF">
            <w:pPr>
              <w:spacing w:line="360" w:lineRule="auto"/>
              <w:ind w:firstLine="480"/>
              <w:rPr>
                <w:rFonts w:ascii="宋体" w:hAnsi="宋体" w:cs="宋体"/>
                <w:color w:val="444444"/>
                <w:kern w:val="0"/>
                <w:sz w:val="24"/>
              </w:rPr>
            </w:pPr>
          </w:p>
        </w:tc>
      </w:tr>
      <w:tr w14:paraId="19C60CF1">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4A1D">
            <w:pPr>
              <w:spacing w:line="360" w:lineRule="auto"/>
              <w:ind w:firstLine="480"/>
              <w:rPr>
                <w:rFonts w:ascii="宋体" w:hAnsi="宋体" w:cs="宋体"/>
                <w:color w:val="444444"/>
                <w:kern w:val="0"/>
                <w:sz w:val="24"/>
              </w:rPr>
            </w:pPr>
            <w:r>
              <w:rPr>
                <w:rFonts w:hint="eastAsia" w:ascii="宋体" w:hAnsi="宋体" w:cs="宋体"/>
                <w:color w:val="444444"/>
                <w:kern w:val="0"/>
                <w:sz w:val="24"/>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91939EA">
            <w:pPr>
              <w:spacing w:line="360" w:lineRule="auto"/>
              <w:jc w:val="left"/>
              <w:rPr>
                <w:rFonts w:ascii="宋体" w:hAnsi="宋体" w:cs="宋体"/>
                <w:color w:val="444444"/>
                <w:kern w:val="0"/>
                <w:sz w:val="24"/>
              </w:rPr>
            </w:pPr>
            <w:r>
              <w:rPr>
                <w:rFonts w:hint="eastAsia" w:ascii="宋体" w:hAnsi="宋体" w:cs="宋体"/>
                <w:color w:val="444444"/>
                <w:kern w:val="0"/>
                <w:sz w:val="24"/>
              </w:rPr>
              <w:t>安全投入</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67CF97C1">
            <w:pPr>
              <w:spacing w:line="360" w:lineRule="auto"/>
              <w:ind w:firstLine="480"/>
              <w:rPr>
                <w:rFonts w:ascii="宋体" w:hAnsi="宋体" w:cs="宋体"/>
                <w:color w:val="444444"/>
                <w:kern w:val="0"/>
                <w:sz w:val="24"/>
              </w:rPr>
            </w:pPr>
            <w:r>
              <w:rPr>
                <w:rFonts w:hint="eastAsia" w:ascii="宋体" w:hAnsi="宋体" w:cs="宋体"/>
                <w:color w:val="444444"/>
                <w:kern w:val="0"/>
                <w:sz w:val="24"/>
              </w:rPr>
              <w:t>30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A779">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1B0E9710">
            <w:pPr>
              <w:spacing w:line="360" w:lineRule="auto"/>
              <w:ind w:firstLine="480"/>
              <w:rPr>
                <w:rFonts w:ascii="宋体" w:hAnsi="宋体" w:cs="宋体"/>
                <w:color w:val="444444"/>
                <w:kern w:val="0"/>
                <w:sz w:val="24"/>
              </w:rPr>
            </w:pPr>
          </w:p>
        </w:tc>
      </w:tr>
      <w:tr w14:paraId="16C0F65E">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4201">
            <w:pPr>
              <w:spacing w:line="360" w:lineRule="auto"/>
              <w:ind w:firstLine="480"/>
              <w:rPr>
                <w:rFonts w:ascii="宋体" w:hAnsi="宋体" w:cs="宋体"/>
                <w:color w:val="444444"/>
                <w:kern w:val="0"/>
                <w:sz w:val="24"/>
              </w:rPr>
            </w:pPr>
            <w:r>
              <w:rPr>
                <w:rFonts w:hint="eastAsia" w:ascii="宋体" w:hAnsi="宋体" w:cs="宋体"/>
                <w:color w:val="444444"/>
                <w:kern w:val="0"/>
                <w:sz w:val="24"/>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25501301">
            <w:pPr>
              <w:spacing w:line="360" w:lineRule="auto"/>
              <w:jc w:val="left"/>
              <w:rPr>
                <w:rFonts w:ascii="宋体" w:hAnsi="宋体" w:cs="宋体"/>
                <w:color w:val="444444"/>
                <w:kern w:val="0"/>
                <w:sz w:val="24"/>
              </w:rPr>
            </w:pPr>
            <w:r>
              <w:rPr>
                <w:rFonts w:hint="eastAsia" w:ascii="宋体" w:hAnsi="宋体" w:cs="宋体"/>
                <w:color w:val="444444"/>
                <w:kern w:val="0"/>
                <w:sz w:val="24"/>
              </w:rPr>
              <w:t>安全生产教育培训</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0BF5E3C2">
            <w:pPr>
              <w:spacing w:line="360" w:lineRule="auto"/>
              <w:ind w:firstLine="480"/>
              <w:rPr>
                <w:rFonts w:ascii="宋体" w:hAnsi="宋体" w:cs="宋体"/>
                <w:color w:val="444444"/>
                <w:kern w:val="0"/>
                <w:sz w:val="24"/>
              </w:rPr>
            </w:pPr>
            <w:r>
              <w:rPr>
                <w:rFonts w:hint="eastAsia" w:ascii="宋体" w:hAnsi="宋体" w:cs="宋体"/>
                <w:color w:val="444444"/>
                <w:kern w:val="0"/>
                <w:sz w:val="24"/>
              </w:rPr>
              <w:t>60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4D82">
            <w:pPr>
              <w:spacing w:line="360" w:lineRule="auto"/>
              <w:ind w:firstLine="480"/>
              <w:rPr>
                <w:rFonts w:ascii="宋体" w:hAnsi="宋体" w:cs="宋体"/>
                <w:color w:val="444444"/>
                <w:kern w:val="0"/>
                <w:sz w:val="24"/>
              </w:rPr>
            </w:pPr>
            <w:r>
              <w:rPr>
                <w:rFonts w:hint="eastAsia" w:ascii="宋体" w:hAnsi="宋体" w:cs="宋体"/>
                <w:color w:val="444444"/>
                <w:kern w:val="0"/>
                <w:sz w:val="24"/>
              </w:rPr>
              <w:t>45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78BD71BA">
            <w:pPr>
              <w:spacing w:line="360" w:lineRule="auto"/>
              <w:ind w:firstLine="480"/>
              <w:rPr>
                <w:rFonts w:ascii="宋体" w:hAnsi="宋体" w:cs="宋体"/>
                <w:color w:val="444444"/>
                <w:kern w:val="0"/>
                <w:sz w:val="24"/>
              </w:rPr>
            </w:pPr>
            <w:r>
              <w:rPr>
                <w:rFonts w:hint="eastAsia" w:ascii="宋体" w:hAnsi="宋体" w:cs="宋体"/>
                <w:color w:val="444444"/>
                <w:kern w:val="0"/>
                <w:sz w:val="24"/>
              </w:rPr>
              <w:t>-15</w:t>
            </w:r>
          </w:p>
        </w:tc>
      </w:tr>
      <w:tr w14:paraId="42AF5E42">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920">
            <w:pPr>
              <w:spacing w:line="360" w:lineRule="auto"/>
              <w:ind w:firstLine="480"/>
              <w:rPr>
                <w:rFonts w:ascii="宋体" w:hAnsi="宋体" w:cs="宋体"/>
                <w:color w:val="444444"/>
                <w:kern w:val="0"/>
                <w:sz w:val="24"/>
              </w:rPr>
            </w:pPr>
            <w:r>
              <w:rPr>
                <w:rFonts w:hint="eastAsia" w:ascii="宋体" w:hAnsi="宋体" w:cs="宋体"/>
                <w:color w:val="444444"/>
                <w:kern w:val="0"/>
                <w:sz w:val="24"/>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B0E7436">
            <w:pPr>
              <w:spacing w:line="360" w:lineRule="auto"/>
              <w:jc w:val="left"/>
              <w:rPr>
                <w:rFonts w:ascii="宋体" w:hAnsi="宋体" w:cs="宋体"/>
                <w:color w:val="444444"/>
                <w:kern w:val="0"/>
                <w:sz w:val="24"/>
              </w:rPr>
            </w:pPr>
            <w:r>
              <w:rPr>
                <w:rFonts w:hint="eastAsia" w:ascii="宋体" w:hAnsi="宋体" w:cs="宋体"/>
                <w:color w:val="444444"/>
                <w:kern w:val="0"/>
                <w:sz w:val="24"/>
              </w:rPr>
              <w:t>应急救援</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048D0F51">
            <w:pPr>
              <w:spacing w:line="360" w:lineRule="auto"/>
              <w:ind w:firstLine="480"/>
              <w:rPr>
                <w:rFonts w:ascii="宋体" w:hAnsi="宋体" w:cs="宋体"/>
                <w:color w:val="444444"/>
                <w:kern w:val="0"/>
                <w:sz w:val="24"/>
              </w:rPr>
            </w:pPr>
            <w:r>
              <w:rPr>
                <w:rFonts w:hint="eastAsia" w:ascii="宋体" w:hAnsi="宋体" w:cs="宋体"/>
                <w:color w:val="444444"/>
                <w:kern w:val="0"/>
                <w:sz w:val="24"/>
              </w:rPr>
              <w:t>40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45C8">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0A2EDBB5">
            <w:pPr>
              <w:spacing w:line="360" w:lineRule="auto"/>
              <w:ind w:firstLine="480"/>
              <w:rPr>
                <w:rFonts w:ascii="宋体" w:hAnsi="宋体" w:cs="宋体"/>
                <w:color w:val="444444"/>
                <w:kern w:val="0"/>
                <w:sz w:val="24"/>
              </w:rPr>
            </w:pPr>
          </w:p>
        </w:tc>
      </w:tr>
      <w:tr w14:paraId="401EC7D2">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9F5">
            <w:pPr>
              <w:spacing w:line="360" w:lineRule="auto"/>
              <w:ind w:firstLine="480"/>
              <w:rPr>
                <w:rFonts w:ascii="宋体" w:hAnsi="宋体" w:cs="宋体"/>
                <w:color w:val="444444"/>
                <w:kern w:val="0"/>
                <w:sz w:val="24"/>
              </w:rPr>
            </w:pPr>
            <w:r>
              <w:rPr>
                <w:rFonts w:hint="eastAsia" w:ascii="宋体" w:hAnsi="宋体" w:cs="宋体"/>
                <w:color w:val="444444"/>
                <w:kern w:val="0"/>
                <w:sz w:val="24"/>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97F4FFE">
            <w:pPr>
              <w:spacing w:line="360" w:lineRule="auto"/>
              <w:jc w:val="left"/>
              <w:rPr>
                <w:rFonts w:ascii="宋体" w:hAnsi="宋体" w:cs="宋体"/>
                <w:color w:val="444444"/>
                <w:kern w:val="0"/>
                <w:sz w:val="24"/>
              </w:rPr>
            </w:pPr>
            <w:r>
              <w:rPr>
                <w:rFonts w:hint="eastAsia" w:ascii="宋体" w:hAnsi="宋体" w:cs="宋体"/>
                <w:color w:val="444444"/>
                <w:kern w:val="0"/>
                <w:sz w:val="24"/>
              </w:rPr>
              <w:t>新增：安全风险管理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342CA402">
            <w:pPr>
              <w:spacing w:line="360" w:lineRule="auto"/>
              <w:ind w:firstLine="480"/>
              <w:rPr>
                <w:rFonts w:ascii="宋体" w:hAnsi="宋体" w:cs="宋体"/>
                <w:color w:val="444444"/>
                <w:kern w:val="0"/>
                <w:sz w:val="24"/>
              </w:rPr>
            </w:pPr>
            <w:r>
              <w:rPr>
                <w:rFonts w:hint="eastAsia" w:ascii="宋体" w:hAnsi="宋体" w:cs="宋体"/>
                <w:color w:val="444444"/>
                <w:kern w:val="0"/>
                <w:sz w:val="24"/>
              </w:rPr>
              <w:t>30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A74F">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27CB5F96">
            <w:pPr>
              <w:spacing w:line="360" w:lineRule="auto"/>
              <w:ind w:firstLine="480"/>
              <w:rPr>
                <w:rFonts w:ascii="宋体" w:hAnsi="宋体" w:cs="宋体"/>
                <w:color w:val="444444"/>
                <w:kern w:val="0"/>
                <w:sz w:val="24"/>
              </w:rPr>
            </w:pPr>
            <w:r>
              <w:rPr>
                <w:rFonts w:hint="eastAsia" w:ascii="宋体" w:hAnsi="宋体" w:cs="宋体"/>
                <w:color w:val="444444"/>
                <w:kern w:val="0"/>
                <w:sz w:val="24"/>
              </w:rPr>
              <w:t>+25</w:t>
            </w:r>
          </w:p>
        </w:tc>
      </w:tr>
      <w:tr w14:paraId="19CB1FB9">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451">
            <w:pPr>
              <w:spacing w:line="360" w:lineRule="auto"/>
              <w:ind w:firstLine="480"/>
              <w:rPr>
                <w:rFonts w:ascii="宋体" w:hAnsi="宋体" w:cs="宋体"/>
                <w:color w:val="444444"/>
                <w:kern w:val="0"/>
                <w:sz w:val="24"/>
              </w:rPr>
            </w:pPr>
            <w:r>
              <w:rPr>
                <w:rFonts w:hint="eastAsia" w:ascii="宋体" w:hAnsi="宋体" w:cs="宋体"/>
                <w:color w:val="444444"/>
                <w:kern w:val="0"/>
                <w:sz w:val="24"/>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980C03F">
            <w:pPr>
              <w:spacing w:line="360" w:lineRule="auto"/>
              <w:jc w:val="left"/>
              <w:rPr>
                <w:rFonts w:ascii="宋体" w:hAnsi="宋体" w:cs="宋体"/>
                <w:color w:val="444444"/>
                <w:kern w:val="0"/>
                <w:sz w:val="24"/>
              </w:rPr>
            </w:pPr>
            <w:r>
              <w:rPr>
                <w:rFonts w:hint="eastAsia" w:ascii="宋体" w:hAnsi="宋体" w:cs="宋体"/>
                <w:color w:val="444444"/>
                <w:kern w:val="0"/>
                <w:sz w:val="24"/>
              </w:rPr>
              <w:t>隐患排查治理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7B5BFE6F">
            <w:pPr>
              <w:spacing w:line="360" w:lineRule="auto"/>
              <w:ind w:firstLine="480"/>
              <w:rPr>
                <w:rFonts w:ascii="宋体" w:hAnsi="宋体" w:cs="宋体"/>
                <w:color w:val="444444"/>
                <w:kern w:val="0"/>
                <w:sz w:val="24"/>
              </w:rPr>
            </w:pPr>
            <w:r>
              <w:rPr>
                <w:rFonts w:hint="eastAsia" w:ascii="宋体" w:hAnsi="宋体" w:cs="宋体"/>
                <w:color w:val="444444"/>
                <w:kern w:val="0"/>
                <w:sz w:val="24"/>
              </w:rPr>
              <w:t>60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E874">
            <w:pPr>
              <w:spacing w:line="360" w:lineRule="auto"/>
              <w:ind w:firstLine="480"/>
              <w:rPr>
                <w:rFonts w:ascii="宋体" w:hAnsi="宋体" w:cs="宋体"/>
                <w:color w:val="444444"/>
                <w:kern w:val="0"/>
                <w:sz w:val="24"/>
              </w:rPr>
            </w:pPr>
            <w:r>
              <w:rPr>
                <w:rFonts w:hint="eastAsia" w:ascii="宋体" w:hAnsi="宋体" w:cs="宋体"/>
                <w:color w:val="444444"/>
                <w:kern w:val="0"/>
                <w:sz w:val="24"/>
              </w:rPr>
              <w:t>45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22AE74FF">
            <w:pPr>
              <w:spacing w:line="360" w:lineRule="auto"/>
              <w:ind w:firstLine="480"/>
              <w:rPr>
                <w:rFonts w:ascii="宋体" w:hAnsi="宋体" w:cs="宋体"/>
                <w:color w:val="444444"/>
                <w:kern w:val="0"/>
                <w:sz w:val="24"/>
              </w:rPr>
            </w:pPr>
            <w:r>
              <w:rPr>
                <w:rFonts w:hint="eastAsia" w:ascii="宋体" w:hAnsi="宋体" w:cs="宋体"/>
                <w:color w:val="444444"/>
                <w:kern w:val="0"/>
                <w:sz w:val="24"/>
              </w:rPr>
              <w:t>-15</w:t>
            </w:r>
          </w:p>
        </w:tc>
      </w:tr>
      <w:tr w14:paraId="19421D1F">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1D1">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2F43EF3">
            <w:pPr>
              <w:spacing w:line="360" w:lineRule="auto"/>
              <w:jc w:val="left"/>
              <w:rPr>
                <w:rFonts w:ascii="宋体" w:hAnsi="宋体" w:cs="宋体"/>
                <w:color w:val="444444"/>
                <w:kern w:val="0"/>
                <w:sz w:val="24"/>
              </w:rPr>
            </w:pPr>
            <w:r>
              <w:rPr>
                <w:rFonts w:hint="eastAsia" w:ascii="宋体" w:hAnsi="宋体" w:cs="宋体"/>
                <w:color w:val="444444"/>
                <w:kern w:val="0"/>
                <w:sz w:val="24"/>
              </w:rPr>
              <w:t>相关方管理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7F1FC9D0">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E3317">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474ABD04">
            <w:pPr>
              <w:spacing w:line="360" w:lineRule="auto"/>
              <w:ind w:firstLine="480"/>
              <w:rPr>
                <w:rFonts w:ascii="宋体" w:hAnsi="宋体" w:cs="宋体"/>
                <w:color w:val="444444"/>
                <w:kern w:val="0"/>
                <w:sz w:val="24"/>
              </w:rPr>
            </w:pPr>
          </w:p>
        </w:tc>
      </w:tr>
      <w:tr w14:paraId="603DF9F4">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4F6">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B537BC5">
            <w:pPr>
              <w:spacing w:line="360" w:lineRule="auto"/>
              <w:jc w:val="left"/>
              <w:rPr>
                <w:rFonts w:ascii="宋体" w:hAnsi="宋体" w:cs="宋体"/>
                <w:color w:val="444444"/>
                <w:kern w:val="0"/>
                <w:sz w:val="24"/>
              </w:rPr>
            </w:pPr>
            <w:r>
              <w:rPr>
                <w:rFonts w:hint="eastAsia" w:ascii="宋体" w:hAnsi="宋体" w:cs="宋体"/>
                <w:color w:val="444444"/>
                <w:kern w:val="0"/>
                <w:sz w:val="24"/>
              </w:rPr>
              <w:t>驾驶员管理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5CC01C91">
            <w:pPr>
              <w:spacing w:line="360" w:lineRule="auto"/>
              <w:ind w:firstLine="480"/>
              <w:rPr>
                <w:rFonts w:ascii="宋体" w:hAnsi="宋体" w:cs="宋体"/>
                <w:color w:val="444444"/>
                <w:kern w:val="0"/>
                <w:sz w:val="24"/>
              </w:rPr>
            </w:pPr>
            <w:r>
              <w:rPr>
                <w:rFonts w:hint="eastAsia" w:ascii="宋体" w:hAnsi="宋体" w:cs="宋体"/>
                <w:color w:val="444444"/>
                <w:kern w:val="0"/>
                <w:sz w:val="24"/>
              </w:rPr>
              <w:t>50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C503">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24D6D1DE">
            <w:pPr>
              <w:spacing w:line="360" w:lineRule="auto"/>
              <w:ind w:firstLine="480"/>
              <w:rPr>
                <w:rFonts w:ascii="宋体" w:hAnsi="宋体" w:cs="宋体"/>
                <w:color w:val="444444"/>
                <w:kern w:val="0"/>
                <w:sz w:val="24"/>
              </w:rPr>
            </w:pPr>
          </w:p>
        </w:tc>
      </w:tr>
      <w:tr w14:paraId="6ABDF296">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A58">
            <w:pPr>
              <w:spacing w:line="360" w:lineRule="auto"/>
              <w:ind w:firstLine="480"/>
              <w:rPr>
                <w:rFonts w:ascii="宋体" w:hAnsi="宋体" w:cs="宋体"/>
                <w:color w:val="444444"/>
                <w:kern w:val="0"/>
                <w:sz w:val="24"/>
              </w:rPr>
            </w:pPr>
            <w:r>
              <w:rPr>
                <w:rFonts w:hint="eastAsia" w:ascii="宋体" w:hAnsi="宋体" w:cs="宋体"/>
                <w:color w:val="444444"/>
                <w:kern w:val="0"/>
                <w:sz w:val="24"/>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6BED109A">
            <w:pPr>
              <w:spacing w:line="360" w:lineRule="auto"/>
              <w:jc w:val="left"/>
              <w:rPr>
                <w:rFonts w:ascii="宋体" w:hAnsi="宋体" w:cs="宋体"/>
                <w:color w:val="444444"/>
                <w:kern w:val="0"/>
                <w:sz w:val="24"/>
              </w:rPr>
            </w:pPr>
            <w:r>
              <w:rPr>
                <w:rFonts w:hint="eastAsia" w:ascii="宋体" w:hAnsi="宋体" w:cs="宋体"/>
                <w:color w:val="444444"/>
                <w:kern w:val="0"/>
                <w:sz w:val="24"/>
              </w:rPr>
              <w:t>车辆管理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00A2CD99">
            <w:pPr>
              <w:spacing w:line="360" w:lineRule="auto"/>
              <w:ind w:firstLine="480"/>
              <w:rPr>
                <w:rFonts w:ascii="宋体" w:hAnsi="宋体" w:cs="宋体"/>
                <w:color w:val="444444"/>
                <w:kern w:val="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1E8F">
            <w:pPr>
              <w:spacing w:line="360" w:lineRule="auto"/>
              <w:rPr>
                <w:rFonts w:ascii="宋体" w:hAnsi="宋体" w:cs="宋体"/>
                <w:color w:val="444444"/>
                <w:kern w:val="0"/>
                <w:sz w:val="24"/>
              </w:rPr>
            </w:pPr>
            <w:r>
              <w:rPr>
                <w:rFonts w:hint="eastAsia" w:ascii="宋体" w:hAnsi="宋体" w:cs="宋体"/>
                <w:color w:val="444444"/>
                <w:kern w:val="0"/>
                <w:sz w:val="24"/>
              </w:rPr>
              <w:t>原设备 20分</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65BEFB5C">
            <w:pPr>
              <w:spacing w:line="360" w:lineRule="auto"/>
              <w:ind w:firstLine="480"/>
              <w:rPr>
                <w:rFonts w:ascii="宋体" w:hAnsi="宋体" w:cs="宋体"/>
                <w:color w:val="444444"/>
                <w:kern w:val="0"/>
                <w:sz w:val="24"/>
              </w:rPr>
            </w:pPr>
            <w:r>
              <w:rPr>
                <w:rFonts w:hint="eastAsia" w:ascii="宋体" w:hAnsi="宋体" w:cs="宋体"/>
                <w:color w:val="444444"/>
                <w:kern w:val="0"/>
                <w:sz w:val="24"/>
              </w:rPr>
              <w:t>+25</w:t>
            </w:r>
          </w:p>
        </w:tc>
      </w:tr>
      <w:tr w14:paraId="3B12885B">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673F">
            <w:pPr>
              <w:spacing w:line="360" w:lineRule="auto"/>
              <w:ind w:firstLine="480"/>
              <w:rPr>
                <w:rFonts w:ascii="宋体" w:hAnsi="宋体" w:cs="宋体"/>
                <w:color w:val="444444"/>
                <w:kern w:val="0"/>
                <w:sz w:val="24"/>
              </w:rPr>
            </w:pPr>
            <w:r>
              <w:rPr>
                <w:rFonts w:hint="eastAsia" w:ascii="宋体" w:hAnsi="宋体" w:cs="宋体"/>
                <w:color w:val="444444"/>
                <w:kern w:val="0"/>
                <w:sz w:val="24"/>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4558DF0">
            <w:pPr>
              <w:spacing w:line="360" w:lineRule="auto"/>
              <w:jc w:val="left"/>
              <w:rPr>
                <w:rFonts w:ascii="宋体" w:hAnsi="宋体" w:cs="宋体"/>
                <w:color w:val="444444"/>
                <w:kern w:val="0"/>
                <w:sz w:val="24"/>
              </w:rPr>
            </w:pPr>
            <w:r>
              <w:rPr>
                <w:rFonts w:hint="eastAsia" w:ascii="宋体" w:hAnsi="宋体" w:cs="宋体"/>
                <w:color w:val="444444"/>
                <w:kern w:val="0"/>
                <w:sz w:val="24"/>
              </w:rPr>
              <w:t>新增：事故管理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14:paraId="713316E9">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E9F8">
            <w:pPr>
              <w:spacing w:line="360" w:lineRule="auto"/>
              <w:ind w:firstLine="480"/>
              <w:rPr>
                <w:rFonts w:ascii="宋体" w:hAnsi="宋体" w:cs="宋体"/>
                <w:color w:val="444444"/>
                <w:kern w:val="0"/>
                <w:sz w:val="24"/>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1AD6BCB7">
            <w:pPr>
              <w:spacing w:line="360" w:lineRule="auto"/>
              <w:ind w:firstLine="480"/>
              <w:rPr>
                <w:rFonts w:ascii="宋体" w:hAnsi="宋体" w:cs="宋体"/>
                <w:color w:val="444444"/>
                <w:kern w:val="0"/>
                <w:sz w:val="24"/>
              </w:rPr>
            </w:pPr>
            <w:r>
              <w:rPr>
                <w:rFonts w:hint="eastAsia" w:ascii="宋体" w:hAnsi="宋体" w:cs="宋体"/>
                <w:color w:val="444444"/>
                <w:kern w:val="0"/>
                <w:sz w:val="24"/>
              </w:rPr>
              <w:t>+10</w:t>
            </w:r>
          </w:p>
        </w:tc>
      </w:tr>
      <w:tr w14:paraId="599CE05C">
        <w:tblPrEx>
          <w:tblCellMar>
            <w:top w:w="15" w:type="dxa"/>
            <w:left w:w="15" w:type="dxa"/>
            <w:bottom w:w="15" w:type="dxa"/>
            <w:right w:w="15"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D6A9">
            <w:pPr>
              <w:spacing w:line="360" w:lineRule="auto"/>
              <w:rPr>
                <w:rFonts w:ascii="宋体" w:hAnsi="宋体" w:cs="宋体"/>
                <w:color w:val="444444"/>
                <w:kern w:val="0"/>
                <w:sz w:val="24"/>
              </w:rPr>
            </w:pPr>
            <w:r>
              <w:rPr>
                <w:rFonts w:hint="eastAsia" w:ascii="宋体" w:hAnsi="宋体" w:cs="宋体"/>
                <w:color w:val="444444"/>
                <w:kern w:val="0"/>
                <w:sz w:val="24"/>
              </w:rPr>
              <w:t>合计</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8F5CC">
            <w:pPr>
              <w:spacing w:line="360" w:lineRule="auto"/>
              <w:ind w:firstLine="480"/>
              <w:jc w:val="left"/>
              <w:rPr>
                <w:rFonts w:ascii="宋体" w:hAnsi="宋体" w:cs="宋体"/>
                <w:color w:val="444444"/>
                <w:kern w:val="0"/>
                <w:sz w:val="24"/>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A7C3C">
            <w:pPr>
              <w:spacing w:line="360" w:lineRule="auto"/>
              <w:ind w:firstLine="480"/>
              <w:rPr>
                <w:rFonts w:ascii="宋体" w:hAnsi="宋体" w:cs="宋体"/>
                <w:color w:val="444444"/>
                <w:kern w:val="0"/>
                <w:sz w:val="24"/>
              </w:rPr>
            </w:pPr>
            <w:r>
              <w:rPr>
                <w:rFonts w:hint="eastAsia" w:ascii="宋体" w:hAnsi="宋体" w:cs="宋体"/>
                <w:color w:val="444444"/>
                <w:kern w:val="0"/>
                <w:sz w:val="24"/>
              </w:rPr>
              <w:t>400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Pr>
          <w:p w14:paraId="050CDD92">
            <w:pPr>
              <w:spacing w:line="360" w:lineRule="auto"/>
              <w:ind w:firstLine="480"/>
              <w:rPr>
                <w:rFonts w:ascii="宋体" w:hAnsi="宋体" w:cs="宋体"/>
                <w:color w:val="444444"/>
                <w:kern w:val="0"/>
                <w:sz w:val="24"/>
              </w:rPr>
            </w:pPr>
          </w:p>
        </w:tc>
      </w:tr>
    </w:tbl>
    <w:p w14:paraId="72581DB5">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六、重大意见分歧的处理依据和结果</w:t>
      </w:r>
    </w:p>
    <w:p w14:paraId="3978A55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编写过程中未出现重大意见分歧。</w:t>
      </w:r>
    </w:p>
    <w:p w14:paraId="646C96F5">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七、采用国际标准和国外先进标准的，说明采标程度，以及与国内外同类标准水平的对比情况</w:t>
      </w:r>
    </w:p>
    <w:p w14:paraId="34E81B5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本标准未采用国际标准和国外先进标准。</w:t>
      </w:r>
    </w:p>
    <w:p w14:paraId="476E508B">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八、作为推荐性标准或者强制性标准的建议及其理由</w:t>
      </w:r>
    </w:p>
    <w:p w14:paraId="6E14C03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根据实际工作使用需求，确定为推荐性标准。 </w:t>
      </w:r>
    </w:p>
    <w:p w14:paraId="2D1E97AF">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九、强制性标准实施的风险点、风险程度、风险防控措施和预案</w:t>
      </w:r>
    </w:p>
    <w:p w14:paraId="09ADD3B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本标准为推荐性标准，不需要强制性实施。</w:t>
      </w:r>
    </w:p>
    <w:p w14:paraId="6CA0D838">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十、实施标准的措施建议</w:t>
      </w:r>
    </w:p>
    <w:p w14:paraId="7193BF0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本标准由北京市交通委员会提出并归口管理，贯彻标准的措施建议为：</w:t>
      </w:r>
    </w:p>
    <w:p w14:paraId="4C142B8F">
      <w:pPr>
        <w:spacing w:line="50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（一）宣贯培训：</w:t>
      </w:r>
      <w:r>
        <w:rPr>
          <w:rFonts w:hint="eastAsia" w:ascii="仿宋_GB2312" w:hAnsi="仿宋_GB2312" w:eastAsia="仿宋_GB2312" w:cs="仿宋_GB2312"/>
          <w:sz w:val="28"/>
          <w:szCs w:val="28"/>
        </w:rPr>
        <w:t>标准发布后，行业主管部门召开标准宣贯会，对行业管理部门和企业人员进行培训和宣传普及。</w:t>
      </w:r>
    </w:p>
    <w:p w14:paraId="3CD7F9D2">
      <w:pPr>
        <w:spacing w:line="50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（二）配套资金：</w:t>
      </w:r>
      <w:r>
        <w:rPr>
          <w:rFonts w:hint="eastAsia" w:ascii="仿宋_GB2312" w:hAnsi="仿宋_GB2312" w:eastAsia="仿宋_GB2312" w:cs="仿宋_GB2312"/>
          <w:sz w:val="28"/>
          <w:szCs w:val="28"/>
        </w:rPr>
        <w:t>执行标准配套一定资金。对部分企业进行抽查，以达到推广、落地的目的。</w:t>
      </w:r>
    </w:p>
    <w:p w14:paraId="4497C435">
      <w:pPr>
        <w:spacing w:line="50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（三）政策措施：</w:t>
      </w:r>
      <w:r>
        <w:rPr>
          <w:rFonts w:hint="eastAsia" w:ascii="仿宋_GB2312" w:hAnsi="仿宋_GB2312" w:eastAsia="仿宋_GB2312" w:cs="仿宋_GB2312"/>
          <w:sz w:val="28"/>
          <w:szCs w:val="28"/>
        </w:rPr>
        <w:t>对地方标准的实施建立监管机制，对违反地方标准规定的行为进行通报批评或相关处罚，以严格标准的实施。</w:t>
      </w:r>
    </w:p>
    <w:p w14:paraId="0D4EF3B5">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十一、</w:t>
      </w:r>
      <w:r>
        <w:rPr>
          <w:rFonts w:hint="eastAsia" w:ascii="黑体" w:hAnsi="黑体" w:eastAsia="黑体" w:cs="黑体"/>
          <w:b/>
          <w:bCs/>
          <w:sz w:val="28"/>
          <w:szCs w:val="28"/>
        </w:rPr>
        <w:tab/>
      </w:r>
      <w:r>
        <w:rPr>
          <w:rFonts w:hint="eastAsia" w:ascii="黑体" w:hAnsi="黑体" w:eastAsia="黑体" w:cs="黑体"/>
          <w:b/>
          <w:bCs/>
          <w:sz w:val="28"/>
          <w:szCs w:val="28"/>
        </w:rPr>
        <w:t>其他应说明的事项</w:t>
      </w: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66DA720B"/>
    <w:rsid w:val="00342582"/>
    <w:rsid w:val="00467C20"/>
    <w:rsid w:val="005D4B1E"/>
    <w:rsid w:val="005D66EF"/>
    <w:rsid w:val="00844F64"/>
    <w:rsid w:val="009647DE"/>
    <w:rsid w:val="00A903B9"/>
    <w:rsid w:val="00C5440D"/>
    <w:rsid w:val="00C56CA3"/>
    <w:rsid w:val="00CB17C6"/>
    <w:rsid w:val="00E87FEF"/>
    <w:rsid w:val="00EE08B7"/>
    <w:rsid w:val="00F26F54"/>
    <w:rsid w:val="10C66B90"/>
    <w:rsid w:val="276D36ED"/>
    <w:rsid w:val="33293E8A"/>
    <w:rsid w:val="349D6FCD"/>
    <w:rsid w:val="34A05A30"/>
    <w:rsid w:val="38BE1AA5"/>
    <w:rsid w:val="3B117011"/>
    <w:rsid w:val="66DA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4875</Words>
  <Characters>5405</Characters>
  <Lines>40</Lines>
  <Paragraphs>11</Paragraphs>
  <TotalTime>1</TotalTime>
  <ScaleCrop>false</ScaleCrop>
  <LinksUpToDate>false</LinksUpToDate>
  <CharactersWithSpaces>5437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2024-12-24T15:55:00Z</dcterms:created>
  <dc:creator>WY2017</dc:creator>
  <cp:lastModifiedBy>孙彤</cp:lastModifiedBy>
  <dcterms:modified xsi:type="dcterms:W3CDTF">2025-02-07T06:37:03Z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193EEE1E579A45AC9AFDB59E97F14373</vt:lpwstr>
  </property>
</Properties>
</file>