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spacing w:line="560" w:lineRule="exact"/>
        <w:jc w:val="both"/>
        <w:rPr>
          <w:rFonts w:hint="eastAsia" w:ascii="Times New Roman" w:hAnsi="Times New Roman" w:eastAsia="方正小标宋简体" w:cs="Times New Roman"/>
          <w:color w:val="auto"/>
          <w:sz w:val="32"/>
          <w:szCs w:val="32"/>
        </w:rPr>
      </w:pPr>
    </w:p>
    <w:p>
      <w:pPr>
        <w:keepNext w:val="0"/>
        <w:keepLines w:val="0"/>
        <w:pageBreakBefore w:val="0"/>
        <w:shd w:val="clear"/>
        <w:kinsoku/>
        <w:wordWrap/>
        <w:overflowPunct/>
        <w:topLinePunct w:val="0"/>
        <w:autoSpaceDE/>
        <w:autoSpaceDN/>
        <w:bidi w:val="0"/>
        <w:spacing w:line="560" w:lineRule="exact"/>
        <w:jc w:val="both"/>
        <w:rPr>
          <w:rFonts w:hint="eastAsia" w:ascii="Times New Roman" w:hAnsi="Times New Roman" w:eastAsia="方正小标宋简体" w:cs="Times New Roman"/>
          <w:color w:val="auto"/>
          <w:sz w:val="44"/>
          <w:szCs w:val="44"/>
        </w:rPr>
      </w:pPr>
    </w:p>
    <w:p>
      <w:pPr>
        <w:keepNext w:val="0"/>
        <w:keepLines w:val="0"/>
        <w:pageBreakBefore w:val="0"/>
        <w:shd w:val="clear"/>
        <w:kinsoku/>
        <w:wordWrap/>
        <w:overflowPunct/>
        <w:topLinePunct w:val="0"/>
        <w:autoSpaceDE/>
        <w:autoSpaceDN/>
        <w:bidi w:val="0"/>
        <w:spacing w:line="560" w:lineRule="exact"/>
        <w:jc w:val="both"/>
        <w:rPr>
          <w:rFonts w:hint="eastAsia" w:ascii="Times New Roman" w:hAnsi="Times New Roman" w:eastAsia="方正小标宋简体" w:cs="Times New Roman"/>
          <w:color w:val="auto"/>
          <w:sz w:val="44"/>
          <w:szCs w:val="44"/>
        </w:rPr>
      </w:pPr>
    </w:p>
    <w:p>
      <w:pPr>
        <w:keepNext w:val="0"/>
        <w:keepLines w:val="0"/>
        <w:pageBreakBefore w:val="0"/>
        <w:shd w:val="clear"/>
        <w:kinsoku/>
        <w:wordWrap/>
        <w:overflowPunct/>
        <w:topLinePunct w:val="0"/>
        <w:autoSpaceDE/>
        <w:autoSpaceDN/>
        <w:bidi w:val="0"/>
        <w:spacing w:line="56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北京经济技术开发区采取特许经营模式的污水处理项目补贴标准</w:t>
      </w:r>
    </w:p>
    <w:p>
      <w:pPr>
        <w:keepNext w:val="0"/>
        <w:keepLines w:val="0"/>
        <w:pageBreakBefore w:val="0"/>
        <w:shd w:val="clear"/>
        <w:kinsoku/>
        <w:wordWrap/>
        <w:overflowPunct/>
        <w:topLinePunct w:val="0"/>
        <w:autoSpaceDE/>
        <w:autoSpaceDN/>
        <w:bidi w:val="0"/>
        <w:spacing w:line="56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eastAsia="zh-CN"/>
        </w:rPr>
        <w:t>）</w:t>
      </w:r>
    </w:p>
    <w:p>
      <w:pPr>
        <w:keepNext w:val="0"/>
        <w:keepLines w:val="0"/>
        <w:pageBreakBefore w:val="0"/>
        <w:shd w:val="clear"/>
        <w:kinsoku/>
        <w:wordWrap/>
        <w:overflowPunct/>
        <w:topLinePunct w:val="0"/>
        <w:autoSpaceDE/>
        <w:autoSpaceDN/>
        <w:bidi w:val="0"/>
        <w:spacing w:line="560" w:lineRule="exact"/>
        <w:jc w:val="center"/>
        <w:rPr>
          <w:rFonts w:hint="eastAsia" w:ascii="Times New Roman" w:hAnsi="Times New Roman" w:eastAsia="方正小标宋简体" w:cs="Times New Roman"/>
          <w:sz w:val="44"/>
          <w:szCs w:val="44"/>
          <w:lang w:eastAsia="zh-CN"/>
        </w:rPr>
      </w:pP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w:t>
      </w:r>
      <w:r>
        <w:rPr>
          <w:rFonts w:hint="eastAsia" w:ascii="仿宋_GB2312" w:hAnsi="仿宋_GB2312" w:eastAsia="仿宋_GB2312" w:cs="仿宋_GB2312"/>
          <w:color w:val="auto"/>
          <w:sz w:val="32"/>
          <w:szCs w:val="32"/>
          <w:lang w:eastAsia="zh-CN"/>
        </w:rPr>
        <w:t>北京经济技术开发区</w:t>
      </w:r>
      <w:r>
        <w:rPr>
          <w:rFonts w:hint="eastAsia" w:ascii="仿宋_GB2312" w:hAnsi="仿宋_GB2312" w:eastAsia="仿宋_GB2312" w:cs="仿宋_GB2312"/>
          <w:color w:val="auto"/>
          <w:sz w:val="32"/>
          <w:szCs w:val="32"/>
        </w:rPr>
        <w:t>污水</w:t>
      </w:r>
      <w:r>
        <w:rPr>
          <w:rFonts w:hint="eastAsia" w:ascii="仿宋_GB2312" w:hAnsi="仿宋_GB2312" w:eastAsia="仿宋_GB2312" w:cs="仿宋_GB2312"/>
          <w:color w:val="auto"/>
          <w:sz w:val="32"/>
          <w:szCs w:val="32"/>
          <w:lang w:eastAsia="zh-CN"/>
        </w:rPr>
        <w:t>处理的良性运行</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污水处理运行实际情况，</w:t>
      </w:r>
      <w:r>
        <w:rPr>
          <w:rFonts w:hint="eastAsia" w:ascii="仿宋_GB2312" w:hAnsi="仿宋_GB2312" w:eastAsia="仿宋_GB2312" w:cs="仿宋_GB2312"/>
          <w:color w:val="auto"/>
          <w:sz w:val="32"/>
          <w:szCs w:val="32"/>
          <w:lang w:eastAsia="zh-CN"/>
        </w:rPr>
        <w:t>特</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auto"/>
          <w:sz w:val="32"/>
          <w:szCs w:val="32"/>
          <w:lang w:eastAsia="zh-CN"/>
        </w:rPr>
        <w:t>新机制</w:t>
      </w:r>
      <w:r>
        <w:rPr>
          <w:rFonts w:hint="eastAsia" w:ascii="东文宋体" w:hAnsi="东文宋体" w:eastAsia="东文宋体" w:cs="东文宋体"/>
          <w:b/>
          <w:bCs/>
          <w:color w:val="auto"/>
          <w:sz w:val="32"/>
          <w:szCs w:val="32"/>
          <w:vertAlign w:val="superscript"/>
          <w:lang w:eastAsia="zh-CN"/>
        </w:rPr>
        <w:t>※</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color w:val="auto"/>
          <w:sz w:val="32"/>
          <w:szCs w:val="32"/>
          <w:lang w:eastAsia="zh-CN"/>
        </w:rPr>
        <w:t>北京经济技术开发区采取特许经营模式的</w:t>
      </w:r>
      <w:r>
        <w:rPr>
          <w:rFonts w:hint="eastAsia" w:ascii="仿宋_GB2312" w:hAnsi="仿宋_GB2312" w:eastAsia="仿宋_GB2312" w:cs="仿宋_GB2312"/>
          <w:color w:val="auto"/>
          <w:sz w:val="32"/>
          <w:szCs w:val="32"/>
        </w:rPr>
        <w:t>污水处理</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补贴标准，具体如下：</w:t>
      </w:r>
    </w:p>
    <w:p>
      <w:pPr>
        <w:keepNext w:val="0"/>
        <w:keepLines w:val="0"/>
        <w:pageBreakBefore w:val="0"/>
        <w:shd w:val="clear"/>
        <w:kinsoku/>
        <w:wordWrap/>
        <w:overflowPunct/>
        <w:topLinePunct w:val="0"/>
        <w:autoSpaceDE/>
        <w:autoSpaceDN/>
        <w:bidi w:val="0"/>
        <w:spacing w:before="0" w:after="0" w:line="560" w:lineRule="exact"/>
        <w:ind w:firstLine="640" w:firstLineChars="200"/>
        <w:jc w:val="left"/>
        <w:outlineLvl w:val="9"/>
        <w:rPr>
          <w:rFonts w:hint="eastAsia" w:ascii="国标黑体" w:hAnsi="国标黑体" w:eastAsia="国标黑体" w:cs="国标黑体"/>
          <w:color w:val="auto"/>
          <w:kern w:val="44"/>
          <w:sz w:val="32"/>
          <w:szCs w:val="32"/>
        </w:rPr>
      </w:pPr>
      <w:r>
        <w:rPr>
          <w:rFonts w:hint="eastAsia" w:ascii="国标黑体" w:hAnsi="国标黑体" w:eastAsia="国标黑体" w:cs="国标黑体"/>
          <w:color w:val="auto"/>
          <w:kern w:val="44"/>
          <w:sz w:val="32"/>
          <w:szCs w:val="32"/>
        </w:rPr>
        <w:t>一、补贴依据</w:t>
      </w:r>
    </w:p>
    <w:p>
      <w:pPr>
        <w:keepNext w:val="0"/>
        <w:keepLines w:val="0"/>
        <w:pageBreakBefore w:val="0"/>
        <w:shd w:val="clear"/>
        <w:kinsoku/>
        <w:wordWrap/>
        <w:overflowPunct/>
        <w:topLinePunct w:val="0"/>
        <w:autoSpaceDE/>
        <w:autoSpaceDN/>
        <w:bidi w:val="0"/>
        <w:spacing w:before="0" w:after="0" w:line="56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规范实施政府和社会资本合作新机制的指导意见》（国办函〔2023〕115号）、《基础设施和公用事业特许经营管理办法》（国家发改委等六部委17号令）、《国家发展改革委办公厅关于建立全国政府和社会资本合作项目信息系统的通知》（发改办投资〔2024〕151号）、《北京市发展和改革委员会关于印发落实政府和社会资本合作新机制规范推进特许经营项目实施方案的通知》（京发改〔2024〕1293号）、《关于进一步做好政府和社会资本合作新机制项目规范实施工作的通知》（发改办投资〔2024〕1013号）、《北京市水污染防治条例》（北京市人民代表大会常务委员会公告〔十五届〕第61号）、《北京市排水和再生水管理办法》（北京市人民政府第215号令）等相关规定。</w:t>
      </w:r>
    </w:p>
    <w:p>
      <w:pPr>
        <w:keepNext w:val="0"/>
        <w:keepLines w:val="0"/>
        <w:pageBreakBefore w:val="0"/>
        <w:shd w:val="clear"/>
        <w:kinsoku/>
        <w:wordWrap/>
        <w:overflowPunct/>
        <w:topLinePunct w:val="0"/>
        <w:autoSpaceDE/>
        <w:autoSpaceDN/>
        <w:bidi w:val="0"/>
        <w:spacing w:before="0" w:after="0" w:line="560" w:lineRule="exact"/>
        <w:ind w:firstLine="640" w:firstLineChars="200"/>
        <w:jc w:val="left"/>
        <w:outlineLvl w:val="9"/>
        <w:rPr>
          <w:rFonts w:hint="eastAsia" w:ascii="国标黑体" w:hAnsi="国标黑体" w:eastAsia="国标黑体" w:cs="国标黑体"/>
          <w:color w:val="auto"/>
          <w:kern w:val="44"/>
          <w:sz w:val="32"/>
          <w:szCs w:val="32"/>
        </w:rPr>
      </w:pPr>
      <w:r>
        <w:rPr>
          <w:rFonts w:hint="eastAsia" w:ascii="国标黑体" w:hAnsi="国标黑体" w:eastAsia="国标黑体" w:cs="国标黑体"/>
          <w:color w:val="auto"/>
          <w:kern w:val="44"/>
          <w:sz w:val="32"/>
          <w:szCs w:val="32"/>
        </w:rPr>
        <w:t>二、补贴范围与补贴对象</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补贴范围：</w:t>
      </w:r>
      <w:r>
        <w:rPr>
          <w:rFonts w:hint="eastAsia" w:ascii="仿宋_GB2312" w:hAnsi="仿宋_GB2312" w:eastAsia="仿宋_GB2312" w:cs="仿宋_GB2312"/>
          <w:sz w:val="32"/>
          <w:szCs w:val="32"/>
          <w:lang w:val="en-US" w:eastAsia="zh-CN"/>
        </w:rPr>
        <w:t>由经开区组织实施的特许经营城镇污水处理项目（不含临时项目）。</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补贴对象：由经开区组织实施</w:t>
      </w:r>
      <w:r>
        <w:rPr>
          <w:rFonts w:hint="eastAsia" w:ascii="仿宋_GB2312" w:hAnsi="仿宋_GB2312" w:eastAsia="仿宋_GB2312" w:cs="仿宋_GB2312"/>
          <w:sz w:val="32"/>
          <w:szCs w:val="32"/>
          <w:lang w:val="en-US" w:eastAsia="zh-CN"/>
        </w:rPr>
        <w:t>的特许经营城镇</w:t>
      </w:r>
      <w:bookmarkStart w:id="0" w:name="_GoBack"/>
      <w:bookmarkEnd w:id="0"/>
      <w:r>
        <w:rPr>
          <w:rFonts w:hint="eastAsia" w:ascii="仿宋_GB2312" w:hAnsi="仿宋_GB2312" w:eastAsia="仿宋_GB2312" w:cs="仿宋_GB2312"/>
          <w:sz w:val="32"/>
          <w:szCs w:val="32"/>
          <w:highlight w:val="none"/>
          <w:lang w:val="en-US" w:eastAsia="zh-CN"/>
        </w:rPr>
        <w:t>污水</w:t>
      </w:r>
      <w:r>
        <w:rPr>
          <w:rFonts w:hint="eastAsia" w:ascii="仿宋_GB2312" w:hAnsi="仿宋_GB2312" w:eastAsia="仿宋_GB2312" w:cs="仿宋_GB2312"/>
          <w:sz w:val="32"/>
          <w:szCs w:val="32"/>
          <w:highlight w:val="none"/>
        </w:rPr>
        <w:t>处理项目</w:t>
      </w:r>
      <w:r>
        <w:rPr>
          <w:rFonts w:hint="eastAsia" w:ascii="仿宋_GB2312" w:hAnsi="仿宋_GB2312" w:eastAsia="仿宋_GB2312" w:cs="仿宋_GB2312"/>
          <w:sz w:val="32"/>
          <w:szCs w:val="32"/>
          <w:lang w:val="en-US" w:eastAsia="zh-CN"/>
        </w:rPr>
        <w:t>（不含临时项目）</w:t>
      </w:r>
      <w:r>
        <w:rPr>
          <w:rFonts w:hint="eastAsia" w:ascii="仿宋_GB2312" w:hAnsi="仿宋_GB2312" w:eastAsia="仿宋_GB2312" w:cs="仿宋_GB2312"/>
          <w:sz w:val="32"/>
          <w:szCs w:val="32"/>
          <w:lang w:eastAsia="zh-CN"/>
        </w:rPr>
        <w:t>运行</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val="en-US" w:eastAsia="zh-CN"/>
        </w:rPr>
        <w:t>。</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补贴支付以</w:t>
      </w:r>
      <w:r>
        <w:rPr>
          <w:rFonts w:hint="eastAsia" w:ascii="仿宋_GB2312" w:hAnsi="仿宋_GB2312" w:eastAsia="仿宋_GB2312" w:cs="仿宋_GB2312"/>
          <w:sz w:val="32"/>
          <w:szCs w:val="32"/>
          <w:lang w:val="en-US" w:eastAsia="zh-CN"/>
        </w:rPr>
        <w:t>污水</w:t>
      </w:r>
      <w:r>
        <w:rPr>
          <w:rFonts w:hint="eastAsia" w:ascii="仿宋_GB2312" w:hAnsi="仿宋_GB2312" w:eastAsia="仿宋_GB2312" w:cs="仿宋_GB2312"/>
          <w:sz w:val="32"/>
          <w:szCs w:val="32"/>
        </w:rPr>
        <w:t>处理项目质量和产出（服务）效果达到合同或政策要求为前提。</w:t>
      </w:r>
    </w:p>
    <w:p>
      <w:pPr>
        <w:keepNext w:val="0"/>
        <w:keepLines w:val="0"/>
        <w:pageBreakBefore w:val="0"/>
        <w:shd w:val="clear"/>
        <w:kinsoku/>
        <w:wordWrap/>
        <w:overflowPunct/>
        <w:topLinePunct w:val="0"/>
        <w:autoSpaceDE/>
        <w:autoSpaceDN/>
        <w:bidi w:val="0"/>
        <w:spacing w:before="0" w:after="0" w:line="560" w:lineRule="exact"/>
        <w:ind w:firstLine="640" w:firstLineChars="200"/>
        <w:jc w:val="left"/>
        <w:outlineLvl w:val="9"/>
        <w:rPr>
          <w:rFonts w:hint="eastAsia" w:ascii="国标黑体" w:hAnsi="国标黑体" w:eastAsia="国标黑体" w:cs="国标黑体"/>
          <w:color w:val="auto"/>
          <w:kern w:val="44"/>
          <w:sz w:val="32"/>
          <w:szCs w:val="32"/>
        </w:rPr>
      </w:pPr>
      <w:r>
        <w:rPr>
          <w:rFonts w:hint="eastAsia" w:ascii="国标黑体" w:hAnsi="国标黑体" w:eastAsia="国标黑体" w:cs="国标黑体"/>
          <w:color w:val="auto"/>
          <w:kern w:val="44"/>
          <w:sz w:val="32"/>
          <w:szCs w:val="32"/>
        </w:rPr>
        <w:t>三、补贴标准</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本补贴标准为上限，</w:t>
      </w:r>
      <w:r>
        <w:rPr>
          <w:rFonts w:hint="eastAsia" w:ascii="仿宋_GB2312" w:hAnsi="仿宋_GB2312" w:eastAsia="仿宋_GB2312" w:cs="仿宋_GB2312"/>
          <w:color w:val="auto"/>
          <w:sz w:val="32"/>
          <w:szCs w:val="32"/>
        </w:rPr>
        <w:t>实际运</w:t>
      </w:r>
      <w:r>
        <w:rPr>
          <w:rFonts w:hint="eastAsia" w:ascii="仿宋_GB2312" w:hAnsi="仿宋_GB2312" w:eastAsia="仿宋_GB2312" w:cs="仿宋_GB2312"/>
          <w:color w:val="auto"/>
          <w:sz w:val="32"/>
          <w:szCs w:val="32"/>
          <w:lang w:eastAsia="zh-CN"/>
        </w:rPr>
        <w:t>行</w:t>
      </w:r>
      <w:r>
        <w:rPr>
          <w:rFonts w:hint="eastAsia" w:ascii="仿宋_GB2312" w:hAnsi="仿宋_GB2312" w:eastAsia="仿宋_GB2312" w:cs="仿宋_GB2312"/>
          <w:color w:val="auto"/>
          <w:sz w:val="32"/>
          <w:szCs w:val="32"/>
        </w:rPr>
        <w:t>补贴不能高于本补贴标准。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674"/>
        <w:gridCol w:w="919"/>
        <w:gridCol w:w="920"/>
        <w:gridCol w:w="1213"/>
        <w:gridCol w:w="1213"/>
        <w:gridCol w:w="1213"/>
        <w:gridCol w:w="1253"/>
        <w:gridCol w:w="1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073" w:hRule="atLeast"/>
          <w:jc w:val="center"/>
        </w:trPr>
        <w:tc>
          <w:tcPr>
            <w:tcW w:w="67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污水处理项目规模</w:t>
            </w:r>
          </w:p>
        </w:tc>
        <w:tc>
          <w:tcPr>
            <w:tcW w:w="919"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设计规模（万立/日）</w:t>
            </w:r>
          </w:p>
        </w:tc>
        <w:tc>
          <w:tcPr>
            <w:tcW w:w="920"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全地上式-污泥含水率60%（元/立方米</w:t>
            </w:r>
            <w:r>
              <w:rPr>
                <w:rStyle w:val="16"/>
                <w:rFonts w:hint="eastAsia" w:ascii="国标黑体" w:hAnsi="国标黑体" w:eastAsia="国标黑体" w:cs="国标黑体"/>
                <w:b w:val="0"/>
                <w:bCs w:val="0"/>
                <w:color w:val="auto"/>
                <w:sz w:val="20"/>
                <w:szCs w:val="20"/>
                <w:lang w:val="en-US" w:eastAsia="zh-CN" w:bidi="ar"/>
              </w:rPr>
              <w:t>）</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全地上式-污泥含水率40%（元/立方米）</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全地下式-污泥含水率60%（元/立方米）</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全地下式-污泥含水率40%（元/立方米）</w:t>
            </w:r>
          </w:p>
        </w:tc>
        <w:tc>
          <w:tcPr>
            <w:tcW w:w="125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出水标准</w:t>
            </w:r>
          </w:p>
        </w:tc>
        <w:tc>
          <w:tcPr>
            <w:tcW w:w="1117"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center"/>
              <w:textAlignment w:val="center"/>
              <w:outlineLvl w:val="9"/>
              <w:rPr>
                <w:rFonts w:hint="eastAsia" w:ascii="国标黑体" w:hAnsi="国标黑体" w:eastAsia="国标黑体" w:cs="国标黑体"/>
                <w:b w:val="0"/>
                <w:bCs w:val="0"/>
                <w:i w:val="0"/>
                <w:iCs w:val="0"/>
                <w:color w:val="auto"/>
                <w:sz w:val="20"/>
                <w:szCs w:val="20"/>
                <w:u w:val="none"/>
              </w:rPr>
            </w:pPr>
            <w:r>
              <w:rPr>
                <w:rFonts w:hint="eastAsia" w:ascii="国标黑体" w:hAnsi="国标黑体" w:eastAsia="国标黑体" w:cs="国标黑体"/>
                <w:b w:val="0"/>
                <w:bCs w:val="0"/>
                <w:i w:val="0"/>
                <w:iCs w:val="0"/>
                <w:color w:val="auto"/>
                <w:kern w:val="0"/>
                <w:sz w:val="20"/>
                <w:szCs w:val="20"/>
                <w:u w:val="none"/>
                <w:lang w:val="en-US" w:eastAsia="zh-CN" w:bidi="ar"/>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cantSplit/>
          <w:trHeight w:val="466" w:hRule="atLeast"/>
          <w:jc w:val="center"/>
        </w:trPr>
        <w:tc>
          <w:tcPr>
            <w:tcW w:w="67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w:t>
            </w:r>
          </w:p>
        </w:tc>
        <w:tc>
          <w:tcPr>
            <w:tcW w:w="919"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X≥20</w:t>
            </w:r>
          </w:p>
        </w:tc>
        <w:tc>
          <w:tcPr>
            <w:tcW w:w="920"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1.90</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2.20</w:t>
            </w:r>
          </w:p>
        </w:tc>
        <w:tc>
          <w:tcPr>
            <w:tcW w:w="1253"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left"/>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《城镇污水处理厂水污染物排放标准》（DB11/890—2012）</w:t>
            </w:r>
          </w:p>
        </w:tc>
        <w:tc>
          <w:tcPr>
            <w:tcW w:w="1117" w:type="dxa"/>
            <w:vMerge w:val="restart"/>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440" w:lineRule="exact"/>
              <w:jc w:val="left"/>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不含污泥最终(场外等）处置费以及环保税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cantSplit/>
          <w:trHeight w:val="466" w:hRule="atLeast"/>
          <w:jc w:val="center"/>
        </w:trPr>
        <w:tc>
          <w:tcPr>
            <w:tcW w:w="67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Ⅱ</w:t>
            </w:r>
          </w:p>
        </w:tc>
        <w:tc>
          <w:tcPr>
            <w:tcW w:w="919"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10≤X&lt;20</w:t>
            </w:r>
          </w:p>
        </w:tc>
        <w:tc>
          <w:tcPr>
            <w:tcW w:w="920"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1253"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adjustRightInd w:val="0"/>
              <w:snapToGrid w:val="0"/>
              <w:spacing w:line="560" w:lineRule="exact"/>
              <w:jc w:val="both"/>
              <w:outlineLvl w:val="9"/>
              <w:rPr>
                <w:rFonts w:hint="eastAsia" w:ascii="微软雅黑" w:hAnsi="微软雅黑" w:eastAsia="微软雅黑" w:cs="微软雅黑"/>
                <w:i w:val="0"/>
                <w:iCs w:val="0"/>
                <w:color w:val="auto"/>
                <w:sz w:val="18"/>
                <w:szCs w:val="18"/>
                <w:u w:val="none"/>
              </w:rPr>
            </w:pPr>
          </w:p>
        </w:tc>
        <w:tc>
          <w:tcPr>
            <w:tcW w:w="1117"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adjustRightInd w:val="0"/>
              <w:snapToGrid w:val="0"/>
              <w:spacing w:line="560" w:lineRule="exact"/>
              <w:jc w:val="both"/>
              <w:outlineLvl w:val="9"/>
              <w:rPr>
                <w:rFonts w:hint="eastAsia" w:ascii="微软雅黑" w:hAnsi="微软雅黑" w:eastAsia="微软雅黑" w:cs="微软雅黑"/>
                <w:i w:val="0"/>
                <w:iCs w:val="0"/>
                <w:color w:val="auto"/>
                <w:sz w:val="18"/>
                <w:szCs w:val="18"/>
                <w:u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cantSplit/>
          <w:trHeight w:val="466" w:hRule="atLeast"/>
          <w:jc w:val="center"/>
        </w:trPr>
        <w:tc>
          <w:tcPr>
            <w:tcW w:w="674"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Ⅲ</w:t>
            </w:r>
          </w:p>
        </w:tc>
        <w:tc>
          <w:tcPr>
            <w:tcW w:w="919"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6&lt;X&lt;10</w:t>
            </w:r>
          </w:p>
        </w:tc>
        <w:tc>
          <w:tcPr>
            <w:tcW w:w="920"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2.10</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1213" w:type="dxa"/>
            <w:tcBorders>
              <w:tl2br w:val="nil"/>
              <w:tr2bl w:val="nil"/>
            </w:tcBorders>
            <w:shd w:val="clear" w:color="auto" w:fill="FFFFFF"/>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560" w:lineRule="exact"/>
              <w:jc w:val="center"/>
              <w:textAlignment w:val="center"/>
              <w:outlineLvl w:val="9"/>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1253"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adjustRightInd w:val="0"/>
              <w:snapToGrid w:val="0"/>
              <w:spacing w:line="560" w:lineRule="exact"/>
              <w:jc w:val="both"/>
              <w:outlineLvl w:val="9"/>
              <w:rPr>
                <w:rFonts w:hint="eastAsia" w:ascii="微软雅黑" w:hAnsi="微软雅黑" w:eastAsia="微软雅黑" w:cs="微软雅黑"/>
                <w:i w:val="0"/>
                <w:iCs w:val="0"/>
                <w:color w:val="auto"/>
                <w:sz w:val="18"/>
                <w:szCs w:val="18"/>
                <w:u w:val="none"/>
              </w:rPr>
            </w:pPr>
          </w:p>
        </w:tc>
        <w:tc>
          <w:tcPr>
            <w:tcW w:w="1117" w:type="dxa"/>
            <w:vMerge w:val="continue"/>
            <w:tcBorders>
              <w:tl2br w:val="nil"/>
              <w:tr2bl w:val="nil"/>
            </w:tcBorders>
            <w:shd w:val="clear" w:color="auto" w:fill="FFFFFF"/>
            <w:vAlign w:val="center"/>
          </w:tcPr>
          <w:p>
            <w:pPr>
              <w:keepNext w:val="0"/>
              <w:keepLines w:val="0"/>
              <w:pageBreakBefore w:val="0"/>
              <w:widowControl/>
              <w:shd w:val="clear"/>
              <w:kinsoku/>
              <w:wordWrap/>
              <w:overflowPunct/>
              <w:topLinePunct w:val="0"/>
              <w:autoSpaceDE/>
              <w:autoSpaceDN/>
              <w:bidi w:val="0"/>
              <w:adjustRightInd w:val="0"/>
              <w:snapToGrid w:val="0"/>
              <w:spacing w:line="560" w:lineRule="exact"/>
              <w:jc w:val="both"/>
              <w:outlineLvl w:val="9"/>
              <w:rPr>
                <w:rFonts w:hint="eastAsia" w:ascii="微软雅黑" w:hAnsi="微软雅黑" w:eastAsia="微软雅黑" w:cs="微软雅黑"/>
                <w:i w:val="0"/>
                <w:iCs w:val="0"/>
                <w:color w:val="auto"/>
                <w:sz w:val="18"/>
                <w:szCs w:val="18"/>
                <w:u w:val="none"/>
              </w:rPr>
            </w:pPr>
          </w:p>
        </w:tc>
      </w:tr>
    </w:tbl>
    <w:p>
      <w:pPr>
        <w:keepNext w:val="0"/>
        <w:keepLines w:val="0"/>
        <w:pageBreakBefore w:val="0"/>
        <w:widowControl/>
        <w:shd w:val="clear"/>
        <w:kinsoku/>
        <w:wordWrap/>
        <w:overflowPunct/>
        <w:topLinePunct w:val="0"/>
        <w:autoSpaceDE/>
        <w:autoSpaceDN/>
        <w:bidi w:val="0"/>
        <w:spacing w:line="560" w:lineRule="exact"/>
        <w:ind w:firstLine="560" w:firstLineChars="200"/>
        <w:jc w:val="both"/>
        <w:outlineLvl w:val="9"/>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注：设计规模小的污水处理项目，受客观因素影响，运行成本差异较大。</w:t>
      </w:r>
    </w:p>
    <w:p>
      <w:pPr>
        <w:keepNext w:val="0"/>
        <w:keepLines w:val="0"/>
        <w:pageBreakBefore w:val="0"/>
        <w:shd w:val="clear"/>
        <w:kinsoku/>
        <w:wordWrap/>
        <w:overflowPunct/>
        <w:topLinePunct w:val="0"/>
        <w:autoSpaceDE/>
        <w:autoSpaceDN/>
        <w:bidi w:val="0"/>
        <w:spacing w:before="0" w:after="0" w:line="560" w:lineRule="exact"/>
        <w:ind w:firstLine="640" w:firstLineChars="200"/>
        <w:jc w:val="left"/>
        <w:outlineLvl w:val="9"/>
        <w:rPr>
          <w:rFonts w:hint="eastAsia" w:ascii="国标黑体" w:hAnsi="国标黑体" w:eastAsia="国标黑体" w:cs="国标黑体"/>
          <w:color w:val="auto"/>
          <w:kern w:val="44"/>
          <w:sz w:val="32"/>
          <w:szCs w:val="32"/>
        </w:rPr>
      </w:pPr>
      <w:r>
        <w:rPr>
          <w:rFonts w:hint="eastAsia" w:ascii="国标黑体" w:hAnsi="国标黑体" w:eastAsia="国标黑体" w:cs="国标黑体"/>
          <w:color w:val="auto"/>
          <w:kern w:val="44"/>
          <w:sz w:val="32"/>
          <w:szCs w:val="32"/>
        </w:rPr>
        <w:t>四、资金渠道</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使用者付费应尽量覆盖污水处理项目全部成本（含建设和运行成本），使用者付费无法覆盖全部成本时（使用者付费应覆盖全部建设成本），运行成本不足部分执行运行补贴标准。</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污水处理运行补贴资金由</w:t>
      </w:r>
      <w:r>
        <w:rPr>
          <w:rFonts w:hint="eastAsia" w:ascii="仿宋_GB2312" w:hAnsi="仿宋_GB2312" w:eastAsia="仿宋_GB2312" w:cs="仿宋_GB2312"/>
          <w:color w:val="auto"/>
          <w:sz w:val="32"/>
          <w:szCs w:val="32"/>
          <w:lang w:eastAsia="zh-CN"/>
        </w:rPr>
        <w:t>北京经济技术开发区</w:t>
      </w:r>
      <w:r>
        <w:rPr>
          <w:rFonts w:hint="eastAsia" w:ascii="仿宋_GB2312" w:hAnsi="仿宋_GB2312" w:eastAsia="仿宋_GB2312" w:cs="仿宋_GB2312"/>
          <w:color w:val="auto"/>
          <w:sz w:val="32"/>
          <w:szCs w:val="32"/>
          <w:lang w:val="en-US" w:eastAsia="zh-CN"/>
        </w:rPr>
        <w:t>财政部门</w:t>
      </w:r>
      <w:r>
        <w:rPr>
          <w:rFonts w:hint="eastAsia" w:ascii="仿宋_GB2312" w:hAnsi="仿宋_GB2312" w:eastAsia="仿宋_GB2312" w:cs="仿宋_GB2312"/>
          <w:color w:val="auto"/>
          <w:sz w:val="32"/>
          <w:szCs w:val="32"/>
        </w:rPr>
        <w:t>统筹安排。</w:t>
      </w:r>
    </w:p>
    <w:p>
      <w:pPr>
        <w:keepNext w:val="0"/>
        <w:keepLines w:val="0"/>
        <w:pageBreakBefore w:val="0"/>
        <w:shd w:val="clear"/>
        <w:kinsoku/>
        <w:wordWrap/>
        <w:overflowPunct/>
        <w:topLinePunct w:val="0"/>
        <w:autoSpaceDE/>
        <w:autoSpaceDN/>
        <w:bidi w:val="0"/>
        <w:spacing w:before="0" w:after="0" w:line="560" w:lineRule="exact"/>
        <w:ind w:firstLine="640" w:firstLineChars="200"/>
        <w:jc w:val="left"/>
        <w:outlineLvl w:val="9"/>
        <w:rPr>
          <w:rFonts w:hint="eastAsia" w:ascii="国标黑体" w:hAnsi="国标黑体" w:eastAsia="国标黑体" w:cs="国标黑体"/>
          <w:color w:val="auto"/>
          <w:kern w:val="44"/>
          <w:sz w:val="32"/>
          <w:szCs w:val="32"/>
        </w:rPr>
      </w:pPr>
      <w:r>
        <w:rPr>
          <w:rFonts w:hint="eastAsia" w:ascii="国标黑体" w:hAnsi="国标黑体" w:eastAsia="国标黑体" w:cs="国标黑体"/>
          <w:color w:val="auto"/>
          <w:kern w:val="44"/>
          <w:sz w:val="32"/>
          <w:szCs w:val="32"/>
        </w:rPr>
        <w:t>五、施行日期</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运行</w:t>
      </w:r>
      <w:r>
        <w:rPr>
          <w:rFonts w:hint="eastAsia" w:ascii="仿宋_GB2312" w:hAnsi="仿宋_GB2312" w:eastAsia="仿宋_GB2312" w:cs="仿宋_GB2312"/>
          <w:color w:val="auto"/>
          <w:sz w:val="32"/>
          <w:szCs w:val="32"/>
        </w:rPr>
        <w:t>补贴标准自印发之日起施行。</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本标准将根据国家、北京市有关政策要求,以及</w:t>
      </w:r>
      <w:r>
        <w:rPr>
          <w:rFonts w:hint="eastAsia" w:ascii="仿宋_GB2312" w:hAnsi="仿宋_GB2312" w:eastAsia="仿宋_GB2312" w:cs="仿宋_GB2312"/>
          <w:color w:val="auto"/>
          <w:sz w:val="32"/>
          <w:szCs w:val="32"/>
          <w:lang w:eastAsia="zh-CN"/>
        </w:rPr>
        <w:t>运行设施成本上涨</w:t>
      </w:r>
      <w:r>
        <w:rPr>
          <w:rFonts w:hint="eastAsia" w:ascii="仿宋_GB2312" w:hAnsi="仿宋_GB2312" w:eastAsia="仿宋_GB2312" w:cs="仿宋_GB2312"/>
          <w:color w:val="auto"/>
          <w:sz w:val="32"/>
          <w:szCs w:val="32"/>
          <w:lang w:val="en-US" w:eastAsia="zh-CN"/>
        </w:rPr>
        <w:t>等因素</w:t>
      </w:r>
      <w:r>
        <w:rPr>
          <w:rFonts w:hint="eastAsia" w:ascii="仿宋_GB2312" w:hAnsi="仿宋_GB2312" w:eastAsia="仿宋_GB2312" w:cs="仿宋_GB2312"/>
          <w:color w:val="auto"/>
          <w:sz w:val="32"/>
          <w:szCs w:val="32"/>
        </w:rPr>
        <w:t>适时调整。</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color w:val="auto"/>
          <w:sz w:val="32"/>
          <w:szCs w:val="32"/>
        </w:rPr>
      </w:pP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eastAsia" w:ascii="仿宋_GB2312" w:hAnsi="仿宋_GB2312" w:eastAsia="仿宋_GB2312" w:cs="仿宋_GB2312"/>
          <w:color w:val="auto"/>
          <w:sz w:val="32"/>
          <w:szCs w:val="32"/>
        </w:rPr>
      </w:pPr>
    </w:p>
    <w:p>
      <w:pPr>
        <w:keepNext w:val="0"/>
        <w:keepLines w:val="0"/>
        <w:pageBreakBefore w:val="0"/>
        <w:widowControl/>
        <w:shd w:val="clear"/>
        <w:kinsoku/>
        <w:wordWrap/>
        <w:overflowPunct/>
        <w:topLinePunct w:val="0"/>
        <w:autoSpaceDE/>
        <w:autoSpaceDN/>
        <w:bidi w:val="0"/>
        <w:spacing w:line="560" w:lineRule="exact"/>
        <w:ind w:firstLine="560" w:firstLineChars="200"/>
        <w:jc w:val="both"/>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注释：</w:t>
      </w:r>
      <w:r>
        <w:rPr>
          <w:rFonts w:hint="eastAsia" w:ascii="仿宋_GB2312" w:hAnsi="仿宋_GB2312" w:eastAsia="仿宋_GB2312" w:cs="仿宋_GB2312"/>
          <w:b/>
          <w:bCs/>
          <w:color w:val="auto"/>
          <w:sz w:val="28"/>
          <w:szCs w:val="28"/>
          <w:lang w:eastAsia="zh-CN"/>
        </w:rPr>
        <w:t>新机制</w:t>
      </w:r>
      <w:r>
        <w:rPr>
          <w:rFonts w:hint="eastAsia" w:ascii="仿宋_GB2312" w:hAnsi="仿宋_GB2312" w:eastAsia="仿宋_GB2312" w:cs="仿宋_GB2312"/>
          <w:b/>
          <w:bCs/>
          <w:color w:val="auto"/>
          <w:sz w:val="28"/>
          <w:szCs w:val="28"/>
          <w:vertAlign w:val="superscript"/>
          <w:lang w:eastAsia="zh-CN"/>
        </w:rPr>
        <w:t>※</w:t>
      </w:r>
      <w:r>
        <w:rPr>
          <w:rFonts w:hint="eastAsia" w:ascii="仿宋_GB2312" w:hAnsi="仿宋_GB2312" w:eastAsia="仿宋_GB2312" w:cs="仿宋_GB2312"/>
          <w:color w:val="auto"/>
          <w:sz w:val="28"/>
          <w:szCs w:val="28"/>
          <w:lang w:val="en-US" w:eastAsia="zh-CN"/>
        </w:rPr>
        <w:t>指</w:t>
      </w:r>
      <w:r>
        <w:rPr>
          <w:rFonts w:hint="eastAsia" w:ascii="仿宋_GB2312" w:hAnsi="仿宋_GB2312" w:eastAsia="仿宋_GB2312" w:cs="仿宋_GB2312"/>
          <w:color w:val="auto"/>
          <w:sz w:val="28"/>
          <w:szCs w:val="28"/>
        </w:rPr>
        <w:t>《关于规范实施政府和社会资本合作新机制的指导意见》（国办函〔2023〕115号）</w:t>
      </w:r>
      <w:r>
        <w:rPr>
          <w:rFonts w:hint="eastAsia" w:ascii="仿宋_GB2312" w:hAnsi="仿宋_GB2312" w:eastAsia="仿宋_GB2312" w:cs="仿宋_GB2312"/>
          <w:color w:val="auto"/>
          <w:sz w:val="28"/>
          <w:szCs w:val="28"/>
          <w:lang w:eastAsia="zh-CN"/>
        </w:rPr>
        <w:t>等文件提出的运营</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运</w:t>
      </w:r>
      <w:r>
        <w:rPr>
          <w:rFonts w:hint="eastAsia" w:ascii="仿宋_GB2312" w:hAnsi="仿宋_GB2312" w:eastAsia="仿宋_GB2312" w:cs="仿宋_GB2312"/>
          <w:color w:val="auto"/>
          <w:sz w:val="28"/>
          <w:szCs w:val="28"/>
          <w:lang w:val="en-US" w:eastAsia="zh-CN"/>
        </w:rPr>
        <w:t>行</w:t>
      </w:r>
      <w:r>
        <w:rPr>
          <w:rFonts w:hint="eastAsia" w:ascii="仿宋_GB2312" w:hAnsi="仿宋_GB2312" w:eastAsia="仿宋_GB2312" w:cs="仿宋_GB2312"/>
          <w:color w:val="auto"/>
          <w:sz w:val="28"/>
          <w:szCs w:val="28"/>
          <w:lang w:eastAsia="zh-CN"/>
        </w:rPr>
        <w:t>机制。</w:t>
      </w:r>
    </w:p>
    <w:p>
      <w:pPr>
        <w:keepNext w:val="0"/>
        <w:keepLines w:val="0"/>
        <w:pageBreakBefore w:val="0"/>
        <w:widowControl/>
        <w:shd w:val="clear"/>
        <w:kinsoku/>
        <w:wordWrap/>
        <w:overflowPunct/>
        <w:topLinePunct w:val="0"/>
        <w:autoSpaceDE/>
        <w:autoSpaceDN/>
        <w:bidi w:val="0"/>
        <w:spacing w:line="560" w:lineRule="exact"/>
        <w:ind w:firstLine="640" w:firstLineChars="200"/>
        <w:jc w:val="both"/>
        <w:outlineLvl w:val="9"/>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国标黑体">
    <w:panose1 w:val="02000500000000000000"/>
    <w:charset w:val="86"/>
    <w:family w:val="auto"/>
    <w:pitch w:val="default"/>
    <w:sig w:usb0="00000001" w:usb1="08000000" w:usb2="00000000" w:usb3="00000000" w:csb0="00060007" w:csb1="00000000"/>
  </w:font>
  <w:font w:name="等线">
    <w:altName w:val="仿宋_GB2312"/>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444903"/>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E9"/>
    <w:rsid w:val="00006C4C"/>
    <w:rsid w:val="0007328F"/>
    <w:rsid w:val="000C0888"/>
    <w:rsid w:val="000C0BE2"/>
    <w:rsid w:val="00144717"/>
    <w:rsid w:val="001B35CB"/>
    <w:rsid w:val="002279D3"/>
    <w:rsid w:val="002A37F9"/>
    <w:rsid w:val="002B689A"/>
    <w:rsid w:val="002C0F38"/>
    <w:rsid w:val="002C7403"/>
    <w:rsid w:val="002F47E5"/>
    <w:rsid w:val="003B02CC"/>
    <w:rsid w:val="003B3BB1"/>
    <w:rsid w:val="004401C4"/>
    <w:rsid w:val="004606E9"/>
    <w:rsid w:val="004A49C4"/>
    <w:rsid w:val="004E30D9"/>
    <w:rsid w:val="005079B9"/>
    <w:rsid w:val="00566446"/>
    <w:rsid w:val="00647173"/>
    <w:rsid w:val="006E4B2F"/>
    <w:rsid w:val="006F397E"/>
    <w:rsid w:val="006F706A"/>
    <w:rsid w:val="0070101D"/>
    <w:rsid w:val="00747B99"/>
    <w:rsid w:val="007662E0"/>
    <w:rsid w:val="007749DF"/>
    <w:rsid w:val="007C2B61"/>
    <w:rsid w:val="00804BC0"/>
    <w:rsid w:val="00841221"/>
    <w:rsid w:val="00856DDE"/>
    <w:rsid w:val="008A294E"/>
    <w:rsid w:val="009143D3"/>
    <w:rsid w:val="00970DF9"/>
    <w:rsid w:val="00A91097"/>
    <w:rsid w:val="00AA666A"/>
    <w:rsid w:val="00B468C6"/>
    <w:rsid w:val="00BA4EB4"/>
    <w:rsid w:val="00BC0C52"/>
    <w:rsid w:val="00BC3EFD"/>
    <w:rsid w:val="00BE4E7E"/>
    <w:rsid w:val="00BF2CFF"/>
    <w:rsid w:val="00C82071"/>
    <w:rsid w:val="00C946B2"/>
    <w:rsid w:val="00C950C7"/>
    <w:rsid w:val="00CC652E"/>
    <w:rsid w:val="00CE6156"/>
    <w:rsid w:val="00D10EFC"/>
    <w:rsid w:val="00D50C3A"/>
    <w:rsid w:val="00DC650E"/>
    <w:rsid w:val="00DE491B"/>
    <w:rsid w:val="00DF48D3"/>
    <w:rsid w:val="00F81BC2"/>
    <w:rsid w:val="00F86FA5"/>
    <w:rsid w:val="00FB208A"/>
    <w:rsid w:val="00FC2B63"/>
    <w:rsid w:val="03387058"/>
    <w:rsid w:val="11E14CB9"/>
    <w:rsid w:val="16802117"/>
    <w:rsid w:val="25CD3AC8"/>
    <w:rsid w:val="25DF10AE"/>
    <w:rsid w:val="33A8365A"/>
    <w:rsid w:val="360A255B"/>
    <w:rsid w:val="3FF7C1E0"/>
    <w:rsid w:val="4A4F62B5"/>
    <w:rsid w:val="4FBBDD0E"/>
    <w:rsid w:val="58595802"/>
    <w:rsid w:val="65E73F26"/>
    <w:rsid w:val="6997625B"/>
    <w:rsid w:val="6CF7FD68"/>
    <w:rsid w:val="750D1F31"/>
    <w:rsid w:val="77146DE4"/>
    <w:rsid w:val="7BFD6230"/>
    <w:rsid w:val="7F722C06"/>
    <w:rsid w:val="7FCB1A94"/>
    <w:rsid w:val="7FFB2C86"/>
    <w:rsid w:val="7FFB8ED9"/>
    <w:rsid w:val="AFDD0F7D"/>
    <w:rsid w:val="BFEF1B19"/>
    <w:rsid w:val="D39F4FC2"/>
    <w:rsid w:val="DF0F7068"/>
    <w:rsid w:val="F59B9588"/>
    <w:rsid w:val="FEEEF226"/>
    <w:rsid w:val="FFFA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9"/>
    <w:rPr>
      <w:rFonts w:asciiTheme="majorHAnsi" w:hAnsiTheme="majorHAnsi" w:eastAsiaTheme="majorEastAsia" w:cstheme="majorBidi"/>
      <w:color w:val="104862" w:themeColor="accent1" w:themeShade="BF"/>
      <w:sz w:val="48"/>
      <w:szCs w:val="48"/>
    </w:rPr>
  </w:style>
  <w:style w:type="character" w:customStyle="1" w:styleId="13">
    <w:name w:val="批注文字 字符"/>
    <w:basedOn w:val="8"/>
    <w:link w:val="3"/>
    <w:qFormat/>
    <w:uiPriority w:val="99"/>
  </w:style>
  <w:style w:type="character" w:customStyle="1" w:styleId="14">
    <w:name w:val="批注主题 字符"/>
    <w:basedOn w:val="13"/>
    <w:link w:val="6"/>
    <w:semiHidden/>
    <w:qFormat/>
    <w:uiPriority w:val="99"/>
    <w:rPr>
      <w:b/>
      <w:bCs/>
    </w:rPr>
  </w:style>
  <w:style w:type="character" w:customStyle="1" w:styleId="15">
    <w:name w:val="font31"/>
    <w:basedOn w:val="8"/>
    <w:qFormat/>
    <w:uiPriority w:val="0"/>
    <w:rPr>
      <w:rFonts w:hint="eastAsia" w:ascii="微软雅黑" w:hAnsi="微软雅黑" w:eastAsia="微软雅黑" w:cs="微软雅黑"/>
      <w:b/>
      <w:bCs/>
      <w:color w:val="000000"/>
      <w:sz w:val="22"/>
      <w:szCs w:val="22"/>
      <w:u w:val="none"/>
      <w:vertAlign w:val="superscript"/>
    </w:rPr>
  </w:style>
  <w:style w:type="character" w:customStyle="1" w:styleId="16">
    <w:name w:val="font11"/>
    <w:basedOn w:val="8"/>
    <w:qFormat/>
    <w:uiPriority w:val="0"/>
    <w:rPr>
      <w:rFonts w:hint="eastAsia" w:ascii="微软雅黑" w:hAnsi="微软雅黑" w:eastAsia="微软雅黑" w:cs="微软雅黑"/>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1005</Words>
  <Characters>1144</Characters>
  <Lines>8</Lines>
  <Paragraphs>2</Paragraphs>
  <TotalTime>0</TotalTime>
  <ScaleCrop>false</ScaleCrop>
  <LinksUpToDate>false</LinksUpToDate>
  <CharactersWithSpaces>1144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2024-12-11T03:36:00Z</dcterms:created>
  <dc:creator>Biascircle Gong</dc:creator>
  <cp:lastModifiedBy>bda</cp:lastModifiedBy>
  <cp:lastPrinted>2025-02-08T16:36:00Z</cp:lastPrinted>
  <dcterms:modified xsi:type="dcterms:W3CDTF">2025-02-07T09:20:16Z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7C38018B719B26A1A974A46753B21003</vt:lpwstr>
  </property>
  <property fmtid="{D5CDD505-2E9C-101B-9397-08002B2CF9AE}" pid="4" name="KSOTemplateDocerSaveRecord">
    <vt:lpwstr>eyJoZGlkIjoiZTAzZWQ1MTgxNDk5NzZlNzM1Njg1ZWM3ZWE5ZDEyN2EiLCJ1c2VySWQiOiIzOTgyNDUwNDYifQ==</vt:lpwstr>
  </property>
</Properties>
</file>