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11A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黑体" w:eastAsia="黑体"/>
          <w:sz w:val="32"/>
          <w:szCs w:val="32"/>
        </w:rPr>
        <w:t>附件1</w:t>
      </w:r>
    </w:p>
    <w:p w14:paraId="443FF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5C3404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关于划定禁止使用高排放非道路移动机械</w:t>
      </w:r>
    </w:p>
    <w:p w14:paraId="2A0AC4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区域的通告（征求意见稿）</w:t>
      </w:r>
    </w:p>
    <w:p w14:paraId="4193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仿宋" w:cs="Times New Roman"/>
          <w:kern w:val="0"/>
          <w:sz w:val="28"/>
          <w:szCs w:val="28"/>
          <w:lang w:eastAsia="zh-CN"/>
        </w:rPr>
      </w:pPr>
    </w:p>
    <w:p w14:paraId="64DBD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打好污染防治攻坚战，持续改善本市环境空气质量，进一步减少非道路移动机械污染物排放，依据《中华人民共和国大气污染防治法》和《北京市大气污染防治条例》有关规定，市政府决定调整本市高排放非道路移动机械的禁止使用区域。现将有关事项通告如下：</w:t>
      </w:r>
    </w:p>
    <w:p w14:paraId="30B08308">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黑体" w:hAnsi="黑体" w:eastAsia="黑体" w:cs="黑体"/>
          <w:kern w:val="0"/>
          <w:sz w:val="32"/>
          <w:szCs w:val="32"/>
        </w:rPr>
      </w:pPr>
      <w:r>
        <w:rPr>
          <w:rFonts w:hint="eastAsia" w:ascii="黑体" w:hAnsi="黑体" w:eastAsia="黑体" w:cs="黑体"/>
          <w:kern w:val="0"/>
          <w:sz w:val="32"/>
          <w:szCs w:val="32"/>
        </w:rPr>
        <w:t>一、高排放非道路移动机械</w:t>
      </w:r>
    </w:p>
    <w:p w14:paraId="3EAE6C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（一）本通告</w:t>
      </w:r>
      <w:r>
        <w:rPr>
          <w:rFonts w:hint="eastAsia" w:ascii="仿宋_GB2312" w:hAnsi="仿宋_GB2312" w:eastAsia="仿宋_GB2312" w:cs="仿宋_GB2312"/>
          <w:kern w:val="0"/>
          <w:sz w:val="32"/>
          <w:szCs w:val="32"/>
          <w:lang w:eastAsia="zh-CN"/>
        </w:rPr>
        <w:t>所称</w:t>
      </w:r>
      <w:r>
        <w:rPr>
          <w:rFonts w:hint="eastAsia" w:ascii="仿宋_GB2312" w:hAnsi="仿宋_GB2312" w:eastAsia="仿宋_GB2312" w:cs="仿宋_GB2312"/>
          <w:kern w:val="0"/>
          <w:sz w:val="32"/>
          <w:szCs w:val="32"/>
        </w:rPr>
        <w:t>非道路移动机械种类包括装配有柴油机的挖掘机、装载机、挖掘装载机、叉车、推土机、压路机、平地机</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类机械。</w:t>
      </w:r>
    </w:p>
    <w:p w14:paraId="65360C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（二）有下列情形之一的属于高排放</w:t>
      </w:r>
      <w:r>
        <w:rPr>
          <w:rFonts w:hint="eastAsia" w:ascii="仿宋_GB2312" w:hAnsi="仿宋_GB2312" w:eastAsia="仿宋_GB2312" w:cs="仿宋_GB2312"/>
          <w:kern w:val="0"/>
          <w:sz w:val="32"/>
          <w:szCs w:val="32"/>
          <w:lang w:eastAsia="zh-CN"/>
        </w:rPr>
        <w:t>机械</w:t>
      </w:r>
      <w:r>
        <w:rPr>
          <w:rFonts w:hint="eastAsia" w:ascii="仿宋_GB2312" w:hAnsi="仿宋_GB2312" w:eastAsia="仿宋_GB2312" w:cs="仿宋_GB2312"/>
          <w:kern w:val="0"/>
          <w:sz w:val="32"/>
          <w:szCs w:val="32"/>
        </w:rPr>
        <w:t>：</w:t>
      </w:r>
    </w:p>
    <w:p w14:paraId="4B87F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《非道路移动机械用柴油机排气污染物排放限值及测量方法（中国I、</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阶段）》（GB 20891-2007）中国I及以下排放标准（2009年10月1日前生产）</w:t>
      </w:r>
      <w:r>
        <w:rPr>
          <w:rFonts w:hint="eastAsia" w:ascii="仿宋_GB2312" w:hAnsi="仿宋_GB2312" w:eastAsia="仿宋_GB2312" w:cs="仿宋_GB2312"/>
          <w:kern w:val="0"/>
          <w:sz w:val="32"/>
          <w:szCs w:val="32"/>
          <w:lang w:eastAsia="zh-CN"/>
        </w:rPr>
        <w:t>（以下简称“</w:t>
      </w:r>
      <w:r>
        <w:rPr>
          <w:rFonts w:hint="eastAsia" w:ascii="仿宋_GB2312" w:hAnsi="仿宋_GB2312" w:eastAsia="仿宋_GB2312" w:cs="仿宋_GB2312"/>
          <w:kern w:val="0"/>
          <w:sz w:val="32"/>
          <w:szCs w:val="32"/>
        </w:rPr>
        <w:t>国I及以下标准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的机械；</w:t>
      </w:r>
    </w:p>
    <w:p w14:paraId="43A35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《非道路移动机械用柴油机排气污染物排放限值及测量方法（中国I、</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阶段）》（GB 20891-2007）中国</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及以下排放标准（2016年4月1日前生产）</w:t>
      </w:r>
      <w:r>
        <w:rPr>
          <w:rFonts w:hint="eastAsia" w:ascii="仿宋_GB2312" w:hAnsi="仿宋_GB2312" w:eastAsia="仿宋_GB2312" w:cs="仿宋_GB2312"/>
          <w:kern w:val="0"/>
          <w:sz w:val="32"/>
          <w:szCs w:val="32"/>
          <w:lang w:eastAsia="zh-CN"/>
        </w:rPr>
        <w:t>（以下简称“</w:t>
      </w:r>
      <w:r>
        <w:rPr>
          <w:rFonts w:hint="eastAsia" w:ascii="仿宋_GB2312" w:hAnsi="仿宋_GB2312" w:eastAsia="仿宋_GB2312" w:cs="仿宋_GB2312"/>
          <w:kern w:val="0"/>
          <w:sz w:val="32"/>
          <w:szCs w:val="32"/>
        </w:rPr>
        <w:t>国</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及以下标准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的机械；</w:t>
      </w:r>
    </w:p>
    <w:p w14:paraId="65D32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经</w:t>
      </w:r>
      <w:r>
        <w:rPr>
          <w:rFonts w:ascii="仿宋_GB2312" w:hAnsi="仿宋_GB2312" w:eastAsia="仿宋_GB2312" w:cs="仿宋_GB2312"/>
          <w:kern w:val="0"/>
          <w:sz w:val="32"/>
          <w:szCs w:val="32"/>
        </w:rPr>
        <w:t>检验，</w:t>
      </w:r>
      <w:r>
        <w:rPr>
          <w:rFonts w:hint="eastAsia" w:ascii="仿宋_GB2312" w:hAnsi="仿宋_GB2312" w:eastAsia="仿宋_GB2312" w:cs="仿宋_GB2312"/>
          <w:kern w:val="0"/>
          <w:sz w:val="32"/>
          <w:szCs w:val="32"/>
        </w:rPr>
        <w:t>污染物</w:t>
      </w:r>
      <w:r>
        <w:rPr>
          <w:rFonts w:ascii="仿宋_GB2312" w:hAnsi="仿宋_GB2312" w:eastAsia="仿宋_GB2312" w:cs="仿宋_GB2312"/>
          <w:kern w:val="0"/>
          <w:sz w:val="32"/>
          <w:szCs w:val="32"/>
        </w:rPr>
        <w:t>排放超过</w:t>
      </w:r>
      <w:r>
        <w:rPr>
          <w:rFonts w:hint="eastAsia" w:ascii="仿宋_GB2312" w:hAnsi="仿宋_GB2312" w:eastAsia="仿宋_GB2312" w:cs="仿宋_GB2312"/>
          <w:kern w:val="0"/>
          <w:sz w:val="32"/>
          <w:szCs w:val="32"/>
        </w:rPr>
        <w:t>《非道路柴油移动机械排气烟度限值及测量方法》（GB 36886-2018）中Ⅲ类限值</w:t>
      </w:r>
      <w:r>
        <w:rPr>
          <w:rFonts w:hint="eastAsia" w:ascii="仿宋_GB2312" w:hAnsi="仿宋_GB2312" w:eastAsia="仿宋_GB2312" w:cs="仿宋_GB2312"/>
          <w:kern w:val="0"/>
          <w:sz w:val="32"/>
          <w:szCs w:val="32"/>
          <w:lang w:eastAsia="zh-CN"/>
        </w:rPr>
        <w:t>（以下简称“</w:t>
      </w:r>
      <w:r>
        <w:rPr>
          <w:rFonts w:ascii="仿宋_GB2312" w:hAnsi="仿宋_GB2312" w:eastAsia="仿宋_GB2312" w:cs="仿宋_GB2312"/>
          <w:kern w:val="0"/>
          <w:sz w:val="32"/>
          <w:szCs w:val="32"/>
        </w:rPr>
        <w:t>超过</w:t>
      </w:r>
      <w:r>
        <w:rPr>
          <w:rFonts w:hint="eastAsia" w:ascii="仿宋_GB2312" w:hAnsi="仿宋_GB2312" w:eastAsia="仿宋_GB2312" w:cs="仿宋_GB2312"/>
          <w:kern w:val="0"/>
          <w:sz w:val="32"/>
          <w:szCs w:val="32"/>
        </w:rPr>
        <w:t>Ⅲ类限值</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w:t>
      </w:r>
      <w:r>
        <w:rPr>
          <w:rFonts w:ascii="仿宋_GB2312" w:hAnsi="仿宋_GB2312" w:eastAsia="仿宋_GB2312" w:cs="仿宋_GB2312"/>
          <w:kern w:val="0"/>
          <w:sz w:val="32"/>
          <w:szCs w:val="32"/>
        </w:rPr>
        <w:t>机械</w:t>
      </w:r>
      <w:r>
        <w:rPr>
          <w:rFonts w:hint="eastAsia" w:ascii="仿宋_GB2312" w:hAnsi="仿宋_GB2312" w:eastAsia="仿宋_GB2312" w:cs="仿宋_GB2312"/>
          <w:kern w:val="0"/>
          <w:sz w:val="32"/>
          <w:szCs w:val="32"/>
          <w:lang w:eastAsia="zh-CN"/>
        </w:rPr>
        <w:t>。</w:t>
      </w:r>
    </w:p>
    <w:p w14:paraId="109A6966">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黑体" w:hAnsi="黑体" w:eastAsia="黑体" w:cs="黑体"/>
          <w:kern w:val="0"/>
          <w:sz w:val="32"/>
          <w:szCs w:val="32"/>
        </w:rPr>
      </w:pPr>
      <w:r>
        <w:rPr>
          <w:rFonts w:hint="eastAsia" w:ascii="黑体" w:hAnsi="黑体" w:eastAsia="黑体" w:cs="黑体"/>
          <w:kern w:val="0"/>
          <w:sz w:val="32"/>
          <w:szCs w:val="32"/>
        </w:rPr>
        <w:t>二</w:t>
      </w:r>
      <w:r>
        <w:rPr>
          <w:rFonts w:ascii="黑体" w:hAnsi="黑体" w:eastAsia="黑体" w:cs="黑体"/>
          <w:kern w:val="0"/>
          <w:sz w:val="32"/>
          <w:szCs w:val="32"/>
        </w:rPr>
        <w:t>、</w:t>
      </w:r>
      <w:r>
        <w:rPr>
          <w:rFonts w:hint="eastAsia" w:ascii="黑体" w:hAnsi="黑体" w:eastAsia="黑体" w:cs="黑体"/>
          <w:kern w:val="0"/>
          <w:sz w:val="32"/>
          <w:szCs w:val="32"/>
        </w:rPr>
        <w:t>实施时间和区域</w:t>
      </w:r>
    </w:p>
    <w:p w14:paraId="15E245E8">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ascii="仿宋_GB2312" w:hAnsi="仿宋_GB2312" w:eastAsia="仿宋_GB2312" w:cs="仿宋_GB2312"/>
          <w:kern w:val="0"/>
          <w:sz w:val="32"/>
          <w:szCs w:val="32"/>
        </w:rPr>
        <w:t>通告分</w:t>
      </w:r>
      <w:r>
        <w:rPr>
          <w:rFonts w:hint="eastAsia" w:ascii="仿宋_GB2312" w:hAnsi="仿宋_GB2312" w:eastAsia="仿宋_GB2312" w:cs="仿宋_GB2312"/>
          <w:kern w:val="0"/>
          <w:sz w:val="32"/>
          <w:szCs w:val="32"/>
        </w:rPr>
        <w:t>三个</w:t>
      </w:r>
      <w:r>
        <w:rPr>
          <w:rFonts w:ascii="仿宋_GB2312" w:hAnsi="仿宋_GB2312" w:eastAsia="仿宋_GB2312" w:cs="仿宋_GB2312"/>
          <w:kern w:val="0"/>
          <w:sz w:val="32"/>
          <w:szCs w:val="32"/>
        </w:rPr>
        <w:t>阶段实施</w:t>
      </w:r>
      <w:r>
        <w:rPr>
          <w:rFonts w:hint="eastAsia" w:ascii="仿宋_GB2312" w:hAnsi="仿宋_GB2312" w:eastAsia="仿宋_GB2312" w:cs="仿宋_GB2312"/>
          <w:kern w:val="0"/>
          <w:sz w:val="32"/>
          <w:szCs w:val="32"/>
        </w:rPr>
        <w:t>：</w:t>
      </w:r>
    </w:p>
    <w:p w14:paraId="5344AFB4">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第一阶段</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自2025年12月1日起，本市所有区域禁止使用国I及以下标准或</w:t>
      </w:r>
      <w:r>
        <w:rPr>
          <w:rFonts w:ascii="仿宋_GB2312" w:hAnsi="仿宋_GB2312" w:eastAsia="仿宋_GB2312" w:cs="仿宋_GB2312"/>
          <w:kern w:val="0"/>
          <w:sz w:val="32"/>
          <w:szCs w:val="32"/>
        </w:rPr>
        <w:t>超过</w:t>
      </w:r>
      <w:r>
        <w:rPr>
          <w:rFonts w:hint="eastAsia" w:ascii="仿宋_GB2312" w:hAnsi="仿宋_GB2312" w:eastAsia="仿宋_GB2312" w:cs="仿宋_GB2312"/>
          <w:kern w:val="0"/>
          <w:sz w:val="32"/>
          <w:szCs w:val="32"/>
        </w:rPr>
        <w:t>Ⅲ类限值的机械。</w:t>
      </w:r>
    </w:p>
    <w:p w14:paraId="306C5717">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w:t>
      </w:r>
      <w:r>
        <w:rPr>
          <w:rFonts w:ascii="仿宋_GB2312" w:hAnsi="仿宋_GB2312" w:eastAsia="仿宋_GB2312" w:cs="仿宋_GB2312"/>
          <w:b/>
          <w:kern w:val="0"/>
          <w:sz w:val="32"/>
          <w:szCs w:val="32"/>
        </w:rPr>
        <w:t>阶段</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自2026年7月1日起，本市东城区、西城区、</w:t>
      </w:r>
      <w:r>
        <w:rPr>
          <w:rFonts w:hint="eastAsia" w:ascii="仿宋_GB2312" w:hAnsi="仿宋_GB2312" w:eastAsia="仿宋_GB2312" w:cs="仿宋_GB2312"/>
          <w:kern w:val="0"/>
          <w:sz w:val="32"/>
          <w:szCs w:val="32"/>
          <w:lang w:eastAsia="zh-CN"/>
        </w:rPr>
        <w:t>朝阳区、</w:t>
      </w:r>
      <w:r>
        <w:rPr>
          <w:rFonts w:hint="eastAsia" w:ascii="仿宋_GB2312" w:hAnsi="仿宋_GB2312" w:eastAsia="仿宋_GB2312" w:cs="仿宋_GB2312"/>
          <w:kern w:val="0"/>
          <w:sz w:val="32"/>
          <w:szCs w:val="32"/>
        </w:rPr>
        <w:t>海淀区、丰台区</w:t>
      </w:r>
      <w:r>
        <w:rPr>
          <w:rFonts w:hint="eastAsia" w:ascii="仿宋_GB2312" w:hAnsi="仿宋_GB2312" w:eastAsia="仿宋_GB2312" w:cs="仿宋_GB2312"/>
          <w:kern w:val="0"/>
          <w:sz w:val="32"/>
          <w:szCs w:val="32"/>
          <w:lang w:eastAsia="zh-CN"/>
        </w:rPr>
        <w:t>、石景山区</w:t>
      </w:r>
      <w:r>
        <w:rPr>
          <w:rFonts w:hint="eastAsia" w:ascii="仿宋_GB2312" w:hAnsi="仿宋_GB2312" w:eastAsia="仿宋_GB2312" w:cs="仿宋_GB2312"/>
          <w:kern w:val="0"/>
          <w:sz w:val="32"/>
          <w:szCs w:val="32"/>
        </w:rPr>
        <w:t>和通州区内禁止使用国</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及以下标准的机械。</w:t>
      </w:r>
    </w:p>
    <w:p w14:paraId="2DCE6058">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第三阶段</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自2026年12月1日起，本市所有区域禁止使用国</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及以下标准的机械。</w:t>
      </w:r>
    </w:p>
    <w:p w14:paraId="6FAC8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三、管理要求</w:t>
      </w:r>
    </w:p>
    <w:p w14:paraId="3949C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鼓励使用电动或氢燃料电池非道路移动机械。执行应急抢险</w:t>
      </w:r>
      <w:r>
        <w:rPr>
          <w:rFonts w:hint="eastAsia" w:ascii="仿宋_GB2312" w:hAnsi="仿宋_GB2312" w:eastAsia="仿宋_GB2312" w:cs="仿宋_GB2312"/>
          <w:kern w:val="0"/>
          <w:sz w:val="32"/>
          <w:szCs w:val="32"/>
          <w:lang w:eastAsia="zh-CN"/>
        </w:rPr>
        <w:t>救灾</w:t>
      </w:r>
      <w:r>
        <w:rPr>
          <w:rFonts w:hint="eastAsia" w:ascii="仿宋_GB2312" w:hAnsi="仿宋_GB2312" w:eastAsia="仿宋_GB2312" w:cs="仿宋_GB2312"/>
          <w:kern w:val="0"/>
          <w:sz w:val="32"/>
          <w:szCs w:val="32"/>
        </w:rPr>
        <w:t>任务时使用的非道路移动机械不受禁用限制。对违反本通告规定的，由相关部门依法予以处理。</w:t>
      </w:r>
    </w:p>
    <w:p w14:paraId="502F886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自2025年12月1日起，《北京市人民政府关于划定禁止使用高排放非道路移动机械区域的通告》（京政发</w:t>
      </w:r>
      <w:r>
        <w:rPr>
          <w:rFonts w:hint="eastAsia" w:ascii="方正隶书_GBK" w:hAnsi="方正隶书_GBK" w:eastAsia="方正隶书_GBK" w:cs="方正隶书_GBK"/>
          <w:kern w:val="0"/>
          <w:sz w:val="32"/>
          <w:szCs w:val="32"/>
        </w:rPr>
        <w:t>〔</w:t>
      </w:r>
      <w:r>
        <w:rPr>
          <w:rFonts w:hint="eastAsia" w:ascii="仿宋_GB2312" w:hAnsi="仿宋_GB2312" w:eastAsia="仿宋_GB2312" w:cs="仿宋_GB2312"/>
          <w:kern w:val="0"/>
          <w:sz w:val="32"/>
          <w:szCs w:val="32"/>
        </w:rPr>
        <w:t>2021</w:t>
      </w:r>
      <w:r>
        <w:rPr>
          <w:rFonts w:hint="eastAsia" w:ascii="方正隶书_GBK" w:hAnsi="方正隶书_GBK" w:eastAsia="方正隶书_GBK" w:cs="方正隶书_GBK"/>
          <w:kern w:val="0"/>
          <w:sz w:val="32"/>
          <w:szCs w:val="32"/>
        </w:rPr>
        <w:t>〕</w:t>
      </w:r>
      <w:r>
        <w:rPr>
          <w:rFonts w:hint="eastAsia" w:ascii="仿宋_GB2312" w:hAnsi="仿宋_GB2312" w:eastAsia="仿宋_GB2312" w:cs="仿宋_GB2312"/>
          <w:kern w:val="0"/>
          <w:sz w:val="32"/>
          <w:szCs w:val="32"/>
        </w:rPr>
        <w:t>16号）废止。</w:t>
      </w:r>
    </w:p>
    <w:p w14:paraId="6757D09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隶书_GBK">
    <w:altName w:val="隶书"/>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386419A5"/>
    <w:rsid w:val="3864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2024-12-25T03:41:00Z</dcterms:created>
  <dc:creator>孙彤</dc:creator>
  <cp:lastModifiedBy>孙彤</cp:lastModifiedBy>
  <dcterms:modified xsi:type="dcterms:W3CDTF">2024-12-25T03:42:19Z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2E1AB6E3FA294AD590EB93D88784BB0A_11</vt:lpwstr>
  </property>
</Properties>
</file>