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6900B">
      <w:pPr>
        <w:pStyle w:val="11"/>
        <w:widowControl/>
        <w:spacing w:beforeAutospacing="0" w:afterAutospacing="0" w:line="560" w:lineRule="exact"/>
        <w:textAlignment w:val="baseline"/>
        <w:rPr>
          <w:rFonts w:ascii="仿宋_GB2312" w:hAnsi="Cambria" w:eastAsia="仿宋_GB2312"/>
          <w:bCs/>
          <w:color w:val="000000" w:themeColor="text1"/>
          <w:kern w:val="2"/>
          <w:sz w:val="32"/>
          <w:szCs w:val="36"/>
          <w14:textFill>
            <w14:solidFill>
              <w14:schemeClr w14:val="tx1"/>
            </w14:solidFill>
          </w14:textFill>
        </w:rPr>
      </w:pPr>
      <w:bookmarkStart w:id="0" w:name="_Hlk90225986"/>
      <w:r>
        <w:rPr>
          <w:rFonts w:hint="eastAsia" w:ascii="仿宋_GB2312" w:hAnsi="Cambria" w:eastAsia="仿宋_GB2312"/>
          <w:bCs/>
          <w:color w:val="000000" w:themeColor="text1"/>
          <w:kern w:val="2"/>
          <w:sz w:val="32"/>
          <w:szCs w:val="36"/>
          <w14:textFill>
            <w14:solidFill>
              <w14:schemeClr w14:val="tx1"/>
            </w14:solidFill>
          </w14:textFill>
        </w:rPr>
        <w:t>附件2：</w:t>
      </w:r>
    </w:p>
    <w:p w14:paraId="7B26BE37">
      <w:pPr>
        <w:jc w:val="center"/>
        <w:rPr>
          <w:rFonts w:ascii="方正小标宋简体" w:eastAsia="方正小标宋简体"/>
          <w:color w:val="000000" w:themeColor="text1"/>
          <w:sz w:val="44"/>
          <w:szCs w:val="44"/>
          <w14:textFill>
            <w14:solidFill>
              <w14:schemeClr w14:val="tx1"/>
            </w14:solidFill>
          </w14:textFill>
        </w:rPr>
      </w:pPr>
    </w:p>
    <w:bookmarkEnd w:id="0"/>
    <w:p w14:paraId="27E523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olor w:val="000000" w:themeColor="text1"/>
          <w:sz w:val="44"/>
          <w:szCs w:val="44"/>
          <w14:textFill>
            <w14:solidFill>
              <w14:schemeClr w14:val="tx1"/>
            </w14:solidFill>
          </w14:textFill>
        </w:rPr>
        <w:t>北京经济技术开发区关于加快推动产业金融高质量发展的若干措施（试行）</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（征求意见稿）</w:t>
      </w:r>
      <w:r>
        <w:rPr>
          <w:rFonts w:hint="eastAsia" w:ascii="方正小标宋简体" w:hAnsi="方正小标宋简体" w:eastAsia="方正小标宋简体"/>
          <w:color w:val="000000" w:themeColor="text1"/>
          <w:sz w:val="44"/>
          <w:szCs w:val="44"/>
          <w14:textFill>
            <w14:solidFill>
              <w14:schemeClr w14:val="tx1"/>
            </w14:solidFill>
          </w14:textFill>
        </w:rPr>
        <w:t>》的起草说明</w:t>
      </w:r>
    </w:p>
    <w:p w14:paraId="0C078A32">
      <w:pPr>
        <w:jc w:val="center"/>
        <w:rPr>
          <w:rFonts w:ascii="方正小标宋简体" w:eastAsia="方正小标宋简体"/>
          <w:color w:val="000000" w:themeColor="text1"/>
          <w:sz w:val="40"/>
          <w:szCs w:val="44"/>
          <w14:textFill>
            <w14:solidFill>
              <w14:schemeClr w14:val="tx1"/>
            </w14:solidFill>
          </w14:textFill>
        </w:rPr>
      </w:pPr>
    </w:p>
    <w:p w14:paraId="0522856A">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一、制定目的</w:t>
      </w:r>
    </w:p>
    <w:p w14:paraId="2BAC8167">
      <w:pPr>
        <w:ind w:firstLine="640" w:firstLineChars="200"/>
        <w:rPr>
          <w:rFonts w:ascii="仿宋_GB2312" w:hAnsi="??" w:eastAsia="仿宋_GB2312" w:cs="宋体"/>
          <w:bCs/>
          <w:color w:val="000000" w:themeColor="text1"/>
          <w:kern w:val="0"/>
          <w:sz w:val="32"/>
          <w:szCs w:val="32"/>
          <w14:textFill>
            <w14:solidFill>
              <w14:schemeClr w14:val="tx1"/>
            </w14:solidFill>
          </w14:textFill>
        </w:rPr>
      </w:pPr>
      <w:r>
        <w:rPr>
          <w:rFonts w:hint="eastAsia" w:ascii="仿宋_GB2312" w:hAnsi="等线" w:eastAsia="仿宋_GB2312"/>
          <w:color w:val="000000" w:themeColor="text1"/>
          <w:sz w:val="32"/>
          <w:szCs w:val="36"/>
          <w14:textFill>
            <w14:solidFill>
              <w14:schemeClr w14:val="tx1"/>
            </w14:solidFill>
          </w14:textFill>
        </w:rPr>
        <w:t>为深入</w:t>
      </w:r>
      <w:r>
        <w:rPr>
          <w:rFonts w:hint="eastAsia" w:ascii="仿宋_GB2312" w:hAnsi="等线" w:eastAsia="仿宋_GB2312"/>
          <w:color w:val="000000" w:themeColor="text1"/>
          <w:sz w:val="32"/>
          <w:szCs w:val="36"/>
          <w:lang w:val="en-US" w:eastAsia="zh-CN"/>
          <w14:textFill>
            <w14:solidFill>
              <w14:schemeClr w14:val="tx1"/>
            </w14:solidFill>
          </w14:textFill>
        </w:rPr>
        <w:t>学习</w:t>
      </w:r>
      <w:bookmarkStart w:id="3" w:name="_GoBack"/>
      <w:bookmarkEnd w:id="3"/>
      <w:r>
        <w:rPr>
          <w:rFonts w:hint="eastAsia" w:ascii="仿宋_GB2312" w:hAnsi="等线" w:eastAsia="仿宋_GB2312"/>
          <w:color w:val="000000" w:themeColor="text1"/>
          <w:sz w:val="32"/>
          <w:szCs w:val="36"/>
          <w14:textFill>
            <w14:solidFill>
              <w14:schemeClr w14:val="tx1"/>
            </w14:solidFill>
          </w14:textFill>
        </w:rPr>
        <w:t>贯彻</w:t>
      </w:r>
      <w:r>
        <w:rPr>
          <w:rFonts w:hint="eastAsia" w:ascii="仿宋_GB2312" w:hAnsi="仿宋_GB2312" w:eastAsia="仿宋_GB2312"/>
          <w:color w:val="000000" w:themeColor="text1"/>
          <w:sz w:val="32"/>
          <w:szCs w:val="32"/>
          <w14:textFill>
            <w14:solidFill>
              <w14:schemeClr w14:val="tx1"/>
            </w14:solidFill>
          </w14:textFill>
        </w:rPr>
        <w:t>党的二十届三中全会和</w:t>
      </w:r>
      <w:r>
        <w:rPr>
          <w:rFonts w:hint="eastAsia" w:ascii="仿宋_GB2312" w:hAnsi="等线" w:eastAsia="仿宋_GB2312"/>
          <w:color w:val="000000" w:themeColor="text1"/>
          <w:sz w:val="32"/>
          <w:szCs w:val="36"/>
          <w14:textFill>
            <w14:solidFill>
              <w14:schemeClr w14:val="tx1"/>
            </w14:solidFill>
          </w14:textFill>
        </w:rPr>
        <w:t>中央金融工作会议精神，进一步强化北京经济技术开发区（以下简称“经开区”）“三城一区主平台”和“四区一阵地”的发展定位，优化金融资源配置，激发金融主体活力，强化产业金融根基，增强金融服务新质生产力效能，加快建设产业金融创新发展区，结合经开区实际</w:t>
      </w:r>
      <w:r>
        <w:rPr>
          <w:rFonts w:ascii="仿宋_GB2312" w:hAnsi="??" w:eastAsia="仿宋_GB2312" w:cs="宋体"/>
          <w:bCs/>
          <w:color w:val="000000" w:themeColor="text1"/>
          <w:kern w:val="0"/>
          <w:sz w:val="32"/>
          <w:szCs w:val="32"/>
          <w14:textFill>
            <w14:solidFill>
              <w14:schemeClr w14:val="tx1"/>
            </w14:solidFill>
          </w14:textFill>
        </w:rPr>
        <w:t>制定</w:t>
      </w:r>
      <w:r>
        <w:rPr>
          <w:rFonts w:hint="eastAsia" w:ascii="仿宋_GB2312" w:hAnsi="??" w:eastAsia="仿宋_GB2312" w:cs="宋体"/>
          <w:bCs/>
          <w:color w:val="000000" w:themeColor="text1"/>
          <w:kern w:val="0"/>
          <w:sz w:val="32"/>
          <w:szCs w:val="32"/>
          <w14:textFill>
            <w14:solidFill>
              <w14:schemeClr w14:val="tx1"/>
            </w14:solidFill>
          </w14:textFill>
        </w:rPr>
        <w:t>本</w:t>
      </w:r>
      <w:r>
        <w:rPr>
          <w:rFonts w:ascii="仿宋_GB2312" w:hAnsi="??" w:eastAsia="仿宋_GB2312" w:cs="宋体"/>
          <w:bCs/>
          <w:color w:val="000000" w:themeColor="text1"/>
          <w:kern w:val="0"/>
          <w:sz w:val="32"/>
          <w:szCs w:val="32"/>
          <w14:textFill>
            <w14:solidFill>
              <w14:schemeClr w14:val="tx1"/>
            </w14:solidFill>
          </w14:textFill>
        </w:rPr>
        <w:t>措施。</w:t>
      </w:r>
    </w:p>
    <w:p w14:paraId="59FE2BEF">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二、制定依据</w:t>
      </w:r>
    </w:p>
    <w:p w14:paraId="08458F1C">
      <w:pPr>
        <w:spacing w:line="600" w:lineRule="exact"/>
        <w:ind w:firstLine="640" w:firstLineChars="200"/>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2022年3月，经开区印发《北京经济技术开发区关于加快产业金融高质量发展的若干措施（试行）》（京技管〔2022〕23号，简称“原产业金融12条”）。</w:t>
      </w:r>
      <w:r>
        <w:rPr>
          <w:rFonts w:hint="eastAsia" w:ascii="仿宋_GB2312" w:hAnsi="仿宋_GB2312" w:eastAsia="仿宋_GB2312"/>
          <w:color w:val="000000" w:themeColor="text1"/>
          <w:sz w:val="32"/>
          <w:szCs w:val="40"/>
          <w14:textFill>
            <w14:solidFill>
              <w14:schemeClr w14:val="tx1"/>
            </w14:solidFill>
          </w14:textFill>
        </w:rPr>
        <w:t>金融服务实体经济能力不断增强，金融发展环境不断优化。但</w:t>
      </w:r>
      <w:r>
        <w:rPr>
          <w:rFonts w:hint="eastAsia" w:ascii="仿宋_GB2312" w:hAnsi="仿宋_GB2312" w:eastAsia="仿宋_GB2312" w:cs="仿宋_GB2312"/>
          <w:color w:val="000000" w:themeColor="text1"/>
          <w:sz w:val="32"/>
          <w:szCs w:val="32"/>
          <w14:textFill>
            <w14:solidFill>
              <w14:schemeClr w14:val="tx1"/>
            </w14:solidFill>
          </w14:textFill>
        </w:rPr>
        <w:t>“原产业金融12条”存在部分条款门槛高、覆盖面窄等问题。此外，</w:t>
      </w:r>
      <w:r>
        <w:rPr>
          <w:rFonts w:hint="eastAsia" w:ascii="仿宋_GB2312" w:hAnsi="仿宋" w:eastAsia="仿宋_GB2312"/>
          <w:color w:val="000000" w:themeColor="text1"/>
          <w:sz w:val="32"/>
          <w:szCs w:val="32"/>
          <w14:textFill>
            <w14:solidFill>
              <w14:schemeClr w14:val="tx1"/>
            </w14:solidFill>
          </w14:textFill>
        </w:rPr>
        <w:t>因部分条款违反公平竞争审查要求，为落实整改</w:t>
      </w:r>
      <w:r>
        <w:rPr>
          <w:rFonts w:hint="eastAsia" w:ascii="仿宋_GB2312" w:hAnsi="仿宋_GB2312" w:eastAsia="仿宋_GB2312" w:cs="仿宋_GB2312"/>
          <w:color w:val="000000" w:themeColor="text1"/>
          <w:sz w:val="32"/>
          <w:szCs w:val="32"/>
          <w14:textFill>
            <w14:solidFill>
              <w14:schemeClr w14:val="tx1"/>
            </w14:solidFill>
          </w14:textFill>
        </w:rPr>
        <w:t>，“原产业金融12条”已废止。本措施旨在加速推进经开区金融倍增计划，结合原有的贴息政策，以及国家和北京最新对普惠金融高质量发展、科技创新和新质生产力、“五篇大文章”等要求，制定本措施，以推动经开区金融高质量发展。</w:t>
      </w:r>
      <w:r>
        <w:rPr>
          <w:rFonts w:hint="eastAsia"/>
          <w:color w:val="000000" w:themeColor="text1"/>
          <w14:textFill>
            <w14:solidFill>
              <w14:schemeClr w14:val="tx1"/>
            </w14:solidFill>
          </w14:textFill>
        </w:rPr>
        <w:t xml:space="preserve"> </w:t>
      </w:r>
    </w:p>
    <w:p w14:paraId="1F5B31B6">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三、起草过程</w:t>
      </w:r>
    </w:p>
    <w:p w14:paraId="3E4AE04D">
      <w:pPr>
        <w:ind w:firstLine="640" w:firstLineChars="200"/>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本措施制定历时2个月，组织开展多场访谈调研，主要工作包括：</w:t>
      </w:r>
      <w:r>
        <w:rPr>
          <w:rFonts w:hint="eastAsia" w:ascii="仿宋_GB2312" w:hAnsi="仿宋_GB2312" w:eastAsia="仿宋_GB2312"/>
          <w:b/>
          <w:bCs/>
          <w:color w:val="000000" w:themeColor="text1"/>
          <w:sz w:val="32"/>
          <w:szCs w:val="40"/>
          <w14:textFill>
            <w14:solidFill>
              <w14:schemeClr w14:val="tx1"/>
            </w14:solidFill>
          </w14:textFill>
        </w:rPr>
        <w:t>一是</w:t>
      </w:r>
      <w:r>
        <w:rPr>
          <w:rFonts w:hint="eastAsia" w:ascii="仿宋_GB2312" w:hAnsi="仿宋_GB2312" w:eastAsia="仿宋_GB2312"/>
          <w:color w:val="000000" w:themeColor="text1"/>
          <w:sz w:val="32"/>
          <w:szCs w:val="40"/>
          <w14:textFill>
            <w14:solidFill>
              <w14:schemeClr w14:val="tx1"/>
            </w14:solidFill>
          </w14:textFill>
        </w:rPr>
        <w:t>借鉴先进政策经验，梳理对比了3</w:t>
      </w:r>
      <w:r>
        <w:rPr>
          <w:rFonts w:ascii="仿宋_GB2312" w:hAnsi="仿宋_GB2312" w:eastAsia="仿宋_GB2312"/>
          <w:color w:val="000000" w:themeColor="text1"/>
          <w:sz w:val="32"/>
          <w:szCs w:val="40"/>
          <w14:textFill>
            <w14:solidFill>
              <w14:schemeClr w14:val="tx1"/>
            </w14:solidFill>
          </w14:textFill>
        </w:rPr>
        <w:t>0</w:t>
      </w:r>
      <w:r>
        <w:rPr>
          <w:rFonts w:hint="eastAsia" w:ascii="仿宋_GB2312" w:hAnsi="仿宋_GB2312" w:eastAsia="仿宋_GB2312"/>
          <w:color w:val="000000" w:themeColor="text1"/>
          <w:sz w:val="32"/>
          <w:szCs w:val="40"/>
          <w14:textFill>
            <w14:solidFill>
              <w14:schemeClr w14:val="tx1"/>
            </w14:solidFill>
          </w14:textFill>
        </w:rPr>
        <w:t>个以上全国其他城市近期出台的具有代表性的产业金融政策，在吸收借鉴的基础上进行适度创新。</w:t>
      </w:r>
      <w:r>
        <w:rPr>
          <w:rFonts w:hint="eastAsia" w:ascii="仿宋_GB2312" w:hAnsi="仿宋_GB2312" w:eastAsia="仿宋_GB2312"/>
          <w:b/>
          <w:bCs/>
          <w:color w:val="000000" w:themeColor="text1"/>
          <w:sz w:val="32"/>
          <w:szCs w:val="40"/>
          <w14:textFill>
            <w14:solidFill>
              <w14:schemeClr w14:val="tx1"/>
            </w14:solidFill>
          </w14:textFill>
        </w:rPr>
        <w:t>二是</w:t>
      </w:r>
      <w:r>
        <w:rPr>
          <w:rFonts w:hint="eastAsia" w:ascii="仿宋_GB2312" w:hAnsi="仿宋_GB2312" w:eastAsia="仿宋_GB2312"/>
          <w:color w:val="000000" w:themeColor="text1"/>
          <w:sz w:val="32"/>
          <w:szCs w:val="40"/>
          <w14:textFill>
            <w14:solidFill>
              <w14:schemeClr w14:val="tx1"/>
            </w14:solidFill>
          </w14:textFill>
        </w:rPr>
        <w:t>征求波士顿咨询等专业咨询机构的意见，吸收《亦庄金融业战略规划》内容，吸收加快实现金融倍增计划的相关措施建议，同时确保政策制定和实施过程中符合市场公平性竞争要求。</w:t>
      </w:r>
      <w:r>
        <w:rPr>
          <w:rFonts w:hint="eastAsia" w:ascii="仿宋_GB2312" w:hAnsi="仿宋_GB2312" w:eastAsia="仿宋_GB2312"/>
          <w:b/>
          <w:bCs/>
          <w:color w:val="000000" w:themeColor="text1"/>
          <w:sz w:val="32"/>
          <w:szCs w:val="40"/>
          <w14:textFill>
            <w14:solidFill>
              <w14:schemeClr w14:val="tx1"/>
            </w14:solidFill>
          </w14:textFill>
        </w:rPr>
        <w:t>三是</w:t>
      </w:r>
      <w:r>
        <w:rPr>
          <w:rFonts w:hint="eastAsia" w:ascii="仿宋_GB2312" w:hAnsi="仿宋_GB2312" w:eastAsia="仿宋_GB2312"/>
          <w:color w:val="000000" w:themeColor="text1"/>
          <w:sz w:val="32"/>
          <w:szCs w:val="40"/>
          <w14:textFill>
            <w14:solidFill>
              <w14:schemeClr w14:val="tx1"/>
            </w14:solidFill>
          </w14:textFill>
        </w:rPr>
        <w:t>听取具有代表性金融机构、地方金融组织，以及区内代表性的企业、平台公司及园区，进一步了解金融机构及企业的需求。</w:t>
      </w:r>
      <w:r>
        <w:rPr>
          <w:rFonts w:hint="eastAsia" w:ascii="仿宋_GB2312" w:hAnsi="仿宋_GB2312" w:eastAsia="仿宋_GB2312"/>
          <w:b/>
          <w:bCs/>
          <w:color w:val="000000" w:themeColor="text1"/>
          <w:sz w:val="32"/>
          <w:szCs w:val="40"/>
          <w14:textFill>
            <w14:solidFill>
              <w14:schemeClr w14:val="tx1"/>
            </w14:solidFill>
          </w14:textFill>
        </w:rPr>
        <w:t>四是</w:t>
      </w:r>
      <w:r>
        <w:rPr>
          <w:rFonts w:hint="eastAsia" w:ascii="仿宋_GB2312" w:hAnsi="仿宋_GB2312" w:eastAsia="仿宋_GB2312"/>
          <w:color w:val="000000" w:themeColor="text1"/>
          <w:sz w:val="32"/>
          <w:szCs w:val="40"/>
          <w14:textFill>
            <w14:solidFill>
              <w14:schemeClr w14:val="tx1"/>
            </w14:solidFill>
          </w14:textFill>
        </w:rPr>
        <w:t>统计经营数据，预测未来兑现情况，确保政策实施效果。</w:t>
      </w:r>
    </w:p>
    <w:p w14:paraId="1BF64219">
      <w:pPr>
        <w:pStyle w:val="5"/>
        <w:spacing w:before="0" w:after="0" w:line="600" w:lineRule="exact"/>
        <w:ind w:firstLine="640" w:firstLineChars="200"/>
        <w:rPr>
          <w:rFonts w:ascii="黑体" w:hAnsi="黑体" w:eastAsia="黑体" w:cs="黑体"/>
          <w:b w:val="0"/>
          <w:bCs w:val="0"/>
          <w:color w:val="000000" w:themeColor="text1"/>
          <w:kern w:val="2"/>
          <w:sz w:val="32"/>
          <w:szCs w:val="32"/>
          <w14:textFill>
            <w14:solidFill>
              <w14:schemeClr w14:val="tx1"/>
            </w14:solidFill>
          </w14:textFill>
        </w:rPr>
      </w:pPr>
      <w:r>
        <w:rPr>
          <w:rFonts w:hint="eastAsia" w:ascii="黑体" w:hAnsi="黑体" w:eastAsia="黑体" w:cs="黑体"/>
          <w:b w:val="0"/>
          <w:bCs w:val="0"/>
          <w:color w:val="000000" w:themeColor="text1"/>
          <w:kern w:val="2"/>
          <w:sz w:val="32"/>
          <w:szCs w:val="32"/>
          <w14:textFill>
            <w14:solidFill>
              <w14:schemeClr w14:val="tx1"/>
            </w14:solidFill>
          </w14:textFill>
        </w:rPr>
        <w:t>四、主要内容说明</w:t>
      </w:r>
    </w:p>
    <w:p w14:paraId="214A5201">
      <w:pPr>
        <w:suppressAutoHyphens/>
        <w:spacing w:line="360" w:lineRule="auto"/>
        <w:jc w:val="left"/>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lang w:val="en-US" w:eastAsia="zh-CN"/>
          <w14:textFill>
            <w14:solidFill>
              <w14:schemeClr w14:val="tx1"/>
            </w14:solidFill>
          </w14:textFill>
        </w:rPr>
        <w:t xml:space="preserve">    </w:t>
      </w:r>
      <w:r>
        <w:rPr>
          <w:rFonts w:hint="eastAsia" w:ascii="仿宋_GB2312" w:hAnsi="仿宋_GB2312" w:eastAsia="仿宋_GB2312"/>
          <w:color w:val="000000" w:themeColor="text1"/>
          <w:sz w:val="32"/>
          <w:szCs w:val="40"/>
          <w14:textFill>
            <w14:solidFill>
              <w14:schemeClr w14:val="tx1"/>
            </w14:solidFill>
          </w14:textFill>
        </w:rPr>
        <w:t>此次起草的《北京经济技术开发区关于</w:t>
      </w:r>
      <w:bookmarkStart w:id="1" w:name="_Hlk177982012"/>
      <w:r>
        <w:rPr>
          <w:rFonts w:hint="eastAsia" w:ascii="仿宋_GB2312" w:hAnsi="仿宋_GB2312" w:eastAsia="仿宋_GB2312"/>
          <w:color w:val="000000" w:themeColor="text1"/>
          <w:sz w:val="32"/>
          <w:szCs w:val="40"/>
          <w14:textFill>
            <w14:solidFill>
              <w14:schemeClr w14:val="tx1"/>
            </w14:solidFill>
          </w14:textFill>
        </w:rPr>
        <w:t>加快推动产业金融高质量发展的若干措施</w:t>
      </w:r>
      <w:bookmarkEnd w:id="1"/>
      <w:r>
        <w:rPr>
          <w:rFonts w:hint="eastAsia" w:ascii="仿宋_GB2312" w:hAnsi="仿宋_GB2312" w:eastAsia="仿宋_GB2312"/>
          <w:color w:val="000000" w:themeColor="text1"/>
          <w:sz w:val="32"/>
          <w:szCs w:val="40"/>
          <w14:textFill>
            <w14:solidFill>
              <w14:schemeClr w14:val="tx1"/>
            </w14:solidFill>
          </w14:textFill>
        </w:rPr>
        <w:t>（试行）（征求意见稿）》包括做好做实金融“五篇大文章”</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推动产业金融生态提级聚能</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支持金融机构高质量发展</w:t>
      </w:r>
      <w:r>
        <w:rPr>
          <w:rFonts w:hint="eastAsia" w:ascii="仿宋_GB2312" w:hAnsi="仿宋_GB2312" w:eastAsia="仿宋_GB2312"/>
          <w:color w:val="000000" w:themeColor="text1"/>
          <w:sz w:val="32"/>
          <w:szCs w:val="40"/>
          <w:lang w:eastAsia="zh-CN"/>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优化金融发展生态环境共四方面具体措施。</w:t>
      </w:r>
    </w:p>
    <w:p w14:paraId="550AF44D">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（一）做好做实金融“五篇大文章”</w:t>
      </w:r>
    </w:p>
    <w:p w14:paraId="6F8D3958">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楷体" w:cs="楷体"/>
          <w:b w:val="0"/>
          <w:bCs w:val="0"/>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第一条 鼓励</w:t>
      </w:r>
      <w:r>
        <w:rPr>
          <w:rFonts w:hint="eastAsia" w:ascii="仿宋_GB2312" w:hAnsi="楷体" w:cs="楷体"/>
          <w:color w:val="000000" w:themeColor="text1"/>
          <w14:textFill>
            <w14:solidFill>
              <w14:schemeClr w14:val="tx1"/>
            </w14:solidFill>
          </w14:textFill>
        </w:rPr>
        <w:t>发展科技信贷</w:t>
      </w:r>
    </w:p>
    <w:p w14:paraId="4245FF5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w:t>
      </w:r>
      <w:r>
        <w:rPr>
          <w:rFonts w:ascii="仿宋_GB2312" w:hAnsi="仿宋_GB2312" w:eastAsia="仿宋_GB2312" w:cs="仿宋_GB2312"/>
          <w:color w:val="000000" w:themeColor="text1"/>
          <w:sz w:val="32"/>
          <w:szCs w:val="32"/>
          <w14:textFill>
            <w14:solidFill>
              <w14:schemeClr w14:val="tx1"/>
            </w14:solidFill>
          </w14:textFill>
        </w:rPr>
        <w:t>励银行机构加大对科技型企业的贷款支持力度</w:t>
      </w:r>
      <w:r>
        <w:rPr>
          <w:rFonts w:hint="eastAsia" w:ascii="仿宋_GB2312" w:hAnsi="仿宋_GB2312" w:eastAsia="仿宋_GB2312" w:cs="仿宋_GB2312"/>
          <w:color w:val="000000" w:themeColor="text1"/>
          <w:sz w:val="32"/>
          <w:szCs w:val="32"/>
          <w14:textFill>
            <w14:solidFill>
              <w14:schemeClr w14:val="tx1"/>
            </w14:solidFill>
          </w14:textFill>
        </w:rPr>
        <w:t>，鼓励开发“专精特新贷”特色产品。支持各类金融机构为种子期、初创期、成长期、成熟期的科技创新型企业提供全生命周期的多元金融供给。发挥经开区</w:t>
      </w:r>
      <w:r>
        <w:rPr>
          <w:rFonts w:ascii="仿宋_GB2312" w:hAnsi="仿宋_GB2312" w:eastAsia="仿宋_GB2312" w:cs="仿宋_GB2312"/>
          <w:color w:val="000000" w:themeColor="text1"/>
          <w:sz w:val="32"/>
          <w:szCs w:val="32"/>
          <w14:textFill>
            <w14:solidFill>
              <w14:schemeClr w14:val="tx1"/>
            </w14:solidFill>
          </w14:textFill>
        </w:rPr>
        <w:t>小微企业贷款风险补偿资金</w:t>
      </w:r>
      <w:r>
        <w:rPr>
          <w:rFonts w:hint="eastAsia" w:ascii="仿宋_GB2312" w:hAnsi="仿宋_GB2312" w:eastAsia="仿宋_GB2312" w:cs="仿宋_GB2312"/>
          <w:color w:val="000000" w:themeColor="text1"/>
          <w:sz w:val="32"/>
          <w:szCs w:val="32"/>
          <w14:textFill>
            <w14:solidFill>
              <w14:schemeClr w14:val="tx1"/>
            </w14:solidFill>
          </w14:textFill>
        </w:rPr>
        <w:t>作用，对符合条件的</w:t>
      </w:r>
      <w:r>
        <w:rPr>
          <w:rFonts w:ascii="仿宋_GB2312" w:hAnsi="仿宋_GB2312" w:eastAsia="仿宋_GB2312" w:cs="仿宋_GB2312"/>
          <w:color w:val="000000" w:themeColor="text1"/>
          <w:sz w:val="32"/>
          <w:szCs w:val="32"/>
          <w14:textFill>
            <w14:solidFill>
              <w14:schemeClr w14:val="tx1"/>
            </w14:solidFill>
          </w14:textFill>
        </w:rPr>
        <w:t>合作银行小微企业贷款项目发生的不良贷款本金余额给予一定比例的风险补偿</w:t>
      </w:r>
      <w:r>
        <w:rPr>
          <w:rFonts w:hint="eastAsia" w:ascii="仿宋_GB2312" w:hAnsi="仿宋_GB2312" w:eastAsia="仿宋_GB2312" w:cs="仿宋_GB2312"/>
          <w:color w:val="000000" w:themeColor="text1"/>
          <w:sz w:val="32"/>
          <w:szCs w:val="32"/>
          <w14:textFill>
            <w14:solidFill>
              <w14:schemeClr w14:val="tx1"/>
            </w14:solidFill>
          </w14:textFill>
        </w:rPr>
        <w:t>。争取科技创新再贷款政策、高新技术企业信用贷款融资试点等落地。支持探索投贷联动、投保联动等模式创新。鼓励银行机构提高创新型中小企业和科技型中小企业融资占比。</w:t>
      </w:r>
    </w:p>
    <w:p w14:paraId="1907A0BE">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第二条 支持发展科技保险</w:t>
      </w:r>
    </w:p>
    <w:p w14:paraId="189D52D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保险机构围绕企业在创新研发、生产运营、市场推广及成果转化等重点环节的风险研发专属保险产品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搭建多方信息互通平台，引导和鼓励保险资金投向</w:t>
      </w:r>
      <w:r>
        <w:rPr>
          <w:rFonts w:hint="eastAsia" w:ascii="仿宋_GB2312" w:hAnsi="仿宋_GB2312" w:eastAsia="仿宋_GB2312" w:cs="仿宋_GB2312"/>
          <w:color w:val="000000" w:themeColor="text1"/>
          <w:sz w:val="32"/>
          <w:szCs w:val="32"/>
          <w14:textFill>
            <w14:solidFill>
              <w14:schemeClr w14:val="tx1"/>
            </w14:solidFill>
          </w14:textFill>
        </w:rPr>
        <w:t>重点产业和</w:t>
      </w:r>
      <w:r>
        <w:rPr>
          <w:rFonts w:ascii="仿宋_GB2312" w:hAnsi="仿宋_GB2312" w:eastAsia="仿宋_GB2312" w:cs="仿宋_GB2312"/>
          <w:color w:val="000000" w:themeColor="text1"/>
          <w:sz w:val="32"/>
          <w:szCs w:val="32"/>
          <w14:textFill>
            <w14:solidFill>
              <w14:schemeClr w14:val="tx1"/>
            </w14:solidFill>
          </w14:textFill>
        </w:rPr>
        <w:t>重大产业项目</w:t>
      </w:r>
      <w:r>
        <w:rPr>
          <w:rFonts w:hint="eastAsia" w:ascii="仿宋_GB2312" w:hAnsi="仿宋_GB2312" w:eastAsia="仿宋_GB2312" w:cs="仿宋_GB2312"/>
          <w:color w:val="000000" w:themeColor="text1"/>
          <w:sz w:val="32"/>
          <w:szCs w:val="32"/>
          <w14:textFill>
            <w14:solidFill>
              <w14:schemeClr w14:val="tx1"/>
            </w14:solidFill>
          </w14:textFill>
        </w:rPr>
        <w:t>。鼓励建立科技创新型企业保险理赔绿色通道。</w:t>
      </w:r>
      <w:r>
        <w:rPr>
          <w:rFonts w:ascii="仿宋_GB2312" w:hAnsi="仿宋_GB2312" w:eastAsia="仿宋_GB2312" w:cs="仿宋_GB2312"/>
          <w:color w:val="000000" w:themeColor="text1"/>
          <w:sz w:val="32"/>
          <w:szCs w:val="32"/>
          <w14:textFill>
            <w14:solidFill>
              <w14:schemeClr w14:val="tx1"/>
            </w14:solidFill>
          </w14:textFill>
        </w:rPr>
        <w:t>引导鼓励科技型企业自愿选择、自主投保</w:t>
      </w:r>
      <w:r>
        <w:rPr>
          <w:rFonts w:hint="eastAsia" w:ascii="仿宋_GB2312" w:hAnsi="仿宋_GB2312" w:eastAsia="仿宋_GB2312" w:cs="仿宋_GB2312"/>
          <w:color w:val="000000" w:themeColor="text1"/>
          <w:sz w:val="32"/>
          <w:szCs w:val="32"/>
          <w14:textFill>
            <w14:solidFill>
              <w14:schemeClr w14:val="tx1"/>
            </w14:solidFill>
          </w14:textFill>
        </w:rPr>
        <w:t>各类创新保险产品。认定为北京市“专精特新”中小企业、“国家高新技术企业”的企业以及“科创中国”创新基地、省级及以上科技企业孵化器、经开区创新孵化载体的科创类平台运营方（满足其中一项即可）向保险机构投保科技保险，当年实际保费总支出超过10万元的，按照其当年实际保费支出的50%给予企业补贴；认定为国家级专精特新“小巨人”的企业，按照其当年实际保费支出的</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0%给予企业补贴。每家企业每年最高不超过50万元。</w:t>
      </w:r>
    </w:p>
    <w:p w14:paraId="2BF0C517">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楷体" w:hAnsi="楷体" w:eastAsia="楷体" w:cs="楷体"/>
          <w:color w:val="000000" w:themeColor="text1"/>
          <w14:textFill>
            <w14:solidFill>
              <w14:schemeClr w14:val="tx1"/>
            </w14:solidFill>
          </w14:textFill>
        </w:rPr>
      </w:pPr>
      <w:r>
        <w:rPr>
          <w:rFonts w:hint="eastAsia"/>
          <w:color w:val="000000" w:themeColor="text1"/>
          <w14:textFill>
            <w14:solidFill>
              <w14:schemeClr w14:val="tx1"/>
            </w14:solidFill>
          </w14:textFill>
        </w:rPr>
        <w:t>第三条 支持发展供应链金融</w:t>
      </w:r>
    </w:p>
    <w:p w14:paraId="199E2FD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等运用保理融资及融资租赁等方式提升对实体产业的服务能力，当年业务合同金额达到</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亿元（含）以上的，按当年为企业提供融资总额的0.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%，每户每年奖励最高不超过500万元。</w:t>
      </w:r>
    </w:p>
    <w:p w14:paraId="54C5C648">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第四条 </w:t>
      </w:r>
      <w:r>
        <w:rPr>
          <w:rFonts w:hint="eastAsia" w:ascii="仿宋_GB2312" w:hAnsi="仿宋_GB2312" w:cs="仿宋_GB2312"/>
          <w:color w:val="000000" w:themeColor="text1"/>
          <w14:textFill>
            <w14:solidFill>
              <w14:schemeClr w14:val="tx1"/>
            </w14:solidFill>
          </w14:textFill>
        </w:rPr>
        <w:t>推动</w:t>
      </w:r>
      <w:r>
        <w:rPr>
          <w:rFonts w:ascii="仿宋_GB2312" w:hAnsi="仿宋_GB2312" w:cs="仿宋_GB2312"/>
          <w:color w:val="000000" w:themeColor="text1"/>
          <w14:textFill>
            <w14:solidFill>
              <w14:schemeClr w14:val="tx1"/>
            </w14:solidFill>
          </w14:textFill>
        </w:rPr>
        <w:t>小微企业融资环境</w:t>
      </w:r>
      <w:r>
        <w:rPr>
          <w:rFonts w:hint="eastAsia" w:ascii="仿宋_GB2312" w:hAnsi="仿宋_GB2312" w:cs="仿宋_GB2312"/>
          <w:color w:val="000000" w:themeColor="text1"/>
          <w14:textFill>
            <w14:solidFill>
              <w14:schemeClr w14:val="tx1"/>
            </w14:solidFill>
          </w14:textFill>
        </w:rPr>
        <w:t>改善</w:t>
      </w:r>
    </w:p>
    <w:p w14:paraId="5B275CE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推动供需两端统筹解决小微企业融资难题，</w:t>
      </w:r>
      <w:r>
        <w:rPr>
          <w:rFonts w:ascii="仿宋_GB2312" w:hAnsi="仿宋_GB2312" w:eastAsia="仿宋_GB2312" w:cs="仿宋_GB2312"/>
          <w:color w:val="000000" w:themeColor="text1"/>
          <w:sz w:val="32"/>
          <w:szCs w:val="32"/>
          <w14:textFill>
            <w14:solidFill>
              <w14:schemeClr w14:val="tx1"/>
            </w14:solidFill>
          </w14:textFill>
        </w:rPr>
        <w:t>引导金融机构加大对小微企业的信贷投放</w:t>
      </w:r>
      <w:r>
        <w:rPr>
          <w:rFonts w:hint="eastAsia" w:ascii="仿宋_GB2312" w:hAnsi="仿宋_GB2312" w:eastAsia="仿宋_GB2312" w:cs="仿宋_GB2312"/>
          <w:color w:val="000000" w:themeColor="text1"/>
          <w:sz w:val="32"/>
          <w:szCs w:val="32"/>
          <w14:textFill>
            <w14:solidFill>
              <w14:schemeClr w14:val="tx1"/>
            </w14:solidFill>
          </w14:textFill>
        </w:rPr>
        <w:t>力度。探索完善小微企业增信体系，提高风险分担能力。支持金融机构提供批量化、规模化的小微金融服务，提高小微金融覆盖面。对获得企业贷款的小微企业，按照企业当年实际支付利息的50%予以贴息支持，每年单户企业贴息支持上限为25万元；认定为北京市“专精特新”、国家级专精特新“小巨人”的小微企业，每年单户企业贴息支持上限分别为40万元、50万元对获得北京市首贷贴息政策支持的企业，根据市级支持额度，按照1:1的比例给予资金支持，单个企业最高支持20万元。本条措施就高不重复享受。</w:t>
      </w:r>
    </w:p>
    <w:p w14:paraId="1F77C52E">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第五条 支持发展绿色金融</w:t>
      </w:r>
    </w:p>
    <w:p w14:paraId="727E9C2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鼓励金融机构开展绿色金融产品创新，提供专业化、差异化服务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强化城市建设、城市运行重点项目的绿色金融运用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建立绿色金融与经济低碳转型相互促进的长效机制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支持符合条件的金融机构、地方金融组织和企业在境内外发行绿色债券、转型债券和绿色资产证券化产品</w:t>
      </w:r>
      <w:r>
        <w:rPr>
          <w:rFonts w:hint="eastAsia" w:ascii="仿宋_GB2312" w:hAnsi="仿宋_GB2312" w:eastAsia="仿宋_GB2312" w:cs="仿宋_GB2312"/>
          <w:color w:val="000000" w:themeColor="text1"/>
          <w:sz w:val="32"/>
          <w:szCs w:val="32"/>
          <w14:textFill>
            <w14:solidFill>
              <w14:schemeClr w14:val="tx1"/>
            </w14:solidFill>
          </w14:textFill>
        </w:rPr>
        <w:t>。支持集聚</w:t>
      </w:r>
      <w:r>
        <w:rPr>
          <w:rFonts w:ascii="仿宋_GB2312" w:hAnsi="仿宋_GB2312" w:eastAsia="仿宋_GB2312" w:cs="仿宋_GB2312"/>
          <w:color w:val="000000" w:themeColor="text1"/>
          <w:sz w:val="32"/>
          <w:szCs w:val="32"/>
          <w14:textFill>
            <w14:solidFill>
              <w14:schemeClr w14:val="tx1"/>
            </w14:solidFill>
          </w14:textFill>
        </w:rPr>
        <w:t>绿色金融专业机构，建立健全</w:t>
      </w:r>
      <w:r>
        <w:rPr>
          <w:rFonts w:hint="eastAsia" w:ascii="仿宋_GB2312" w:hAnsi="仿宋_GB2312" w:eastAsia="仿宋_GB2312" w:cs="仿宋_GB2312"/>
          <w:color w:val="000000" w:themeColor="text1"/>
          <w:sz w:val="32"/>
          <w:szCs w:val="32"/>
          <w14:textFill>
            <w14:solidFill>
              <w14:schemeClr w14:val="tx1"/>
            </w14:solidFill>
          </w14:textFill>
        </w:rPr>
        <w:t>绿色金融专业服务</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对绿色金融支持力度较强的前2</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银行机构给予荣誉称号，探索将绿色信贷指标纳入经开区银行评价体系。</w:t>
      </w:r>
    </w:p>
    <w:p w14:paraId="283DDE79">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第六条 鼓励发展数字金融</w:t>
      </w:r>
    </w:p>
    <w:p w14:paraId="385FCC4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数字金融相关机构集聚，鼓励各类金融机构科技子公司及大型产业集团的金融科技子公司在区内落地发展。鼓励企业利用“信用+”赋能发展，支持有条件的企业发起设立个人征信机构。鼓励金融机构通过数字金融手段促进金融服务的普惠化、智能化，提升金融服务数字化能力。鼓励金融机构布局数字生态场景体系，构建数字生态运营体系，加快数字人民币与数字经济产业的深度融合运用。</w:t>
      </w:r>
    </w:p>
    <w:p w14:paraId="40F91786">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第七条 鼓励发展养老金融</w:t>
      </w:r>
    </w:p>
    <w:p w14:paraId="03237D5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金融机构开发推广具有长期性、安全性，覆盖全生命周期的养老金融产品。完善金融支持养老产业发展的运行机制，打通养老产业链和金融服务链，实现覆盖养老全产业链的综合金融服务供给。鼓励各类主体积极扩大企业年金管理规模，支持区内用人单位为本单位人才建立年金，为员工提供更优保障。</w:t>
      </w:r>
    </w:p>
    <w:p w14:paraId="3EDABDDB">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（二）推动产业金融生态提级聚能</w:t>
      </w:r>
    </w:p>
    <w:p w14:paraId="397A1DD6">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第八条 支持持牌法人金融</w:t>
      </w:r>
      <w:r>
        <w:rPr>
          <w:rFonts w:hint="eastAsia" w:ascii="仿宋_GB2312" w:hAnsi="楷体" w:cs="楷体"/>
          <w:color w:val="000000" w:themeColor="text1"/>
          <w14:textFill>
            <w14:solidFill>
              <w14:schemeClr w14:val="tx1"/>
            </w14:solidFill>
          </w14:textFill>
        </w:rPr>
        <w:t>机构</w:t>
      </w:r>
      <w:r>
        <w:rPr>
          <w:rFonts w:hint="eastAsia"/>
          <w:color w:val="000000" w:themeColor="text1"/>
          <w14:textFill>
            <w14:solidFill>
              <w14:schemeClr w14:val="tx1"/>
            </w14:solidFill>
          </w14:textFill>
        </w:rPr>
        <w:t>落户</w:t>
      </w:r>
    </w:p>
    <w:p w14:paraId="02FEC2E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ascii="仿宋_GB2312" w:hAnsi="仿宋_GB2312" w:eastAsia="仿宋_GB2312" w:cs="仿宋_GB2312"/>
          <w:color w:val="000000" w:themeColor="text1"/>
          <w:sz w:val="32"/>
          <w:szCs w:val="32"/>
          <w14:textFill>
            <w14:solidFill>
              <w14:schemeClr w14:val="tx1"/>
            </w14:solidFill>
          </w14:textFill>
        </w:rPr>
        <w:t>与产业发展更为密切的</w:t>
      </w:r>
      <w:r>
        <w:rPr>
          <w:rFonts w:hint="eastAsia" w:ascii="仿宋_GB2312" w:hAnsi="仿宋_GB2312" w:eastAsia="仿宋_GB2312" w:cs="仿宋_GB2312"/>
          <w:color w:val="000000" w:themeColor="text1"/>
          <w:sz w:val="32"/>
          <w:szCs w:val="32"/>
          <w14:textFill>
            <w14:solidFill>
              <w14:schemeClr w14:val="tx1"/>
            </w14:solidFill>
          </w14:textFill>
        </w:rPr>
        <w:t>各类持牌法人</w:t>
      </w:r>
      <w:r>
        <w:rPr>
          <w:rFonts w:ascii="仿宋_GB2312" w:hAnsi="仿宋_GB2312" w:eastAsia="仿宋_GB2312" w:cs="仿宋_GB2312"/>
          <w:color w:val="000000" w:themeColor="text1"/>
          <w:sz w:val="32"/>
          <w:szCs w:val="32"/>
          <w14:textFill>
            <w14:solidFill>
              <w14:schemeClr w14:val="tx1"/>
            </w14:solidFill>
          </w14:textFill>
        </w:rPr>
        <w:t>金融机构</w:t>
      </w:r>
      <w:r>
        <w:rPr>
          <w:rFonts w:hint="eastAsia" w:ascii="仿宋_GB2312" w:hAnsi="仿宋_GB2312" w:eastAsia="仿宋_GB2312" w:cs="仿宋_GB2312"/>
          <w:color w:val="000000" w:themeColor="text1"/>
          <w:sz w:val="32"/>
          <w:szCs w:val="32"/>
          <w14:textFill>
            <w14:solidFill>
              <w14:schemeClr w14:val="tx1"/>
            </w14:solidFill>
          </w14:textFill>
        </w:rPr>
        <w:t>集聚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丰富</w:t>
      </w:r>
      <w:r>
        <w:rPr>
          <w:rFonts w:ascii="仿宋_GB2312" w:hAnsi="仿宋_GB2312" w:eastAsia="仿宋_GB2312" w:cs="仿宋_GB2312"/>
          <w:color w:val="000000" w:themeColor="text1"/>
          <w:sz w:val="32"/>
          <w:szCs w:val="32"/>
          <w14:textFill>
            <w14:solidFill>
              <w14:schemeClr w14:val="tx1"/>
            </w14:solidFill>
          </w14:textFill>
        </w:rPr>
        <w:t>公募基金、汽车金融、征信机构等</w:t>
      </w:r>
      <w:r>
        <w:rPr>
          <w:rFonts w:hint="eastAsia" w:ascii="仿宋_GB2312" w:hAnsi="仿宋_GB2312" w:eastAsia="仿宋_GB2312" w:cs="仿宋_GB2312"/>
          <w:color w:val="000000" w:themeColor="text1"/>
          <w:sz w:val="32"/>
          <w:szCs w:val="32"/>
          <w14:textFill>
            <w14:solidFill>
              <w14:schemeClr w14:val="tx1"/>
            </w14:solidFill>
          </w14:textFill>
        </w:rPr>
        <w:t>特色法人金融业态。支持有条件的主体发起设立持牌法人金融</w:t>
      </w:r>
      <w:r>
        <w:rPr>
          <w:rFonts w:hint="eastAsia" w:ascii="仿宋_GB2312" w:hAnsi="仿宋_GB2312" w:eastAsia="仿宋_GB2312"/>
          <w:color w:val="000000" w:themeColor="text1"/>
          <w:sz w:val="32"/>
          <w:szCs w:val="40"/>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及专业子公司。</w:t>
      </w:r>
      <w:r>
        <w:rPr>
          <w:rFonts w:ascii="仿宋_GB2312" w:hAnsi="仿宋_GB2312" w:eastAsia="仿宋_GB2312" w:cs="仿宋_GB2312"/>
          <w:color w:val="000000" w:themeColor="text1"/>
          <w:sz w:val="32"/>
          <w:szCs w:val="32"/>
          <w14:textFill>
            <w14:solidFill>
              <w14:schemeClr w14:val="tx1"/>
            </w14:solidFill>
          </w14:textFill>
        </w:rPr>
        <w:t>对经国家金融管理部门批准设立的</w:t>
      </w:r>
      <w:r>
        <w:rPr>
          <w:rFonts w:hint="eastAsia" w:ascii="仿宋_GB2312" w:hAnsi="仿宋_GB2312" w:eastAsia="仿宋_GB2312" w:cs="仿宋_GB2312"/>
          <w:color w:val="000000" w:themeColor="text1"/>
          <w:sz w:val="32"/>
          <w:szCs w:val="32"/>
          <w14:textFill>
            <w14:solidFill>
              <w14:schemeClr w14:val="tx1"/>
            </w14:solidFill>
          </w14:textFill>
        </w:rPr>
        <w:t>持牌法人</w:t>
      </w:r>
      <w:r>
        <w:rPr>
          <w:rFonts w:hint="eastAsia" w:ascii="仿宋_GB2312" w:hAnsi="仿宋_GB2312" w:eastAsia="仿宋_GB2312"/>
          <w:color w:val="000000" w:themeColor="text1"/>
          <w:sz w:val="32"/>
          <w:szCs w:val="32"/>
          <w14:textFill>
            <w14:solidFill>
              <w14:schemeClr w14:val="tx1"/>
            </w14:solidFill>
          </w14:textFill>
        </w:rPr>
        <w:t>金融机构，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持牌法人</w:t>
      </w:r>
      <w:r>
        <w:rPr>
          <w:rFonts w:ascii="仿宋_GB2312" w:hAnsi="仿宋_GB2312" w:eastAsia="仿宋_GB2312"/>
          <w:color w:val="000000" w:themeColor="text1"/>
          <w:sz w:val="32"/>
          <w:szCs w:val="32"/>
          <w14:textFill>
            <w14:solidFill>
              <w14:schemeClr w14:val="tx1"/>
            </w14:solidFill>
          </w14:textFill>
        </w:rPr>
        <w:t>金融机构增资的</w:t>
      </w:r>
      <w:r>
        <w:rPr>
          <w:rFonts w:hint="eastAsia" w:ascii="仿宋_GB2312" w:hAnsi="仿宋_GB2312" w:eastAsia="仿宋_GB2312"/>
          <w:color w:val="000000" w:themeColor="text1"/>
          <w:sz w:val="32"/>
          <w:szCs w:val="32"/>
          <w14:textFill>
            <w14:solidFill>
              <w14:schemeClr w14:val="tx1"/>
            </w14:solidFill>
          </w14:textFill>
        </w:rPr>
        <w:t>，实收资本每新增1亿元（含）以上的，按增资额度的1%给予补助，最高不超过2000万元。</w:t>
      </w:r>
    </w:p>
    <w:p w14:paraId="309C7B49">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第九条 </w:t>
      </w:r>
      <w:r>
        <w:rPr>
          <w:color w:val="000000" w:themeColor="text1"/>
          <w14:textFill>
            <w14:solidFill>
              <w14:schemeClr w14:val="tx1"/>
            </w14:solidFill>
          </w14:textFill>
        </w:rPr>
        <w:t>支持金融分支机构</w:t>
      </w:r>
      <w:r>
        <w:rPr>
          <w:rFonts w:hint="eastAsia" w:ascii="仿宋_GB2312" w:hAnsi="仿宋_GB2312"/>
          <w:color w:val="000000" w:themeColor="text1"/>
          <w14:textFill>
            <w14:solidFill>
              <w14:schemeClr w14:val="tx1"/>
            </w14:solidFill>
          </w14:textFill>
        </w:rPr>
        <w:t>提档升级</w:t>
      </w:r>
    </w:p>
    <w:p w14:paraId="23EDED3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各类金融机构提档升级，鼓励金融机构新设一二级分支机构，新设区域业务总部、客户服务中心等功能性总部。对新设立的银行一级分行以及证券公司、保险公司一级分支机构，给予400万元一次性开办费支持，新升格的银行二级分行给予200万元一次性开办费支持。</w:t>
      </w:r>
    </w:p>
    <w:p w14:paraId="2A27E50D">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olor w:val="000000" w:themeColor="text1"/>
          <w14:textFill>
            <w14:solidFill>
              <w14:schemeClr w14:val="tx1"/>
            </w14:solidFill>
          </w14:textFill>
        </w:rPr>
      </w:pPr>
      <w:r>
        <w:rPr>
          <w:rFonts w:hint="eastAsia"/>
          <w:color w:val="000000" w:themeColor="text1"/>
          <w14:textFill>
            <w14:solidFill>
              <w14:schemeClr w14:val="tx1"/>
            </w14:solidFill>
          </w14:textFill>
        </w:rPr>
        <w:t>第十条 支持地方金融组织落户</w:t>
      </w:r>
    </w:p>
    <w:p w14:paraId="7E953F7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推动形成多层次地方金融</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优质</w:t>
      </w:r>
      <w:r>
        <w:rPr>
          <w:rFonts w:ascii="仿宋_GB2312" w:hAnsi="仿宋_GB2312" w:eastAsia="仿宋_GB2312" w:cs="仿宋_GB2312"/>
          <w:color w:val="000000" w:themeColor="text1"/>
          <w:sz w:val="32"/>
          <w:szCs w:val="32"/>
          <w14:textFill>
            <w14:solidFill>
              <w14:schemeClr w14:val="tx1"/>
            </w14:solidFill>
          </w14:textFill>
        </w:rPr>
        <w:t>市场主体设立地方金融组织。支持地方金融组织引入战略投资者、开展股权激励等方式优化</w:t>
      </w:r>
      <w:r>
        <w:rPr>
          <w:rFonts w:hint="eastAsia" w:ascii="仿宋_GB2312" w:hAnsi="仿宋_GB2312" w:eastAsia="仿宋_GB2312" w:cs="仿宋_GB2312"/>
          <w:color w:val="000000" w:themeColor="text1"/>
          <w:sz w:val="32"/>
          <w:szCs w:val="32"/>
          <w14:textFill>
            <w14:solidFill>
              <w14:schemeClr w14:val="tx1"/>
            </w14:solidFill>
          </w14:textFill>
        </w:rPr>
        <w:t>股权</w:t>
      </w:r>
      <w:r>
        <w:rPr>
          <w:rFonts w:ascii="仿宋_GB2312" w:hAnsi="仿宋_GB2312" w:eastAsia="仿宋_GB2312" w:cs="仿宋_GB2312"/>
          <w:color w:val="000000" w:themeColor="text1"/>
          <w:sz w:val="32"/>
          <w:szCs w:val="32"/>
          <w14:textFill>
            <w14:solidFill>
              <w14:schemeClr w14:val="tx1"/>
            </w14:solidFill>
          </w14:textFill>
        </w:rPr>
        <w:t>结构</w:t>
      </w:r>
      <w:r>
        <w:rPr>
          <w:rFonts w:hint="eastAsia" w:ascii="仿宋_GB2312" w:hAnsi="仿宋_GB2312" w:eastAsia="仿宋_GB2312" w:cs="仿宋_GB2312"/>
          <w:color w:val="000000" w:themeColor="text1"/>
          <w:sz w:val="32"/>
          <w:szCs w:val="32"/>
          <w14:textFill>
            <w14:solidFill>
              <w14:schemeClr w14:val="tx1"/>
            </w14:solidFill>
          </w14:textFill>
        </w:rPr>
        <w:t>。经北京市地方金融管理局批准新设立的融资租赁公司、商业保理公司、融资担保公司，实收资本5亿元（含）以上的，按实收资本的0.5%给予一次性落户奖励，最高不超过2500万元。实收资本增加1亿元（含）以上的，按增资额度的0.5%给予奖励，最高不超过</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4B16BD5A">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第十一条 支持私募投资机构落户</w:t>
      </w:r>
    </w:p>
    <w:p w14:paraId="79D4750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聚焦科技创新和产业升级，支持引进</w:t>
      </w:r>
      <w:r>
        <w:rPr>
          <w:rFonts w:ascii="仿宋_GB2312" w:hAnsi="仿宋_GB2312" w:eastAsia="仿宋_GB2312" w:cs="仿宋_GB2312"/>
          <w:color w:val="000000" w:themeColor="text1"/>
          <w:sz w:val="32"/>
          <w:szCs w:val="32"/>
          <w14:textFill>
            <w14:solidFill>
              <w14:schemeClr w14:val="tx1"/>
            </w14:solidFill>
          </w14:textFill>
        </w:rPr>
        <w:t>知名</w:t>
      </w:r>
      <w:r>
        <w:rPr>
          <w:rFonts w:hint="eastAsia" w:ascii="仿宋_GB2312" w:hAnsi="仿宋_GB2312" w:eastAsia="仿宋_GB2312" w:cs="仿宋_GB2312"/>
          <w:color w:val="000000" w:themeColor="text1"/>
          <w:sz w:val="32"/>
          <w:szCs w:val="32"/>
          <w14:textFill>
            <w14:solidFill>
              <w14:schemeClr w14:val="tx1"/>
            </w14:solidFill>
          </w14:textFill>
        </w:rPr>
        <w:t>私募投资</w:t>
      </w:r>
      <w:r>
        <w:rPr>
          <w:rFonts w:ascii="仿宋_GB2312" w:hAnsi="仿宋_GB2312" w:eastAsia="仿宋_GB2312" w:cs="仿宋_GB2312"/>
          <w:color w:val="000000" w:themeColor="text1"/>
          <w:sz w:val="32"/>
          <w:szCs w:val="32"/>
          <w14:textFill>
            <w14:solidFill>
              <w14:schemeClr w14:val="tx1"/>
            </w14:solidFill>
          </w14:textFill>
        </w:rPr>
        <w:t>机构，形成创新资本聚集新高地。</w:t>
      </w:r>
      <w:r>
        <w:rPr>
          <w:rFonts w:hint="eastAsia" w:ascii="仿宋_GB2312" w:hAnsi="仿宋_GB2312" w:eastAsia="仿宋_GB2312" w:cs="仿宋_GB2312"/>
          <w:color w:val="000000" w:themeColor="text1"/>
          <w:sz w:val="32"/>
          <w:szCs w:val="32"/>
          <w14:textFill>
            <w14:solidFill>
              <w14:schemeClr w14:val="tx1"/>
            </w14:solidFill>
          </w14:textFill>
        </w:rPr>
        <w:t>支持基金管理人和所管理基金“双落地”。基金管理人实缴资本1000万元以上，所管理基金实缴规模合计达到1亿元（含）以上，经评定，对实体企业带动作用较强的，按基金管理人实缴资本的一定比例给予奖励。基金管理人实缴资本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万元的，按实缴资本的2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给予最高不超过1</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万元奖励。基金管理人实缴资本5</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亿元的，按实缴资本的3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给予最高不超过3</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万元奖励。基金管理人实缴资本1亿元（含）及以上的，按实缴资本</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给予最高不超过5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万元奖励。对</w:t>
      </w:r>
      <w:r>
        <w:rPr>
          <w:rFonts w:hint="eastAsia" w:ascii="仿宋_GB2312" w:hAnsi="仿宋_GB2312" w:eastAsia="仿宋_GB2312"/>
          <w:color w:val="000000" w:themeColor="text1"/>
          <w:sz w:val="32"/>
          <w:szCs w:val="32"/>
          <w14:textFill>
            <w14:solidFill>
              <w14:schemeClr w14:val="tx1"/>
            </w14:solidFill>
          </w14:textFill>
        </w:rPr>
        <w:t>已设立</w:t>
      </w:r>
      <w:r>
        <w:rPr>
          <w:rFonts w:hint="eastAsia" w:ascii="仿宋_GB2312" w:hAnsi="仿宋_GB2312" w:eastAsia="仿宋_GB2312" w:cs="仿宋_GB2312"/>
          <w:color w:val="000000" w:themeColor="text1"/>
          <w:sz w:val="32"/>
          <w:szCs w:val="32"/>
          <w14:textFill>
            <w14:solidFill>
              <w14:schemeClr w14:val="tx1"/>
            </w14:solidFill>
          </w14:textFill>
        </w:rPr>
        <w:t>基金管理人增资的,实缴增资额达1000万元（含）以上的，按增资金额的</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%给予一次性奖励，最高不超过</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p>
    <w:p w14:paraId="35DBD652">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_GB2312"/>
          <w:color w:val="000000" w:themeColor="text1"/>
          <w14:textFill>
            <w14:solidFill>
              <w14:schemeClr w14:val="tx1"/>
            </w14:solidFill>
          </w14:textFill>
        </w:rPr>
      </w:pPr>
      <w:r>
        <w:rPr>
          <w:rFonts w:hint="eastAsia" w:ascii="楷体_GB2312" w:hAnsi="楷体_GB2312"/>
          <w:color w:val="000000" w:themeColor="text1"/>
          <w14:textFill>
            <w14:solidFill>
              <w14:schemeClr w14:val="tx1"/>
            </w14:solidFill>
          </w14:textFill>
        </w:rPr>
        <w:t xml:space="preserve">第十二条 </w:t>
      </w:r>
      <w:r>
        <w:rPr>
          <w:rFonts w:ascii="楷体_GB2312" w:hAnsi="楷体_GB2312"/>
          <w:color w:val="000000" w:themeColor="text1"/>
          <w14:textFill>
            <w14:solidFill>
              <w14:schemeClr w14:val="tx1"/>
            </w14:solidFill>
          </w14:textFill>
        </w:rPr>
        <w:t>支持</w:t>
      </w:r>
      <w:r>
        <w:rPr>
          <w:rFonts w:hint="eastAsia" w:ascii="楷体_GB2312" w:hAnsi="楷体_GB2312"/>
          <w:color w:val="000000" w:themeColor="text1"/>
          <w14:textFill>
            <w14:solidFill>
              <w14:schemeClr w14:val="tx1"/>
            </w14:solidFill>
          </w14:textFill>
        </w:rPr>
        <w:t>合格境外有限合伙人（QFLP）落户</w:t>
      </w:r>
    </w:p>
    <w:p w14:paraId="6C4FC77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支持合格境外有限合伙人（QFLP）发展，为企业发展壮大注入优质境外资本，</w:t>
      </w:r>
      <w:r>
        <w:rPr>
          <w:rFonts w:ascii="仿宋_GB2312" w:hAnsi="仿宋_GB2312" w:eastAsia="仿宋_GB2312"/>
          <w:color w:val="000000" w:themeColor="text1"/>
          <w:sz w:val="32"/>
          <w:szCs w:val="32"/>
          <w14:textFill>
            <w14:solidFill>
              <w14:schemeClr w14:val="tx1"/>
            </w14:solidFill>
          </w14:textFill>
        </w:rPr>
        <w:t>助推产业</w:t>
      </w:r>
      <w:r>
        <w:rPr>
          <w:rFonts w:hint="eastAsia" w:ascii="仿宋_GB2312" w:hAnsi="仿宋_GB2312" w:eastAsia="仿宋_GB2312"/>
          <w:color w:val="000000" w:themeColor="text1"/>
          <w:sz w:val="32"/>
          <w:szCs w:val="32"/>
          <w14:textFill>
            <w14:solidFill>
              <w14:schemeClr w14:val="tx1"/>
            </w14:solidFill>
          </w14:textFill>
        </w:rPr>
        <w:t>转型</w:t>
      </w:r>
      <w:r>
        <w:rPr>
          <w:rFonts w:ascii="仿宋_GB2312" w:hAnsi="仿宋_GB2312" w:eastAsia="仿宋_GB2312"/>
          <w:color w:val="000000" w:themeColor="text1"/>
          <w:sz w:val="32"/>
          <w:szCs w:val="32"/>
          <w14:textFill>
            <w14:solidFill>
              <w14:schemeClr w14:val="tx1"/>
            </w14:solidFill>
          </w14:textFill>
        </w:rPr>
        <w:t>升级</w:t>
      </w:r>
      <w:r>
        <w:rPr>
          <w:rFonts w:hint="eastAsia" w:ascii="仿宋_GB2312" w:hAnsi="仿宋_GB2312" w:eastAsia="仿宋_GB2312"/>
          <w:color w:val="000000" w:themeColor="text1"/>
          <w:sz w:val="32"/>
          <w:szCs w:val="32"/>
          <w14:textFill>
            <w14:solidFill>
              <w14:schemeClr w14:val="tx1"/>
            </w14:solidFill>
          </w14:textFill>
        </w:rPr>
        <w:t>。对新获得北京市合格境外有限合伙人（QFLP）试点资格的</w:t>
      </w:r>
      <w:r>
        <w:rPr>
          <w:rFonts w:ascii="仿宋_GB2312" w:hAnsi="仿宋_GB2312" w:eastAsia="仿宋_GB2312"/>
          <w:color w:val="000000" w:themeColor="text1"/>
          <w:sz w:val="32"/>
          <w:szCs w:val="32"/>
          <w14:textFill>
            <w14:solidFill>
              <w14:schemeClr w14:val="tx1"/>
            </w14:solidFill>
          </w14:textFill>
        </w:rPr>
        <w:t>基金管理公司</w:t>
      </w:r>
      <w:r>
        <w:rPr>
          <w:rFonts w:hint="eastAsia" w:ascii="仿宋_GB2312" w:hAnsi="仿宋_GB2312" w:eastAsia="仿宋_GB2312"/>
          <w:color w:val="000000" w:themeColor="text1"/>
          <w:sz w:val="32"/>
          <w:szCs w:val="32"/>
          <w14:textFill>
            <w14:solidFill>
              <w14:schemeClr w14:val="tx1"/>
            </w14:solidFill>
          </w14:textFill>
        </w:rPr>
        <w:t>，给予</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万元一次性奖励。对</w:t>
      </w:r>
      <w:r>
        <w:rPr>
          <w:rFonts w:ascii="仿宋_GB2312" w:hAnsi="仿宋_GB2312" w:eastAsia="仿宋_GB2312"/>
          <w:color w:val="000000" w:themeColor="text1"/>
          <w:sz w:val="32"/>
          <w:szCs w:val="32"/>
          <w14:textFill>
            <w14:solidFill>
              <w14:schemeClr w14:val="tx1"/>
            </w14:solidFill>
          </w14:textFill>
        </w:rPr>
        <w:t>依法完成中国证券投资基金业协会备案</w:t>
      </w:r>
      <w:r>
        <w:rPr>
          <w:rFonts w:hint="eastAsia" w:ascii="仿宋_GB2312" w:hAnsi="仿宋_GB2312" w:eastAsia="仿宋_GB2312"/>
          <w:color w:val="000000" w:themeColor="text1"/>
          <w:sz w:val="32"/>
          <w:szCs w:val="32"/>
          <w14:textFill>
            <w14:solidFill>
              <w14:schemeClr w14:val="tx1"/>
            </w14:solidFill>
          </w14:textFill>
        </w:rPr>
        <w:t>且在经开区实际经营</w:t>
      </w:r>
      <w:r>
        <w:rPr>
          <w:rFonts w:ascii="仿宋_GB2312" w:hAnsi="仿宋_GB2312" w:eastAsia="仿宋_GB2312"/>
          <w:color w:val="000000" w:themeColor="text1"/>
          <w:sz w:val="32"/>
          <w:szCs w:val="32"/>
          <w14:textFill>
            <w14:solidFill>
              <w14:schemeClr w14:val="tx1"/>
            </w14:solidFill>
          </w14:textFill>
        </w:rPr>
        <w:t>的</w:t>
      </w:r>
      <w:r>
        <w:rPr>
          <w:rFonts w:hint="eastAsia" w:ascii="仿宋_GB2312" w:hAnsi="仿宋_GB2312" w:eastAsia="仿宋_GB2312"/>
          <w:color w:val="000000" w:themeColor="text1"/>
          <w:sz w:val="32"/>
          <w:szCs w:val="32"/>
          <w14:textFill>
            <w14:solidFill>
              <w14:schemeClr w14:val="tx1"/>
            </w14:solidFill>
          </w14:textFill>
        </w:rPr>
        <w:t>QFLP基金产品，按基金产品规模实缴美元（或等值人民币）2000万美元（含）-5000万美元以下、5000万美元（含）-1亿美元、1亿美元（含）以上，分别给予一次性</w:t>
      </w:r>
      <w:r>
        <w:rPr>
          <w:rFonts w:ascii="仿宋_GB2312" w:hAnsi="仿宋_GB2312" w:eastAsia="仿宋_GB2312"/>
          <w:color w:val="000000" w:themeColor="text1"/>
          <w:sz w:val="32"/>
          <w:szCs w:val="32"/>
          <w14:textFill>
            <w14:solidFill>
              <w14:schemeClr w14:val="tx1"/>
            </w14:solidFill>
          </w14:textFill>
        </w:rPr>
        <w:t>50万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、80万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、100万元</w:t>
      </w:r>
      <w:r>
        <w:rPr>
          <w:rFonts w:hint="eastAsia" w:ascii="仿宋_GB2312" w:hAnsi="仿宋_GB2312" w:eastAsia="仿宋_GB2312"/>
          <w:color w:val="000000" w:themeColor="text1"/>
          <w:sz w:val="32"/>
          <w:szCs w:val="32"/>
          <w14:textFill>
            <w14:solidFill>
              <w14:schemeClr w14:val="tx1"/>
            </w14:solidFill>
          </w14:textFill>
        </w:rPr>
        <w:t>人民币</w:t>
      </w:r>
      <w:r>
        <w:rPr>
          <w:rFonts w:ascii="仿宋_GB2312" w:hAnsi="仿宋_GB2312" w:eastAsia="仿宋_GB2312"/>
          <w:color w:val="000000" w:themeColor="text1"/>
          <w:sz w:val="32"/>
          <w:szCs w:val="32"/>
          <w14:textFill>
            <w14:solidFill>
              <w14:schemeClr w14:val="tx1"/>
            </w14:solidFill>
          </w14:textFill>
        </w:rPr>
        <w:t>奖励。</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w:t>
      </w:r>
      <w:r>
        <w:rPr>
          <w:rFonts w:ascii="仿宋_GB2312" w:hAnsi="仿宋_GB2312" w:eastAsia="仿宋_GB2312"/>
          <w:color w:val="000000" w:themeColor="text1"/>
          <w:sz w:val="32"/>
          <w:szCs w:val="40"/>
          <w14:textFill>
            <w14:solidFill>
              <w14:schemeClr w14:val="tx1"/>
            </w14:solidFill>
          </w14:textFill>
        </w:rPr>
        <w:t>出资</w:t>
      </w:r>
      <w:r>
        <w:rPr>
          <w:rFonts w:ascii="仿宋_GB2312" w:hAnsi="仿宋_GB2312" w:eastAsia="仿宋_GB2312" w:cs="仿宋_GB2312"/>
          <w:color w:val="000000" w:themeColor="text1"/>
          <w:sz w:val="32"/>
          <w:szCs w:val="32"/>
          <w14:textFill>
            <w14:solidFill>
              <w14:schemeClr w14:val="tx1"/>
            </w14:solidFill>
          </w14:textFill>
        </w:rPr>
        <w:t>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与第十五条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14:paraId="5FB8DFA9">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（三）支持金融机构高质量发展</w:t>
      </w:r>
    </w:p>
    <w:p w14:paraId="5F401C9E">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第十三条 支持持牌法人金融机构扩大业务规模</w:t>
      </w:r>
    </w:p>
    <w:p w14:paraId="28A9C1B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引导持牌法人金融机构围绕经开区金融发展导向，加大对重大战略、重点领域支持力度，加强金融与产业深度融合发展，为区域经济高质量发展提供有力支撑。银行、汽车金融、财务公司、金融租赁等银行业法人机构（统计代码66），落户</w:t>
      </w:r>
      <w:r>
        <w:rPr>
          <w:rFonts w:hint="eastAsia" w:ascii="仿宋_GB2312" w:hAnsi="仿宋_GB2312" w:eastAsia="仿宋_GB2312"/>
          <w:color w:val="000000" w:themeColor="text1"/>
          <w:sz w:val="32"/>
          <w:szCs w:val="40"/>
          <w14:textFill>
            <w14:solidFill>
              <w14:schemeClr w14:val="tx1"/>
            </w14:solidFill>
          </w14:textFill>
        </w:rPr>
        <w:t>当年</w:t>
      </w:r>
      <w:r>
        <w:rPr>
          <w:rFonts w:hint="eastAsia" w:ascii="仿宋_GB2312" w:hAnsi="仿宋_GB2312" w:eastAsia="仿宋_GB2312"/>
          <w:color w:val="000000" w:themeColor="text1"/>
          <w:sz w:val="32"/>
          <w:szCs w:val="32"/>
          <w14:textFill>
            <w14:solidFill>
              <w14:schemeClr w14:val="tx1"/>
            </w14:solidFill>
          </w14:textFill>
        </w:rPr>
        <w:t>的营业收入达到5亿元以上且正增长的，按当年营业收入的0.5%，给予最高1000万元的一次性奖励。证券公司、公募基金、基金销售等证券业法人机构（统计代码67），落户当年的证券交易额达500亿元以上且正增长的，按当年营业收入的1%，给予最高500万元的一次性奖励。保险公司、保险经纪、保险代理等保险业法人机构（统计代码68），落户当年的保费收入规模200亿元以上且正增长的，按当年营业收入的0.5%，给予最高300万元的一次性奖励。</w:t>
      </w:r>
    </w:p>
    <w:p w14:paraId="6708049D">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第十四条 支持各类金融机构提升业务增速</w:t>
      </w:r>
    </w:p>
    <w:p w14:paraId="2772B2C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鼓励各类金融机构精准对接产业需求，创新金融产品和服务模式。畅通金融机构展业渠道，鼓励各类金融机构探索创新业务发展路径。</w:t>
      </w:r>
      <w:r>
        <w:rPr>
          <w:rFonts w:ascii="仿宋_GB2312" w:hAnsi="仿宋_GB2312" w:eastAsia="仿宋_GB2312"/>
          <w:color w:val="000000" w:themeColor="text1"/>
          <w:sz w:val="32"/>
          <w:szCs w:val="32"/>
          <w14:textFill>
            <w14:solidFill>
              <w14:schemeClr w14:val="tx1"/>
            </w14:solidFill>
          </w14:textFill>
        </w:rPr>
        <w:t>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与第三条、第八条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14:paraId="25B7B5C4">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第十五条 支持投早投小投硬科技</w:t>
      </w:r>
    </w:p>
    <w:p w14:paraId="6182738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推动发展耐心资本，</w:t>
      </w:r>
      <w:r>
        <w:rPr>
          <w:rFonts w:ascii="仿宋_GB2312" w:hAnsi="仿宋_GB2312" w:eastAsia="仿宋_GB2312"/>
          <w:color w:val="000000" w:themeColor="text1"/>
          <w:sz w:val="32"/>
          <w:szCs w:val="32"/>
          <w14:textFill>
            <w14:solidFill>
              <w14:schemeClr w14:val="tx1"/>
            </w14:solidFill>
          </w14:textFill>
        </w:rPr>
        <w:t>培育天使投资人、天使投资基金、天使+孵化等各类市场主体</w:t>
      </w:r>
      <w:r>
        <w:rPr>
          <w:rFonts w:hint="eastAsia" w:ascii="仿宋_GB2312" w:hAnsi="仿宋_GB2312" w:eastAsia="仿宋_GB2312"/>
          <w:color w:val="000000" w:themeColor="text1"/>
          <w:sz w:val="32"/>
          <w:szCs w:val="32"/>
          <w14:textFill>
            <w14:solidFill>
              <w14:schemeClr w14:val="tx1"/>
            </w14:solidFill>
          </w14:textFill>
        </w:rPr>
        <w:t>。鼓励加大投早、投小、投长期、投硬科技，长期支持陪伴科技创新企业成长壮大。鼓励</w:t>
      </w:r>
      <w:r>
        <w:rPr>
          <w:rFonts w:ascii="仿宋_GB2312" w:hAnsi="仿宋_GB2312" w:eastAsia="仿宋_GB2312"/>
          <w:color w:val="000000" w:themeColor="text1"/>
          <w:sz w:val="32"/>
          <w:szCs w:val="32"/>
          <w14:textFill>
            <w14:solidFill>
              <w14:schemeClr w14:val="tx1"/>
            </w14:solidFill>
          </w14:textFill>
        </w:rPr>
        <w:t>风投创投机构</w:t>
      </w:r>
      <w:r>
        <w:rPr>
          <w:rFonts w:hint="eastAsia" w:ascii="仿宋_GB2312" w:hAnsi="仿宋_GB2312" w:eastAsia="仿宋_GB2312"/>
          <w:color w:val="000000" w:themeColor="text1"/>
          <w:sz w:val="32"/>
          <w:szCs w:val="32"/>
          <w14:textFill>
            <w14:solidFill>
              <w14:schemeClr w14:val="tx1"/>
            </w14:solidFill>
          </w14:textFill>
        </w:rPr>
        <w:t>投资初创型企业，自投资划款之日起满</w:t>
      </w:r>
      <w:r>
        <w:rPr>
          <w:rFonts w:ascii="仿宋_GB2312" w:hAnsi="仿宋_GB2312" w:eastAsia="仿宋_GB2312"/>
          <w:color w:val="000000" w:themeColor="text1"/>
          <w:sz w:val="32"/>
          <w:szCs w:val="32"/>
          <w14:textFill>
            <w14:solidFill>
              <w14:schemeClr w14:val="tx1"/>
            </w14:solidFill>
          </w14:textFill>
        </w:rPr>
        <w:t>2年的</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olor w:val="000000" w:themeColor="text1"/>
          <w:sz w:val="32"/>
          <w:szCs w:val="32"/>
          <w14:textFill>
            <w14:solidFill>
              <w14:schemeClr w14:val="tx1"/>
            </w14:solidFill>
          </w14:textFill>
        </w:rPr>
        <w:t>划款日在政策有效期内的，兑现期直至满2年止）</w:t>
      </w:r>
      <w:r>
        <w:rPr>
          <w:rFonts w:ascii="仿宋_GB2312" w:hAnsi="仿宋_GB2312" w:eastAsia="仿宋_GB2312"/>
          <w:color w:val="000000" w:themeColor="text1"/>
          <w:sz w:val="32"/>
          <w:szCs w:val="32"/>
          <w14:textFill>
            <w14:solidFill>
              <w14:schemeClr w14:val="tx1"/>
            </w14:solidFill>
          </w14:textFill>
        </w:rPr>
        <w:t>，</w:t>
      </w:r>
      <w:bookmarkStart w:id="2" w:name="_Hlk184582472"/>
      <w:r>
        <w:rPr>
          <w:rFonts w:hint="eastAsia" w:ascii="仿宋_GB2312" w:hAnsi="仿宋_GB2312" w:eastAsia="仿宋_GB2312"/>
          <w:color w:val="000000" w:themeColor="text1"/>
          <w:sz w:val="32"/>
          <w:szCs w:val="32"/>
          <w14:textFill>
            <w14:solidFill>
              <w14:schemeClr w14:val="tx1"/>
            </w14:solidFill>
          </w14:textFill>
        </w:rPr>
        <w:t>经评定，</w:t>
      </w:r>
      <w:bookmarkEnd w:id="2"/>
      <w:r>
        <w:rPr>
          <w:rFonts w:hint="eastAsia" w:ascii="仿宋_GB2312" w:hAnsi="仿宋_GB2312" w:eastAsia="仿宋_GB2312" w:cs="仿宋_GB2312"/>
          <w:color w:val="000000" w:themeColor="text1"/>
          <w:sz w:val="32"/>
          <w:szCs w:val="32"/>
          <w14:textFill>
            <w14:solidFill>
              <w14:schemeClr w14:val="tx1"/>
            </w14:solidFill>
          </w14:textFill>
        </w:rPr>
        <w:t>对实体企业带动作用较强的</w:t>
      </w:r>
      <w:r>
        <w:rPr>
          <w:rFonts w:hint="eastAsia" w:ascii="仿宋_GB2312" w:hAnsi="仿宋_GB2312" w:eastAsia="仿宋_GB2312"/>
          <w:color w:val="000000" w:themeColor="text1"/>
          <w:sz w:val="32"/>
          <w:szCs w:val="32"/>
          <w14:textFill>
            <w14:solidFill>
              <w14:schemeClr w14:val="tx1"/>
            </w14:solidFill>
          </w14:textFill>
        </w:rPr>
        <w:t>，按</w:t>
      </w:r>
      <w:r>
        <w:rPr>
          <w:rFonts w:ascii="仿宋_GB2312" w:hAnsi="仿宋_GB2312" w:eastAsia="仿宋_GB2312"/>
          <w:color w:val="000000" w:themeColor="text1"/>
          <w:sz w:val="32"/>
          <w:szCs w:val="32"/>
          <w14:textFill>
            <w14:solidFill>
              <w14:schemeClr w14:val="tx1"/>
            </w14:solidFill>
          </w14:textFill>
        </w:rPr>
        <w:t>照实际投资金额的2%（仅限首次投资）给予管理企业单个项目最高</w:t>
      </w:r>
      <w:r>
        <w:rPr>
          <w:rFonts w:hint="eastAsia" w:ascii="仿宋_GB2312" w:hAnsi="仿宋_GB2312" w:eastAsia="仿宋_GB2312"/>
          <w:color w:val="000000" w:themeColor="text1"/>
          <w:sz w:val="32"/>
          <w:szCs w:val="32"/>
          <w14:textFill>
            <w14:solidFill>
              <w14:schemeClr w14:val="tx1"/>
            </w14:solidFill>
          </w14:textFill>
        </w:rPr>
        <w:t>50</w:t>
      </w:r>
      <w:r>
        <w:rPr>
          <w:rFonts w:ascii="仿宋_GB2312" w:hAnsi="仿宋_GB2312" w:eastAsia="仿宋_GB2312"/>
          <w:color w:val="000000" w:themeColor="text1"/>
          <w:sz w:val="32"/>
          <w:szCs w:val="32"/>
          <w14:textFill>
            <w14:solidFill>
              <w14:schemeClr w14:val="tx1"/>
            </w14:solidFill>
          </w14:textFill>
        </w:rPr>
        <w:t>万元奖励。每家机构每年累计奖励金额</w:t>
      </w:r>
      <w:r>
        <w:rPr>
          <w:rFonts w:hint="eastAsia" w:ascii="仿宋_GB2312" w:hAnsi="仿宋_GB2312" w:eastAsia="仿宋_GB2312"/>
          <w:color w:val="000000" w:themeColor="text1"/>
          <w:sz w:val="32"/>
          <w:szCs w:val="32"/>
          <w14:textFill>
            <w14:solidFill>
              <w14:schemeClr w14:val="tx1"/>
            </w14:solidFill>
          </w14:textFill>
        </w:rPr>
        <w:t>最高</w:t>
      </w:r>
      <w:r>
        <w:rPr>
          <w:rFonts w:ascii="仿宋_GB2312" w:hAnsi="仿宋_GB2312" w:eastAsia="仿宋_GB2312"/>
          <w:color w:val="000000" w:themeColor="text1"/>
          <w:sz w:val="32"/>
          <w:szCs w:val="32"/>
          <w14:textFill>
            <w14:solidFill>
              <w14:schemeClr w14:val="tx1"/>
            </w14:solidFill>
          </w14:textFill>
        </w:rPr>
        <w:t>不超过2</w:t>
      </w:r>
      <w:r>
        <w:rPr>
          <w:rFonts w:hint="eastAsia" w:ascii="仿宋_GB2312" w:hAnsi="仿宋_GB2312" w:eastAsia="仿宋_GB2312"/>
          <w:color w:val="000000" w:themeColor="text1"/>
          <w:sz w:val="32"/>
          <w:szCs w:val="32"/>
          <w14:textFill>
            <w14:solidFill>
              <w14:schemeClr w14:val="tx1"/>
            </w14:solidFill>
          </w14:textFill>
        </w:rPr>
        <w:t>00</w:t>
      </w:r>
      <w:r>
        <w:rPr>
          <w:rFonts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50C4A37">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第十六条 支持创新“并购+”组合融资服务</w:t>
      </w:r>
    </w:p>
    <w:p w14:paraId="27896E9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支持符合国家战略导向、突破关键核心技术、符合新质生产力发展方向的企业开展并购重组</w:t>
      </w:r>
      <w:r>
        <w:rPr>
          <w:rFonts w:hint="eastAsia" w:ascii="仿宋_GB2312" w:hAnsi="仿宋_GB2312" w:eastAsia="仿宋_GB2312"/>
          <w:color w:val="000000" w:themeColor="text1"/>
          <w:sz w:val="32"/>
          <w:szCs w:val="32"/>
          <w14:textFill>
            <w14:solidFill>
              <w14:schemeClr w14:val="tx1"/>
            </w14:solidFill>
          </w14:textFill>
        </w:rPr>
        <w:t>。鼓励金融机构为并购重组及后续运营提供并购贷款、并购保险、并购债券等金融工具，丰富并购重组融资渠道。</w:t>
      </w:r>
      <w:r>
        <w:rPr>
          <w:rFonts w:ascii="仿宋_GB2312" w:hAnsi="仿宋_GB2312" w:eastAsia="仿宋_GB2312"/>
          <w:color w:val="000000" w:themeColor="text1"/>
          <w:sz w:val="32"/>
          <w:szCs w:val="32"/>
          <w14:textFill>
            <w14:solidFill>
              <w14:schemeClr w14:val="tx1"/>
            </w14:solidFill>
          </w14:textFill>
        </w:rPr>
        <w:t>支持有能力的产业链“链主”企业开展企业风险投资（CVC）。</w:t>
      </w:r>
      <w:r>
        <w:rPr>
          <w:rFonts w:hint="eastAsia" w:ascii="仿宋_GB2312" w:hAnsi="仿宋_GB2312" w:eastAsia="仿宋_GB2312"/>
          <w:color w:val="000000" w:themeColor="text1"/>
          <w:sz w:val="32"/>
          <w:szCs w:val="32"/>
          <w14:textFill>
            <w14:solidFill>
              <w14:schemeClr w14:val="tx1"/>
            </w14:solidFill>
          </w14:textFill>
        </w:rPr>
        <w:t>支持上市公司开展并购业务，</w:t>
      </w:r>
      <w:r>
        <w:rPr>
          <w:rFonts w:ascii="仿宋_GB2312" w:hAnsi="仿宋_GB2312" w:eastAsia="仿宋_GB2312"/>
          <w:color w:val="000000" w:themeColor="text1"/>
          <w:sz w:val="32"/>
          <w:szCs w:val="32"/>
          <w14:textFill>
            <w14:solidFill>
              <w14:schemeClr w14:val="tx1"/>
            </w14:solidFill>
          </w14:textFill>
        </w:rPr>
        <w:t>并购投资1亿元以上且与银行签订并购贷款合同的</w:t>
      </w:r>
      <w:r>
        <w:rPr>
          <w:rFonts w:hint="eastAsia" w:ascii="仿宋_GB2312" w:hAnsi="仿宋_GB2312" w:eastAsia="仿宋_GB2312"/>
          <w:color w:val="000000" w:themeColor="text1"/>
          <w:sz w:val="32"/>
          <w:szCs w:val="32"/>
          <w14:textFill>
            <w14:solidFill>
              <w14:schemeClr w14:val="tx1"/>
            </w14:solidFill>
          </w14:textFill>
        </w:rPr>
        <w:t>上市公司，按实际</w:t>
      </w:r>
      <w:r>
        <w:rPr>
          <w:rFonts w:ascii="仿宋_GB2312" w:hAnsi="仿宋_GB2312" w:eastAsia="仿宋_GB2312"/>
          <w:color w:val="000000" w:themeColor="text1"/>
          <w:sz w:val="32"/>
          <w:szCs w:val="32"/>
          <w14:textFill>
            <w14:solidFill>
              <w14:schemeClr w14:val="tx1"/>
            </w14:solidFill>
          </w14:textFill>
        </w:rPr>
        <w:t>支付利息的25%给予贴息支持。单户企业每年最高</w:t>
      </w:r>
      <w:r>
        <w:rPr>
          <w:rFonts w:hint="eastAsia" w:ascii="仿宋_GB2312" w:hAnsi="仿宋_GB2312" w:eastAsia="仿宋_GB2312"/>
          <w:color w:val="000000" w:themeColor="text1"/>
          <w:sz w:val="32"/>
          <w:szCs w:val="32"/>
          <w14:textFill>
            <w14:solidFill>
              <w14:schemeClr w14:val="tx1"/>
            </w14:solidFill>
          </w14:textFill>
        </w:rPr>
        <w:t>支持金额</w:t>
      </w:r>
      <w:r>
        <w:rPr>
          <w:rFonts w:ascii="仿宋_GB2312" w:hAnsi="仿宋_GB2312" w:eastAsia="仿宋_GB2312"/>
          <w:color w:val="000000" w:themeColor="text1"/>
          <w:sz w:val="32"/>
          <w:szCs w:val="32"/>
          <w14:textFill>
            <w14:solidFill>
              <w14:schemeClr w14:val="tx1"/>
            </w14:solidFill>
          </w14:textFill>
        </w:rPr>
        <w:t>300万元</w:t>
      </w:r>
      <w:r>
        <w:rPr>
          <w:rFonts w:hint="eastAsia" w:ascii="仿宋_GB2312" w:hAnsi="仿宋_GB2312" w:eastAsia="仿宋_GB2312"/>
          <w:color w:val="000000" w:themeColor="text1"/>
          <w:sz w:val="32"/>
          <w:szCs w:val="32"/>
          <w14:textFill>
            <w14:solidFill>
              <w14:schemeClr w14:val="tx1"/>
            </w14:solidFill>
          </w14:textFill>
        </w:rPr>
        <w:t>。</w:t>
      </w:r>
    </w:p>
    <w:p w14:paraId="38F485D9">
      <w:pPr>
        <w:pStyle w:val="6"/>
        <w:pageBreakBefore w:val="0"/>
        <w:widowControl w:val="0"/>
        <w:kinsoku/>
        <w:wordWrap/>
        <w:overflowPunct/>
        <w:topLinePunct w:val="0"/>
        <w:autoSpaceDE/>
        <w:autoSpaceDN/>
        <w:bidi w:val="0"/>
        <w:adjustRightInd/>
        <w:snapToGrid/>
        <w:spacing w:before="0" w:after="0"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（四）优化金融发展生态环境</w:t>
      </w:r>
    </w:p>
    <w:p w14:paraId="2C9702BA">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olor w:val="000000" w:themeColor="text1"/>
          <w:szCs w:val="40"/>
          <w14:textFill>
            <w14:solidFill>
              <w14:schemeClr w14:val="tx1"/>
            </w14:solidFill>
          </w14:textFill>
        </w:rPr>
      </w:pPr>
      <w:r>
        <w:rPr>
          <w:rFonts w:hint="eastAsia"/>
          <w:color w:val="000000" w:themeColor="text1"/>
          <w14:textFill>
            <w14:solidFill>
              <w14:schemeClr w14:val="tx1"/>
            </w14:solidFill>
          </w14:textFill>
        </w:rPr>
        <w:t>第十七条 支持引进</w:t>
      </w:r>
      <w:r>
        <w:rPr>
          <w:color w:val="000000" w:themeColor="text1"/>
          <w14:textFill>
            <w14:solidFill>
              <w14:schemeClr w14:val="tx1"/>
            </w14:solidFill>
          </w14:textFill>
        </w:rPr>
        <w:t>金融人才</w:t>
      </w:r>
    </w:p>
    <w:p w14:paraId="64B41C7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支持金融领域人才申报亦城人才认定，对经认定的人才创新创业提供资源要素体系支撑和高品质生活服务保障并实施专项奖励。</w:t>
      </w:r>
    </w:p>
    <w:p w14:paraId="3365E79D">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第十八条 推动产业金融创新发展区</w:t>
      </w:r>
      <w:r>
        <w:rPr>
          <w:rFonts w:hint="eastAsia" w:ascii="仿宋_GB2312" w:hAnsi="楷体" w:cs="楷体"/>
          <w:color w:val="000000" w:themeColor="text1"/>
          <w14:textFill>
            <w14:solidFill>
              <w14:schemeClr w14:val="tx1"/>
            </w14:solidFill>
          </w14:textFill>
        </w:rPr>
        <w:t>建设</w:t>
      </w:r>
    </w:p>
    <w:p w14:paraId="7895A11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挂牌2</w:t>
      </w:r>
      <w:r>
        <w:rPr>
          <w:rFonts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color w:val="000000" w:themeColor="text1"/>
          <w:sz w:val="32"/>
          <w:szCs w:val="40"/>
          <w14:textFill>
            <w14:solidFill>
              <w14:schemeClr w14:val="tx1"/>
            </w14:solidFill>
          </w14:textFill>
        </w:rPr>
        <w:t>家金融产业园，</w:t>
      </w:r>
      <w:r>
        <w:rPr>
          <w:rFonts w:ascii="仿宋_GB2312" w:hAnsi="仿宋_GB2312" w:eastAsia="仿宋_GB2312"/>
          <w:color w:val="000000" w:themeColor="text1"/>
          <w:sz w:val="32"/>
          <w:szCs w:val="40"/>
          <w14:textFill>
            <w14:solidFill>
              <w14:schemeClr w14:val="tx1"/>
            </w14:solidFill>
          </w14:textFill>
        </w:rPr>
        <w:t>推动各类持牌金融机构、创投资本机构、科技金融企业集聚发展，</w:t>
      </w:r>
      <w:r>
        <w:rPr>
          <w:rFonts w:hint="eastAsia" w:ascii="仿宋_GB2312" w:hAnsi="仿宋_GB2312" w:eastAsia="仿宋_GB2312"/>
          <w:color w:val="000000" w:themeColor="text1"/>
          <w:sz w:val="32"/>
          <w:szCs w:val="40"/>
          <w14:textFill>
            <w14:solidFill>
              <w14:schemeClr w14:val="tx1"/>
            </w14:solidFill>
          </w14:textFill>
        </w:rPr>
        <w:t>强化</w:t>
      </w:r>
      <w:r>
        <w:rPr>
          <w:rFonts w:ascii="仿宋_GB2312" w:hAnsi="仿宋_GB2312" w:eastAsia="仿宋_GB2312"/>
          <w:color w:val="000000" w:themeColor="text1"/>
          <w:sz w:val="32"/>
          <w:szCs w:val="40"/>
          <w14:textFill>
            <w14:solidFill>
              <w14:schemeClr w14:val="tx1"/>
            </w14:solidFill>
          </w14:textFill>
        </w:rPr>
        <w:t>产业金融创新发展区</w:t>
      </w:r>
      <w:r>
        <w:rPr>
          <w:rFonts w:hint="eastAsia" w:ascii="仿宋_GB2312" w:hAnsi="仿宋_GB2312" w:eastAsia="仿宋_GB2312"/>
          <w:color w:val="000000" w:themeColor="text1"/>
          <w:sz w:val="32"/>
          <w:szCs w:val="40"/>
          <w14:textFill>
            <w14:solidFill>
              <w14:schemeClr w14:val="tx1"/>
            </w14:solidFill>
          </w14:textFill>
        </w:rPr>
        <w:t>载体支撑</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探索成立经开区金融服务联盟，提供一体化金融服务</w:t>
      </w:r>
      <w:r>
        <w:rPr>
          <w:rFonts w:ascii="仿宋_GB2312" w:hAnsi="仿宋_GB2312" w:eastAsia="仿宋_GB2312"/>
          <w:color w:val="000000" w:themeColor="text1"/>
          <w:sz w:val="32"/>
          <w:szCs w:val="40"/>
          <w14:textFill>
            <w14:solidFill>
              <w14:schemeClr w14:val="tx1"/>
            </w14:solidFill>
          </w14:textFill>
        </w:rPr>
        <w:t>。加强金融领域数据资源开发利用，探索开展金融行业数据空间建设</w:t>
      </w:r>
      <w:r>
        <w:rPr>
          <w:rFonts w:hint="eastAsia" w:ascii="仿宋_GB2312" w:hAnsi="仿宋_GB2312" w:eastAsia="仿宋_GB2312"/>
          <w:color w:val="000000" w:themeColor="text1"/>
          <w:sz w:val="32"/>
          <w:szCs w:val="40"/>
          <w14:textFill>
            <w14:solidFill>
              <w14:schemeClr w14:val="tx1"/>
            </w14:solidFill>
          </w14:textFill>
        </w:rPr>
        <w:t>。支持</w:t>
      </w:r>
      <w:r>
        <w:rPr>
          <w:rFonts w:ascii="仿宋_GB2312" w:hAnsi="仿宋_GB2312" w:eastAsia="仿宋_GB2312"/>
          <w:color w:val="000000" w:themeColor="text1"/>
          <w:sz w:val="32"/>
          <w:szCs w:val="40"/>
          <w14:textFill>
            <w14:solidFill>
              <w14:schemeClr w14:val="tx1"/>
            </w14:solidFill>
          </w14:textFill>
        </w:rPr>
        <w:t>数据要素产业生态聚集</w:t>
      </w:r>
      <w:r>
        <w:rPr>
          <w:rFonts w:hint="eastAsia" w:ascii="仿宋_GB2312" w:hAnsi="仿宋_GB2312" w:eastAsia="仿宋_GB2312"/>
          <w:color w:val="000000" w:themeColor="text1"/>
          <w:sz w:val="32"/>
          <w:szCs w:val="40"/>
          <w14:textFill>
            <w14:solidFill>
              <w14:schemeClr w14:val="tx1"/>
            </w14:solidFill>
          </w14:textFill>
        </w:rPr>
        <w:t>，助力全市</w:t>
      </w:r>
      <w:r>
        <w:rPr>
          <w:rFonts w:ascii="仿宋_GB2312" w:hAnsi="仿宋_GB2312" w:eastAsia="仿宋_GB2312"/>
          <w:color w:val="000000" w:themeColor="text1"/>
          <w:sz w:val="32"/>
          <w:szCs w:val="40"/>
          <w14:textFill>
            <w14:solidFill>
              <w14:schemeClr w14:val="tx1"/>
            </w14:solidFill>
          </w14:textFill>
        </w:rPr>
        <w:t>数据基础制度先行区</w:t>
      </w:r>
      <w:r>
        <w:rPr>
          <w:rFonts w:hint="eastAsia" w:ascii="仿宋_GB2312" w:hAnsi="仿宋_GB2312" w:eastAsia="仿宋_GB2312"/>
          <w:color w:val="000000" w:themeColor="text1"/>
          <w:sz w:val="32"/>
          <w:szCs w:val="40"/>
          <w14:textFill>
            <w14:solidFill>
              <w14:schemeClr w14:val="tx1"/>
            </w14:solidFill>
          </w14:textFill>
        </w:rPr>
        <w:t>建设。</w:t>
      </w:r>
    </w:p>
    <w:p w14:paraId="7A74A173">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第十九条</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强化金融资源统筹能力</w:t>
      </w:r>
    </w:p>
    <w:p w14:paraId="346EFD6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联动各类金融机构，梳理企业融资需求，发挥经开区金融综合服务平台、畅融工程、千企万户大走访等机制作用，全年组织开展不少于20场次投融资对接会。充分发挥市区联动和服务企业上市机制的保障作用，深挖上市资源，持续做好多层次上市</w:t>
      </w:r>
      <w:r>
        <w:rPr>
          <w:rFonts w:ascii="仿宋_GB2312" w:hAnsi="仿宋_GB2312" w:eastAsia="仿宋_GB2312"/>
          <w:color w:val="000000" w:themeColor="text1"/>
          <w:sz w:val="32"/>
          <w:szCs w:val="40"/>
          <w14:textFill>
            <w14:solidFill>
              <w14:schemeClr w14:val="tx1"/>
            </w14:solidFill>
          </w14:textFill>
        </w:rPr>
        <w:t>企业梯队</w:t>
      </w:r>
      <w:r>
        <w:rPr>
          <w:rFonts w:hint="eastAsia" w:ascii="仿宋_GB2312" w:hAnsi="仿宋_GB2312" w:eastAsia="仿宋_GB2312"/>
          <w:color w:val="000000" w:themeColor="text1"/>
          <w:sz w:val="32"/>
          <w:szCs w:val="40"/>
          <w14:textFill>
            <w14:solidFill>
              <w14:schemeClr w14:val="tx1"/>
            </w14:solidFill>
          </w14:textFill>
        </w:rPr>
        <w:t>建设。</w:t>
      </w:r>
    </w:p>
    <w:p w14:paraId="2BC35A13">
      <w:pPr>
        <w:pStyle w:val="7"/>
        <w:pageBreakBefore w:val="0"/>
        <w:widowControl w:val="0"/>
        <w:kinsoku/>
        <w:wordWrap/>
        <w:overflowPunct/>
        <w:topLinePunct w:val="0"/>
        <w:autoSpaceDE/>
        <w:autoSpaceDN/>
        <w:bidi w:val="0"/>
        <w:adjustRightInd/>
        <w:snapToGrid/>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第二十条 增强金融风险防控能力</w:t>
      </w:r>
    </w:p>
    <w:p w14:paraId="177A43C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强化金融风险监测预警能力，迭代升级风险监测预警平台</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建立金融风险报告制度</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做好地方金融组织现场检查工作，压实主体责任。开展风险隐患排查</w:t>
      </w:r>
      <w:r>
        <w:rPr>
          <w:rFonts w:hint="eastAsia" w:ascii="仿宋_GB2312" w:hAnsi="仿宋_GB2312" w:eastAsia="仿宋_GB2312"/>
          <w:color w:val="000000" w:themeColor="text1"/>
          <w:sz w:val="32"/>
          <w:szCs w:val="40"/>
          <w14:textFill>
            <w14:solidFill>
              <w14:schemeClr w14:val="tx1"/>
            </w14:solidFill>
          </w14:textFill>
        </w:rPr>
        <w:t>工作</w:t>
      </w:r>
      <w:r>
        <w:rPr>
          <w:rFonts w:ascii="仿宋_GB2312" w:hAnsi="仿宋_GB2312" w:eastAsia="仿宋_GB2312"/>
          <w:color w:val="000000" w:themeColor="text1"/>
          <w:sz w:val="32"/>
          <w:szCs w:val="40"/>
          <w14:textFill>
            <w14:solidFill>
              <w14:schemeClr w14:val="tx1"/>
            </w14:solidFill>
          </w14:textFill>
        </w:rPr>
        <w:t>，稳妥推进风险企业核查处置</w:t>
      </w:r>
      <w:r>
        <w:rPr>
          <w:rFonts w:hint="eastAsia" w:ascii="仿宋_GB2312" w:hAnsi="仿宋_GB2312" w:eastAsia="仿宋_GB2312"/>
          <w:color w:val="000000" w:themeColor="text1"/>
          <w:sz w:val="32"/>
          <w:szCs w:val="40"/>
          <w14:textFill>
            <w14:solidFill>
              <w14:schemeClr w14:val="tx1"/>
            </w14:solidFill>
          </w14:textFill>
        </w:rPr>
        <w:t>。</w:t>
      </w:r>
    </w:p>
    <w:p w14:paraId="59AD8FE3">
      <w:pPr>
        <w:pStyle w:val="12"/>
        <w:spacing w:after="0" w:line="600" w:lineRule="exact"/>
        <w:ind w:left="0" w:leftChars="0" w:firstLine="640"/>
        <w:jc w:val="right"/>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北京经济技术开发区管理委员会</w:t>
      </w:r>
    </w:p>
    <w:p w14:paraId="1108BF09">
      <w:pPr>
        <w:pStyle w:val="12"/>
        <w:spacing w:after="0" w:line="600" w:lineRule="exact"/>
        <w:ind w:left="0" w:leftChars="0" w:firstLine="640"/>
        <w:jc w:val="center"/>
        <w:rPr>
          <w:rFonts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 xml:space="preserve">                    202</w:t>
      </w:r>
      <w:r>
        <w:rPr>
          <w:rFonts w:hint="eastAsia" w:ascii="仿宋_GB2312" w:hAnsi="仿宋_GB2312" w:eastAsia="仿宋_GB2312"/>
          <w:color w:val="000000" w:themeColor="text1"/>
          <w:sz w:val="32"/>
          <w:szCs w:val="40"/>
          <w:lang w:val="en-US" w:eastAsia="zh-CN"/>
          <w14:textFill>
            <w14:solidFill>
              <w14:schemeClr w14:val="tx1"/>
            </w14:solidFill>
          </w14:textFill>
        </w:rPr>
        <w:t>4</w:t>
      </w:r>
      <w:r>
        <w:rPr>
          <w:rFonts w:hint="eastAsia" w:ascii="仿宋_GB2312" w:hAnsi="仿宋_GB2312" w:eastAsia="仿宋_GB2312"/>
          <w:color w:val="000000" w:themeColor="text1"/>
          <w:sz w:val="32"/>
          <w:szCs w:val="40"/>
          <w14:textFill>
            <w14:solidFill>
              <w14:schemeClr w14:val="tx1"/>
            </w14:solidFill>
          </w14:textFill>
        </w:rPr>
        <w:t>年</w:t>
      </w:r>
      <w:r>
        <w:rPr>
          <w:rFonts w:ascii="仿宋_GB2312" w:hAnsi="仿宋_GB2312" w:eastAsia="仿宋_GB2312"/>
          <w:color w:val="000000" w:themeColor="text1"/>
          <w:sz w:val="32"/>
          <w:szCs w:val="40"/>
          <w14:textFill>
            <w14:solidFill>
              <w14:schemeClr w14:val="tx1"/>
            </w14:solidFill>
          </w14:textFill>
        </w:rPr>
        <w:t>12</w:t>
      </w:r>
      <w:r>
        <w:rPr>
          <w:rFonts w:hint="eastAsia" w:ascii="仿宋_GB2312" w:hAnsi="仿宋_GB2312" w:eastAsia="仿宋_GB2312"/>
          <w:color w:val="000000" w:themeColor="text1"/>
          <w:sz w:val="32"/>
          <w:szCs w:val="40"/>
          <w14:textFill>
            <w14:solidFill>
              <w14:schemeClr w14:val="tx1"/>
            </w14:solidFill>
          </w14:textFill>
        </w:rPr>
        <w:t>月</w:t>
      </w:r>
      <w:r>
        <w:rPr>
          <w:rFonts w:hint="eastAsia" w:ascii="仿宋_GB2312" w:hAnsi="仿宋_GB2312" w:eastAsia="仿宋_GB2312"/>
          <w:color w:val="000000" w:themeColor="text1"/>
          <w:sz w:val="32"/>
          <w:szCs w:val="40"/>
          <w:lang w:val="en-US" w:eastAsia="zh-CN"/>
          <w14:textFill>
            <w14:solidFill>
              <w14:schemeClr w14:val="tx1"/>
            </w14:solidFill>
          </w14:textFill>
        </w:rPr>
        <w:t>13</w:t>
      </w:r>
      <w:r>
        <w:rPr>
          <w:rFonts w:hint="eastAsia" w:ascii="仿宋_GB2312" w:hAnsi="仿宋_GB2312" w:eastAsia="仿宋_GB2312"/>
          <w:color w:val="000000" w:themeColor="text1"/>
          <w:sz w:val="32"/>
          <w:szCs w:val="40"/>
          <w14:textFill>
            <w14:solidFill>
              <w14:schemeClr w14:val="tx1"/>
            </w14:solidFill>
          </w14:textFill>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350446"/>
      <w:docPartObj>
        <w:docPartGallery w:val="autotext"/>
      </w:docPartObj>
    </w:sdtPr>
    <w:sdtContent>
      <w:p w14:paraId="2D7259DD">
        <w:pPr>
          <w:pStyle w:val="9"/>
          <w:jc w:val="center"/>
        </w:pPr>
        <w:r>
          <w:fldChar w:fldCharType="begin"/>
        </w:r>
        <w:r>
          <w:instrText xml:space="preserve">PAGE   \* MERGEFORMAT</w:instrText>
        </w:r>
        <w:r>
          <w:fldChar w:fldCharType="separate"/>
        </w:r>
        <w:r>
          <w:rPr>
            <w:lang w:val="zh-CN"/>
          </w:rPr>
          <w:t>2</w:t>
        </w:r>
        <w:r>
          <w:fldChar w:fldCharType="end"/>
        </w:r>
      </w:p>
    </w:sdtContent>
  </w:sdt>
  <w:p w14:paraId="4CF7AF7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0043246C"/>
    <w:rsid w:val="0000785F"/>
    <w:rsid w:val="00072C8B"/>
    <w:rsid w:val="0007738B"/>
    <w:rsid w:val="001823EB"/>
    <w:rsid w:val="001B3F90"/>
    <w:rsid w:val="001D185E"/>
    <w:rsid w:val="001E45D2"/>
    <w:rsid w:val="00212E02"/>
    <w:rsid w:val="0023281E"/>
    <w:rsid w:val="002667C3"/>
    <w:rsid w:val="0029632D"/>
    <w:rsid w:val="00361980"/>
    <w:rsid w:val="00415512"/>
    <w:rsid w:val="0043246C"/>
    <w:rsid w:val="004726DE"/>
    <w:rsid w:val="00603295"/>
    <w:rsid w:val="00703157"/>
    <w:rsid w:val="00771DD8"/>
    <w:rsid w:val="007A1DC3"/>
    <w:rsid w:val="007C70BA"/>
    <w:rsid w:val="00911016"/>
    <w:rsid w:val="00961670"/>
    <w:rsid w:val="009C23A4"/>
    <w:rsid w:val="009D2B91"/>
    <w:rsid w:val="00AA1A15"/>
    <w:rsid w:val="00BC69AF"/>
    <w:rsid w:val="00BF5AD2"/>
    <w:rsid w:val="00C52ABA"/>
    <w:rsid w:val="00C53CC0"/>
    <w:rsid w:val="00D26C64"/>
    <w:rsid w:val="00D61548"/>
    <w:rsid w:val="00D63020"/>
    <w:rsid w:val="1EF4977F"/>
    <w:rsid w:val="32FEE870"/>
    <w:rsid w:val="36092A88"/>
    <w:rsid w:val="3B9FE5B9"/>
    <w:rsid w:val="3BB7337B"/>
    <w:rsid w:val="4E6EB814"/>
    <w:rsid w:val="6C6FCDDE"/>
    <w:rsid w:val="6DDBA366"/>
    <w:rsid w:val="76DF7B5C"/>
    <w:rsid w:val="775BF5F8"/>
    <w:rsid w:val="779A1185"/>
    <w:rsid w:val="79E22821"/>
    <w:rsid w:val="7AD3CFC2"/>
    <w:rsid w:val="7DCF389F"/>
    <w:rsid w:val="7EDD8846"/>
    <w:rsid w:val="7F0F38A9"/>
    <w:rsid w:val="7F7B741F"/>
    <w:rsid w:val="7F7F6A34"/>
    <w:rsid w:val="7F9FBD84"/>
    <w:rsid w:val="9DBD8AF1"/>
    <w:rsid w:val="BD7FE0E4"/>
    <w:rsid w:val="BDFFB713"/>
    <w:rsid w:val="DFBF0055"/>
    <w:rsid w:val="EF7E7C6F"/>
    <w:rsid w:val="F5BD18C4"/>
    <w:rsid w:val="F66B1732"/>
    <w:rsid w:val="F6FDB15A"/>
    <w:rsid w:val="F733FB10"/>
    <w:rsid w:val="F9792BA9"/>
    <w:rsid w:val="F9BE8E4E"/>
    <w:rsid w:val="FBAF0654"/>
    <w:rsid w:val="FBDF1293"/>
    <w:rsid w:val="FBFD21EA"/>
    <w:rsid w:val="FBFFEAD2"/>
    <w:rsid w:val="FEA745D0"/>
    <w:rsid w:val="FFDDD87A"/>
    <w:rsid w:val="FFE67165"/>
    <w:rsid w:val="FFF54C18"/>
    <w:rsid w:val="FFFF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9"/>
    <w:pPr>
      <w:keepNext/>
      <w:keepLines/>
      <w:spacing w:line="360" w:lineRule="auto"/>
      <w:ind w:firstLine="200" w:firstLineChars="200"/>
      <w:outlineLvl w:val="2"/>
    </w:pPr>
    <w:rPr>
      <w:rFonts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8">
    <w:name w:val="Body Text Indent"/>
    <w:basedOn w:val="1"/>
    <w:link w:val="20"/>
    <w:semiHidden/>
    <w:unhideWhenUsed/>
    <w:qFormat/>
    <w:uiPriority w:val="99"/>
    <w:pPr>
      <w:spacing w:after="120"/>
      <w:ind w:left="420" w:leftChars="20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8"/>
    <w:next w:val="1"/>
    <w:link w:val="21"/>
    <w:qFormat/>
    <w:uiPriority w:val="99"/>
    <w:pPr>
      <w:ind w:firstLine="1120" w:firstLineChars="200"/>
    </w:pPr>
    <w:rPr>
      <w:rFonts w:ascii="Times New Roman" w:hAnsi="Times New Roman" w:eastAsia="Arial Unicode MS" w:cs="Arial Unicode MS"/>
      <w:color w:val="000000"/>
      <w:szCs w:val="21"/>
    </w:rPr>
  </w:style>
  <w:style w:type="character" w:customStyle="1" w:styleId="15">
    <w:name w:val="页眉 字符"/>
    <w:basedOn w:val="14"/>
    <w:link w:val="10"/>
    <w:qFormat/>
    <w:uiPriority w:val="99"/>
    <w:rPr>
      <w:sz w:val="18"/>
      <w:szCs w:val="18"/>
    </w:rPr>
  </w:style>
  <w:style w:type="character" w:customStyle="1" w:styleId="16">
    <w:name w:val="页脚 字符"/>
    <w:basedOn w:val="14"/>
    <w:link w:val="9"/>
    <w:qFormat/>
    <w:uiPriority w:val="99"/>
    <w:rPr>
      <w:sz w:val="18"/>
      <w:szCs w:val="18"/>
    </w:rPr>
  </w:style>
  <w:style w:type="character" w:customStyle="1" w:styleId="17">
    <w:name w:val="标题 1 字符"/>
    <w:basedOn w:val="14"/>
    <w:link w:val="5"/>
    <w:qFormat/>
    <w:uiPriority w:val="9"/>
    <w:rPr>
      <w:b/>
      <w:bCs/>
      <w:kern w:val="44"/>
      <w:sz w:val="44"/>
      <w:szCs w:val="44"/>
    </w:rPr>
  </w:style>
  <w:style w:type="paragraph" w:styleId="18">
    <w:name w:val="List Paragraph"/>
    <w:basedOn w:val="1"/>
    <w:qFormat/>
    <w:uiPriority w:val="34"/>
    <w:pPr>
      <w:ind w:firstLine="420" w:firstLineChars="200"/>
    </w:pPr>
  </w:style>
  <w:style w:type="character" w:customStyle="1" w:styleId="19">
    <w:name w:val="标题 2 字符"/>
    <w:basedOn w:val="14"/>
    <w:link w:val="6"/>
    <w:semiHidden/>
    <w:qFormat/>
    <w:uiPriority w:val="9"/>
    <w:rPr>
      <w:rFonts w:asciiTheme="majorHAnsi" w:hAnsiTheme="majorHAnsi" w:eastAsiaTheme="majorEastAsia" w:cstheme="majorBidi"/>
      <w:b/>
      <w:bCs/>
      <w:sz w:val="32"/>
      <w:szCs w:val="32"/>
    </w:rPr>
  </w:style>
  <w:style w:type="character" w:customStyle="1" w:styleId="20">
    <w:name w:val="正文文本缩进 字符"/>
    <w:basedOn w:val="14"/>
    <w:link w:val="8"/>
    <w:semiHidden/>
    <w:qFormat/>
    <w:uiPriority w:val="99"/>
  </w:style>
  <w:style w:type="character" w:customStyle="1" w:styleId="21">
    <w:name w:val="正文文本首行缩进 2 字符"/>
    <w:basedOn w:val="20"/>
    <w:link w:val="12"/>
    <w:qFormat/>
    <w:uiPriority w:val="99"/>
    <w:rPr>
      <w:rFonts w:ascii="Times New Roman" w:hAnsi="Times New Roman" w:eastAsia="Arial Unicode MS" w:cs="Arial Unicode MS"/>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5308</Words>
  <Characters>5511</Characters>
  <Lines>9</Lines>
  <Paragraphs>2</Paragraphs>
  <TotalTime>4</TotalTime>
  <ScaleCrop>false</ScaleCrop>
  <LinksUpToDate>false</LinksUpToDate>
  <CharactersWithSpaces>5560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Sun Kai</dc:creator>
  <cp:lastModifiedBy>孙彤</cp:lastModifiedBy>
  <dcterms:modified xsi:type="dcterms:W3CDTF">2024-12-13T01:27:11Z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95520BDD2F87597A36EB5867CD534A45</vt:lpwstr>
  </property>
</Properties>
</file>