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eastAsia="zh-CN"/>
        </w:rPr>
        <w:t>附件</w:t>
      </w:r>
      <w:r>
        <w:rPr>
          <w:rFonts w:hint="eastAsia" w:ascii="黑体" w:hAnsi="黑体" w:eastAsia="黑体" w:cs="黑体"/>
          <w:color w:val="auto"/>
          <w:spacing w:val="0"/>
          <w:w w:val="100"/>
          <w:sz w:val="32"/>
          <w:szCs w:val="32"/>
          <w:highlight w:val="none"/>
          <w:lang w:val="en-US" w:eastAsia="zh-CN"/>
        </w:rPr>
        <w:t>1：</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仿宋_GB2312" w:hAnsi="仿宋_GB2312" w:eastAsia="方正小标宋简体" w:cs="方正小标宋简体"/>
          <w:color w:val="auto"/>
          <w:spacing w:val="0"/>
          <w:w w:val="100"/>
          <w:sz w:val="44"/>
          <w:szCs w:val="44"/>
          <w:highlight w:val="none"/>
          <w:lang w:eastAsia="zh-CN"/>
        </w:rPr>
      </w:pPr>
      <w:r>
        <w:rPr>
          <w:rFonts w:hint="eastAsia" w:ascii="仿宋_GB2312" w:hAnsi="仿宋_GB2312" w:eastAsia="方正小标宋简体" w:cs="方正小标宋简体"/>
          <w:color w:val="auto"/>
          <w:spacing w:val="0"/>
          <w:w w:val="100"/>
          <w:sz w:val="44"/>
          <w:szCs w:val="44"/>
          <w:highlight w:val="none"/>
        </w:rPr>
        <w:t>北京市房屋建筑和市政基础设施工程</w:t>
      </w:r>
      <w:r>
        <w:rPr>
          <w:rFonts w:hint="eastAsia" w:ascii="仿宋_GB2312" w:hAnsi="仿宋_GB2312" w:eastAsia="方正小标宋简体" w:cs="方正小标宋简体"/>
          <w:color w:val="auto"/>
          <w:spacing w:val="0"/>
          <w:w w:val="100"/>
          <w:sz w:val="44"/>
          <w:szCs w:val="44"/>
          <w:highlight w:val="none"/>
        </w:rPr>
        <w:br w:type="textWrapping"/>
      </w:r>
      <w:r>
        <w:rPr>
          <w:rFonts w:hint="eastAsia" w:ascii="仿宋_GB2312" w:hAnsi="仿宋_GB2312" w:eastAsia="方正小标宋简体" w:cs="方正小标宋简体"/>
          <w:color w:val="auto"/>
          <w:spacing w:val="0"/>
          <w:w w:val="100"/>
          <w:sz w:val="44"/>
          <w:szCs w:val="44"/>
          <w:highlight w:val="none"/>
        </w:rPr>
        <w:t>“评定分离”管理办法</w:t>
      </w:r>
      <w:r>
        <w:rPr>
          <w:rFonts w:hint="eastAsia" w:ascii="仿宋_GB2312" w:hAnsi="仿宋_GB2312" w:eastAsia="方正小标宋简体" w:cs="方正小标宋简体"/>
          <w:color w:val="auto"/>
          <w:spacing w:val="0"/>
          <w:w w:val="100"/>
          <w:sz w:val="44"/>
          <w:szCs w:val="44"/>
          <w:highlight w:val="none"/>
          <w:lang w:eastAsia="zh-CN"/>
        </w:rPr>
        <w:t>（试行）</w:t>
      </w:r>
    </w:p>
    <w:p>
      <w:pPr>
        <w:pStyle w:val="2"/>
        <w:jc w:val="center"/>
        <w:rPr>
          <w:rFonts w:hint="eastAsia" w:ascii="楷体" w:hAnsi="楷体" w:eastAsia="楷体" w:cs="楷体"/>
          <w:sz w:val="32"/>
          <w:szCs w:val="32"/>
        </w:rPr>
      </w:pPr>
      <w:r>
        <w:rPr>
          <w:rFonts w:hint="eastAsia" w:ascii="楷体" w:hAnsi="楷体" w:eastAsia="楷体" w:cs="楷体"/>
          <w:color w:val="auto"/>
          <w:spacing w:val="0"/>
          <w:w w:val="100"/>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eastAsia" w:ascii="仿宋_GB2312" w:hAnsi="仿宋_GB2312" w:eastAsia="方正小标宋简体" w:cs="方正小标宋简体"/>
          <w:color w:val="auto"/>
          <w:spacing w:val="0"/>
          <w:w w:val="100"/>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color w:val="auto"/>
          <w:spacing w:val="0"/>
          <w:w w:val="100"/>
          <w:highlight w:val="none"/>
          <w:lang w:val="en-US" w:eastAsia="zh-CN"/>
        </w:rPr>
      </w:pPr>
      <w:r>
        <w:rPr>
          <w:rFonts w:hint="eastAsia" w:ascii="仿宋_GB2312" w:hAnsi="仿宋_GB2312" w:eastAsia="黑体" w:cs="黑体"/>
          <w:b w:val="0"/>
          <w:bCs w:val="0"/>
          <w:color w:val="auto"/>
          <w:spacing w:val="0"/>
          <w:w w:val="100"/>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第一条  </w:t>
      </w:r>
      <w:r>
        <w:rPr>
          <w:rFonts w:hint="eastAsia" w:ascii="仿宋_GB2312" w:hAnsi="仿宋_GB2312" w:eastAsia="仿宋_GB2312" w:cs="仿宋_GB2312"/>
          <w:color w:val="auto"/>
          <w:spacing w:val="0"/>
          <w:w w:val="100"/>
          <w:sz w:val="32"/>
          <w:szCs w:val="32"/>
          <w:highlight w:val="none"/>
          <w:lang w:val="en-US" w:eastAsia="zh-CN"/>
        </w:rPr>
        <w:t>为深化我市建设工程招投标制度改革</w:t>
      </w:r>
      <w:r>
        <w:rPr>
          <w:rFonts w:hint="eastAsia" w:ascii="仿宋_GB2312" w:hAnsi="仿宋_GB2312" w:eastAsia="仿宋_GB2312" w:cs="仿宋_GB2312"/>
          <w:b w:val="0"/>
          <w:i w:val="0"/>
          <w:caps w:val="0"/>
          <w:color w:val="auto"/>
          <w:spacing w:val="0"/>
          <w:w w:val="100"/>
          <w:sz w:val="32"/>
          <w:szCs w:val="32"/>
          <w:highlight w:val="none"/>
          <w:u w:val="none"/>
          <w:shd w:val="clear" w:color="auto" w:fill="FFFFFF"/>
          <w:lang w:eastAsia="zh-CN"/>
        </w:rPr>
        <w:t>，进一步</w:t>
      </w:r>
      <w:r>
        <w:rPr>
          <w:rFonts w:hint="eastAsia" w:ascii="仿宋_GB2312" w:hAnsi="仿宋_GB2312" w:eastAsia="仿宋_GB2312" w:cs="仿宋_GB2312"/>
          <w:color w:val="auto"/>
          <w:spacing w:val="0"/>
          <w:w w:val="100"/>
          <w:sz w:val="32"/>
          <w:szCs w:val="32"/>
          <w:highlight w:val="none"/>
          <w:lang w:val="en-US" w:eastAsia="zh-CN"/>
        </w:rPr>
        <w:t>落实招标人主体责任</w:t>
      </w:r>
      <w:r>
        <w:rPr>
          <w:rFonts w:hint="eastAsia" w:ascii="仿宋_GB2312" w:hAnsi="仿宋_GB2312" w:eastAsia="仿宋_GB2312" w:cs="仿宋_GB2312"/>
          <w:color w:val="auto"/>
          <w:spacing w:val="0"/>
          <w:w w:val="100"/>
          <w:sz w:val="32"/>
          <w:szCs w:val="32"/>
          <w:highlight w:val="none"/>
          <w:lang w:eastAsia="zh-CN"/>
        </w:rPr>
        <w:t>，优化评标定标机制，提高定标质效，提升企业履约水平和工程建设品质，</w:t>
      </w:r>
      <w:r>
        <w:rPr>
          <w:rFonts w:hint="eastAsia" w:ascii="仿宋_GB2312" w:hAnsi="仿宋_GB2312" w:eastAsia="仿宋_GB2312" w:cs="仿宋_GB2312"/>
          <w:color w:val="auto"/>
          <w:spacing w:val="0"/>
          <w:w w:val="100"/>
          <w:sz w:val="32"/>
          <w:szCs w:val="32"/>
          <w:highlight w:val="none"/>
          <w:lang w:val="en-US" w:eastAsia="zh-CN"/>
        </w:rPr>
        <w:t>根据《中华人民共和国招标投标法》《优化营商环境条例》《国务院办公厅关于创新完善体制机制推动招标投标市场规范健康发展的意见》（国办发〔2024〕21号），制定本办法。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第二条  </w:t>
      </w:r>
      <w:r>
        <w:rPr>
          <w:rFonts w:hint="eastAsia" w:ascii="仿宋_GB2312" w:hAnsi="仿宋_GB2312" w:eastAsia="仿宋_GB2312" w:cs="仿宋_GB2312"/>
          <w:color w:val="auto"/>
          <w:spacing w:val="0"/>
          <w:w w:val="100"/>
          <w:sz w:val="32"/>
          <w:szCs w:val="32"/>
          <w:highlight w:val="none"/>
          <w:lang w:val="en-US" w:eastAsia="zh-CN"/>
        </w:rPr>
        <w:t>本办法所称“评定分离”，是指评标委员会按照招标文件确定的评标办法评标并向招标人推荐中标候选人，招标人按照招标文件确定的定标办法，在评标委员会推荐的中标候选人中自主确定中标人。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第三条  </w:t>
      </w:r>
      <w:r>
        <w:rPr>
          <w:rFonts w:hint="eastAsia" w:ascii="仿宋_GB2312" w:hAnsi="仿宋_GB2312" w:eastAsia="仿宋_GB2312" w:cs="仿宋_GB2312"/>
          <w:b w:val="0"/>
          <w:bCs w:val="0"/>
          <w:color w:val="auto"/>
          <w:spacing w:val="0"/>
          <w:w w:val="100"/>
          <w:sz w:val="32"/>
          <w:szCs w:val="32"/>
          <w:highlight w:val="none"/>
          <w:lang w:val="en-US" w:eastAsia="zh-CN"/>
        </w:rPr>
        <w:t>本办法适用于</w:t>
      </w:r>
      <w:r>
        <w:rPr>
          <w:rFonts w:hint="eastAsia" w:ascii="仿宋_GB2312" w:hAnsi="仿宋_GB2312" w:eastAsia="仿宋_GB2312" w:cs="仿宋_GB2312"/>
          <w:color w:val="auto"/>
          <w:spacing w:val="0"/>
          <w:w w:val="100"/>
          <w:sz w:val="32"/>
          <w:szCs w:val="32"/>
          <w:highlight w:val="none"/>
          <w:lang w:val="en-US" w:eastAsia="zh-CN"/>
        </w:rPr>
        <w:t>本市行政区域内依法必须进行招标的房屋建筑和市政基础设施工程采用“评定分离”的项目。评标委员会成员全部从评标专家库产生的项目，应当采用“评定分离”，鼓励其他项目采用“评定分离”。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第四条</w:t>
      </w:r>
      <w:r>
        <w:rPr>
          <w:rFonts w:hint="eastAsia" w:ascii="仿宋_GB2312" w:hAnsi="仿宋_GB2312" w:eastAsia="仿宋_GB2312" w:cs="仿宋_GB2312"/>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eastAsia="zh-CN"/>
        </w:rPr>
        <w:t>采用“评定分离”的项目，招标人应当在招标文件中明确定标办法，</w:t>
      </w:r>
      <w:r>
        <w:rPr>
          <w:rFonts w:hint="eastAsia" w:ascii="仿宋_GB2312" w:hAnsi="仿宋_GB2312" w:eastAsia="仿宋_GB2312" w:cs="仿宋_GB2312"/>
          <w:color w:val="auto"/>
          <w:spacing w:val="0"/>
          <w:w w:val="100"/>
          <w:sz w:val="32"/>
          <w:szCs w:val="32"/>
          <w:highlight w:val="none"/>
        </w:rPr>
        <w:t>组织实施招标评标定标工作，对招标评标定标过程及其结果承担主体责任。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color w:val="auto"/>
          <w:spacing w:val="0"/>
          <w:w w:val="100"/>
          <w:highlight w:val="none"/>
          <w:lang w:eastAsia="zh-CN"/>
        </w:rPr>
      </w:pPr>
      <w:r>
        <w:rPr>
          <w:rFonts w:hint="eastAsia" w:ascii="仿宋_GB2312" w:hAnsi="仿宋_GB2312" w:eastAsia="仿宋_GB2312" w:cs="仿宋_GB2312"/>
          <w:color w:val="auto"/>
          <w:spacing w:val="0"/>
          <w:w w:val="100"/>
          <w:sz w:val="32"/>
          <w:szCs w:val="32"/>
          <w:highlight w:val="none"/>
          <w:lang w:eastAsia="zh-CN"/>
        </w:rPr>
        <w:t>鼓励招标人参照《公平竞争审查制度实施细则》对</w:t>
      </w:r>
      <w:r>
        <w:rPr>
          <w:rFonts w:hint="eastAsia" w:ascii="仿宋_GB2312" w:hAnsi="仿宋_GB2312" w:eastAsia="仿宋_GB2312" w:cs="仿宋_GB2312"/>
          <w:color w:val="auto"/>
          <w:spacing w:val="0"/>
          <w:w w:val="100"/>
          <w:sz w:val="32"/>
          <w:szCs w:val="32"/>
          <w:highlight w:val="none"/>
        </w:rPr>
        <w:t>定标</w:t>
      </w:r>
      <w:r>
        <w:rPr>
          <w:rFonts w:hint="eastAsia" w:ascii="仿宋_GB2312" w:hAnsi="仿宋_GB2312" w:eastAsia="仿宋_GB2312" w:cs="仿宋_GB2312"/>
          <w:color w:val="auto"/>
          <w:spacing w:val="0"/>
          <w:w w:val="100"/>
          <w:sz w:val="32"/>
          <w:szCs w:val="32"/>
          <w:highlight w:val="none"/>
          <w:lang w:eastAsia="zh-CN"/>
        </w:rPr>
        <w:t>办法开展公平竞争审查。定标办法</w:t>
      </w:r>
      <w:r>
        <w:rPr>
          <w:rFonts w:hint="eastAsia" w:ascii="仿宋_GB2312" w:hAnsi="仿宋_GB2312" w:eastAsia="仿宋_GB2312" w:cs="仿宋_GB2312"/>
          <w:color w:val="auto"/>
          <w:spacing w:val="0"/>
          <w:w w:val="100"/>
          <w:sz w:val="32"/>
          <w:szCs w:val="32"/>
          <w:highlight w:val="none"/>
        </w:rPr>
        <w:t>不得含有地方保护、市场分割、指定交易等妨碍统一市场和公平竞争的内容</w:t>
      </w:r>
      <w:r>
        <w:rPr>
          <w:rFonts w:hint="eastAsia" w:ascii="仿宋_GB2312" w:hAnsi="仿宋_GB2312" w:eastAsia="仿宋_GB2312" w:cs="仿宋_GB2312"/>
          <w:color w:val="auto"/>
          <w:spacing w:val="0"/>
          <w:w w:val="1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9"/>
        <w:rPr>
          <w:rFonts w:hint="eastAsia" w:ascii="仿宋_GB2312" w:hAnsi="仿宋_GB2312" w:eastAsia="黑体" w:cs="黑体"/>
          <w:b w:val="0"/>
          <w:bCs/>
          <w:color w:val="auto"/>
          <w:spacing w:val="0"/>
          <w:w w:val="100"/>
          <w:sz w:val="32"/>
          <w:szCs w:val="32"/>
          <w:highlight w:val="none"/>
          <w:lang w:val="en-US" w:eastAsia="zh-CN"/>
        </w:rPr>
      </w:pPr>
      <w:r>
        <w:rPr>
          <w:rFonts w:hint="eastAsia" w:ascii="仿宋_GB2312" w:hAnsi="仿宋_GB2312" w:eastAsia="黑体" w:cs="黑体"/>
          <w:b w:val="0"/>
          <w:bCs/>
          <w:color w:val="auto"/>
          <w:spacing w:val="0"/>
          <w:w w:val="100"/>
          <w:sz w:val="32"/>
          <w:szCs w:val="32"/>
          <w:highlight w:val="none"/>
          <w:lang w:val="en-US" w:eastAsia="zh-CN"/>
        </w:rPr>
        <w:t>第二章 评 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第五条  </w:t>
      </w:r>
      <w:r>
        <w:rPr>
          <w:rFonts w:hint="eastAsia" w:ascii="仿宋_GB2312" w:hAnsi="仿宋_GB2312" w:eastAsia="仿宋_GB2312" w:cs="仿宋_GB2312"/>
          <w:color w:val="auto"/>
          <w:spacing w:val="0"/>
          <w:w w:val="100"/>
          <w:sz w:val="32"/>
          <w:szCs w:val="32"/>
          <w:highlight w:val="none"/>
          <w:lang w:eastAsia="zh-CN"/>
        </w:rPr>
        <w:t>评标委员会在评标活动中履行以下职责：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（一）按照招标文件规定的标准和方法完成对所有投标文件的评审。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（二）</w:t>
      </w:r>
      <w:r>
        <w:rPr>
          <w:rFonts w:hint="eastAsia" w:ascii="仿宋_GB2312" w:hAnsi="仿宋_GB2312" w:eastAsia="仿宋_GB2312" w:cs="仿宋_GB2312"/>
          <w:color w:val="auto"/>
          <w:spacing w:val="0"/>
          <w:w w:val="100"/>
          <w:kern w:val="2"/>
          <w:sz w:val="32"/>
          <w:szCs w:val="32"/>
          <w:highlight w:val="none"/>
        </w:rPr>
        <w:t>按照评标结果的优劣顺序</w:t>
      </w:r>
      <w:r>
        <w:rPr>
          <w:rFonts w:hint="eastAsia" w:ascii="仿宋_GB2312" w:hAnsi="仿宋_GB2312" w:eastAsia="仿宋_GB2312" w:cs="仿宋_GB2312"/>
          <w:color w:val="auto"/>
          <w:spacing w:val="0"/>
          <w:w w:val="100"/>
          <w:sz w:val="32"/>
          <w:szCs w:val="32"/>
          <w:highlight w:val="none"/>
          <w:lang w:eastAsia="zh-CN"/>
        </w:rPr>
        <w:t>向招标人推荐不排序的</w:t>
      </w:r>
      <w:r>
        <w:rPr>
          <w:rFonts w:hint="eastAsia" w:ascii="仿宋_GB2312" w:hAnsi="仿宋_GB2312" w:eastAsia="仿宋_GB2312" w:cs="仿宋_GB2312"/>
          <w:color w:val="auto"/>
          <w:spacing w:val="0"/>
          <w:w w:val="100"/>
          <w:kern w:val="2"/>
          <w:sz w:val="32"/>
          <w:szCs w:val="32"/>
          <w:highlight w:val="none"/>
        </w:rPr>
        <w:t>中标候选人，中标候选人</w:t>
      </w:r>
      <w:r>
        <w:rPr>
          <w:rFonts w:hint="eastAsia" w:ascii="仿宋_GB2312" w:hAnsi="仿宋_GB2312" w:eastAsia="仿宋_GB2312" w:cs="仿宋_GB2312"/>
          <w:color w:val="auto"/>
          <w:spacing w:val="0"/>
          <w:w w:val="100"/>
          <w:kern w:val="2"/>
          <w:sz w:val="32"/>
          <w:szCs w:val="32"/>
          <w:highlight w:val="none"/>
          <w:lang w:val="en-US" w:eastAsia="zh-CN"/>
        </w:rPr>
        <w:t>一般</w:t>
      </w:r>
      <w:r>
        <w:rPr>
          <w:rFonts w:hint="eastAsia" w:ascii="仿宋_GB2312" w:hAnsi="仿宋_GB2312" w:eastAsia="仿宋_GB2312" w:cs="仿宋_GB2312"/>
          <w:color w:val="auto"/>
          <w:spacing w:val="0"/>
          <w:w w:val="100"/>
          <w:kern w:val="2"/>
          <w:sz w:val="32"/>
          <w:szCs w:val="32"/>
          <w:highlight w:val="none"/>
          <w:lang w:eastAsia="zh-CN"/>
        </w:rPr>
        <w:t>不少于</w:t>
      </w:r>
      <w:r>
        <w:rPr>
          <w:rFonts w:hint="eastAsia" w:ascii="仿宋_GB2312" w:hAnsi="仿宋_GB2312" w:eastAsia="仿宋_GB2312" w:cs="仿宋_GB2312"/>
          <w:color w:val="auto"/>
          <w:spacing w:val="0"/>
          <w:w w:val="100"/>
          <w:kern w:val="2"/>
          <w:sz w:val="32"/>
          <w:szCs w:val="32"/>
          <w:highlight w:val="none"/>
          <w:lang w:val="en-US" w:eastAsia="zh-CN"/>
        </w:rPr>
        <w:t>3</w:t>
      </w:r>
      <w:r>
        <w:rPr>
          <w:rFonts w:hint="eastAsia" w:ascii="仿宋_GB2312" w:hAnsi="仿宋_GB2312" w:eastAsia="仿宋_GB2312" w:cs="仿宋_GB2312"/>
          <w:color w:val="auto"/>
          <w:spacing w:val="0"/>
          <w:w w:val="100"/>
          <w:kern w:val="2"/>
          <w:sz w:val="32"/>
          <w:szCs w:val="32"/>
          <w:highlight w:val="none"/>
          <w:lang w:eastAsia="zh-CN"/>
        </w:rPr>
        <w:t>个，</w:t>
      </w:r>
      <w:r>
        <w:rPr>
          <w:rFonts w:hint="eastAsia" w:ascii="仿宋_GB2312" w:hAnsi="仿宋_GB2312" w:eastAsia="仿宋_GB2312" w:cs="仿宋_GB2312"/>
          <w:color w:val="auto"/>
          <w:spacing w:val="0"/>
          <w:w w:val="100"/>
          <w:kern w:val="2"/>
          <w:sz w:val="32"/>
          <w:szCs w:val="32"/>
          <w:highlight w:val="none"/>
        </w:rPr>
        <w:t>具体数量</w:t>
      </w:r>
      <w:r>
        <w:rPr>
          <w:rFonts w:hint="eastAsia" w:ascii="仿宋_GB2312" w:hAnsi="仿宋_GB2312" w:eastAsia="仿宋_GB2312" w:cs="仿宋_GB2312"/>
          <w:color w:val="auto"/>
          <w:spacing w:val="0"/>
          <w:w w:val="100"/>
          <w:kern w:val="2"/>
          <w:sz w:val="32"/>
          <w:szCs w:val="32"/>
          <w:highlight w:val="none"/>
          <w:lang w:val="en-US" w:eastAsia="zh-CN"/>
        </w:rPr>
        <w:t>要求</w:t>
      </w:r>
      <w:r>
        <w:rPr>
          <w:rFonts w:hint="eastAsia" w:ascii="仿宋_GB2312" w:hAnsi="仿宋_GB2312" w:eastAsia="仿宋_GB2312" w:cs="仿宋_GB2312"/>
          <w:color w:val="auto"/>
          <w:spacing w:val="0"/>
          <w:w w:val="100"/>
          <w:kern w:val="2"/>
          <w:sz w:val="32"/>
          <w:szCs w:val="32"/>
          <w:highlight w:val="none"/>
          <w:lang w:eastAsia="zh-CN"/>
        </w:rPr>
        <w:t>应当</w:t>
      </w:r>
      <w:r>
        <w:rPr>
          <w:rFonts w:hint="eastAsia" w:ascii="仿宋_GB2312" w:hAnsi="仿宋_GB2312" w:eastAsia="仿宋_GB2312" w:cs="仿宋_GB2312"/>
          <w:color w:val="auto"/>
          <w:spacing w:val="0"/>
          <w:w w:val="100"/>
          <w:kern w:val="2"/>
          <w:sz w:val="32"/>
          <w:szCs w:val="32"/>
          <w:highlight w:val="none"/>
        </w:rPr>
        <w:t>在招标文件中明确</w:t>
      </w:r>
      <w:r>
        <w:rPr>
          <w:rFonts w:hint="eastAsia" w:ascii="仿宋_GB2312" w:hAnsi="仿宋_GB2312" w:eastAsia="仿宋_GB2312" w:cs="仿宋_GB2312"/>
          <w:color w:val="auto"/>
          <w:spacing w:val="0"/>
          <w:w w:val="100"/>
          <w:kern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eastAsia="zh-CN"/>
        </w:rPr>
      </w:pPr>
      <w:r>
        <w:rPr>
          <w:rFonts w:hint="eastAsia" w:ascii="仿宋_GB2312" w:hAnsi="仿宋_GB2312" w:eastAsia="仿宋_GB2312" w:cs="仿宋_GB2312"/>
          <w:color w:val="auto"/>
          <w:spacing w:val="0"/>
          <w:w w:val="100"/>
          <w:kern w:val="2"/>
          <w:sz w:val="32"/>
          <w:szCs w:val="32"/>
          <w:highlight w:val="none"/>
          <w:lang w:eastAsia="zh-CN"/>
        </w:rPr>
        <w:t>经评标委员会评审，当符合招标文件要求的合格投标人少于招标文件规定的数量，但不少于3个时，全部推荐为中标候选人；</w:t>
      </w:r>
      <w:r>
        <w:rPr>
          <w:rFonts w:hint="eastAsia" w:ascii="Times New Roman" w:hAnsi="Times New Roman" w:eastAsia="仿宋_GB2312" w:cs="仿宋_GB2312"/>
          <w:color w:val="auto"/>
          <w:spacing w:val="0"/>
          <w:w w:val="100"/>
          <w:sz w:val="32"/>
          <w:szCs w:val="32"/>
          <w:highlight w:val="none"/>
          <w:lang w:eastAsia="zh-CN"/>
        </w:rPr>
        <w:t>少于3个时，评标委员会作出是否具备竞争性判断，如具备竞争性，可继续推荐中标候选人</w:t>
      </w:r>
      <w:r>
        <w:rPr>
          <w:rFonts w:hint="eastAsia" w:ascii="仿宋_GB2312" w:hAnsi="仿宋_GB2312" w:eastAsia="仿宋_GB2312" w:cs="仿宋_GB2312"/>
          <w:color w:val="auto"/>
          <w:spacing w:val="0"/>
          <w:w w:val="10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w:t>
      </w:r>
      <w:r>
        <w:rPr>
          <w:rFonts w:hint="eastAsia" w:ascii="仿宋_GB2312" w:hAnsi="仿宋_GB2312" w:eastAsia="仿宋_GB2312" w:cs="仿宋_GB2312"/>
          <w:b/>
          <w:bCs/>
          <w:color w:val="auto"/>
          <w:spacing w:val="0"/>
          <w:w w:val="100"/>
          <w:sz w:val="32"/>
          <w:szCs w:val="32"/>
          <w:highlight w:val="none"/>
          <w:lang w:val="en-US" w:eastAsia="zh-CN"/>
        </w:rPr>
        <w:t>六</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b/>
          <w:bCs/>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lang w:eastAsia="zh-CN"/>
        </w:rPr>
        <w:t>招标人应当自收到评标报告之日起3日内公示</w:t>
      </w:r>
      <w:r>
        <w:rPr>
          <w:rFonts w:hint="eastAsia" w:ascii="仿宋_GB2312" w:hAnsi="仿宋_GB2312" w:eastAsia="仿宋_GB2312" w:cs="仿宋_GB2312"/>
          <w:color w:val="auto"/>
          <w:spacing w:val="0"/>
          <w:w w:val="100"/>
          <w:sz w:val="32"/>
          <w:szCs w:val="32"/>
          <w:highlight w:val="none"/>
          <w:lang w:val="en-US" w:eastAsia="zh-CN"/>
        </w:rPr>
        <w:t>中标候选人</w:t>
      </w:r>
      <w:r>
        <w:rPr>
          <w:rFonts w:hint="eastAsia" w:ascii="仿宋_GB2312" w:hAnsi="仿宋_GB2312" w:eastAsia="仿宋_GB2312" w:cs="仿宋_GB2312"/>
          <w:color w:val="auto"/>
          <w:spacing w:val="0"/>
          <w:w w:val="100"/>
          <w:sz w:val="32"/>
          <w:szCs w:val="32"/>
          <w:highlight w:val="none"/>
          <w:lang w:eastAsia="zh-CN"/>
        </w:rPr>
        <w:t>，公示期不得少于3日。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投标人或者其他利害关系人对依法必须进行招标的项目评标结果有异议的，应当在中标候选人公示期间提出。招标人应当自收到异议之日起3日内作出答复；作出答复前，应当暂停招标投标活动。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color w:val="auto"/>
          <w:spacing w:val="0"/>
          <w:w w:val="100"/>
          <w:highlight w:val="none"/>
          <w:lang w:val="en-US" w:eastAsia="zh-CN"/>
        </w:rPr>
      </w:pPr>
      <w:r>
        <w:rPr>
          <w:rFonts w:hint="eastAsia" w:ascii="仿宋_GB2312" w:hAnsi="仿宋_GB2312" w:eastAsia="黑体" w:cs="黑体"/>
          <w:color w:val="auto"/>
          <w:spacing w:val="0"/>
          <w:w w:val="100"/>
          <w:kern w:val="2"/>
          <w:sz w:val="32"/>
          <w:szCs w:val="32"/>
          <w:highlight w:val="none"/>
          <w:lang w:val="en-US" w:eastAsia="zh-CN"/>
        </w:rPr>
        <w:t>第三章 定 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w:t>
      </w:r>
      <w:r>
        <w:rPr>
          <w:rFonts w:hint="eastAsia" w:ascii="仿宋_GB2312" w:hAnsi="仿宋_GB2312" w:eastAsia="仿宋_GB2312" w:cs="仿宋_GB2312"/>
          <w:b/>
          <w:bCs/>
          <w:color w:val="auto"/>
          <w:spacing w:val="0"/>
          <w:w w:val="100"/>
          <w:sz w:val="32"/>
          <w:szCs w:val="32"/>
          <w:highlight w:val="none"/>
          <w:lang w:val="en-US" w:eastAsia="zh-CN"/>
        </w:rPr>
        <w:t>七</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color w:val="auto"/>
          <w:spacing w:val="0"/>
          <w:w w:val="100"/>
          <w:sz w:val="32"/>
          <w:szCs w:val="32"/>
          <w:highlight w:val="none"/>
          <w:lang w:val="en-US" w:eastAsia="zh-CN"/>
        </w:rPr>
        <w:t xml:space="preserve">  招标人</w:t>
      </w:r>
      <w:r>
        <w:rPr>
          <w:rFonts w:hint="eastAsia" w:ascii="仿宋_GB2312" w:hAnsi="仿宋_GB2312" w:eastAsia="仿宋_GB2312"/>
          <w:color w:val="auto"/>
          <w:spacing w:val="0"/>
          <w:w w:val="100"/>
          <w:sz w:val="32"/>
          <w:szCs w:val="32"/>
          <w:highlight w:val="none"/>
        </w:rPr>
        <w:t>在确定定标</w:t>
      </w:r>
      <w:r>
        <w:rPr>
          <w:rFonts w:hint="eastAsia" w:ascii="仿宋_GB2312" w:hAnsi="仿宋_GB2312" w:eastAsia="仿宋_GB2312"/>
          <w:color w:val="auto"/>
          <w:spacing w:val="0"/>
          <w:w w:val="100"/>
          <w:sz w:val="32"/>
          <w:szCs w:val="32"/>
          <w:highlight w:val="none"/>
          <w:lang w:eastAsia="zh-CN"/>
        </w:rPr>
        <w:t>办法、</w:t>
      </w:r>
      <w:r>
        <w:rPr>
          <w:rFonts w:hint="eastAsia" w:ascii="仿宋_GB2312" w:hAnsi="仿宋_GB2312" w:eastAsia="仿宋_GB2312"/>
          <w:color w:val="auto"/>
          <w:spacing w:val="0"/>
          <w:w w:val="100"/>
          <w:sz w:val="32"/>
          <w:szCs w:val="32"/>
          <w:highlight w:val="none"/>
        </w:rPr>
        <w:t>组建定标委员会、</w:t>
      </w:r>
      <w:r>
        <w:rPr>
          <w:rFonts w:hint="eastAsia" w:ascii="仿宋_GB2312" w:hAnsi="仿宋_GB2312" w:eastAsia="仿宋_GB2312"/>
          <w:color w:val="auto"/>
          <w:spacing w:val="0"/>
          <w:w w:val="100"/>
          <w:sz w:val="32"/>
          <w:szCs w:val="32"/>
          <w:highlight w:val="none"/>
          <w:lang w:eastAsia="zh-CN"/>
        </w:rPr>
        <w:t>确认定标结果、</w:t>
      </w:r>
      <w:r>
        <w:rPr>
          <w:rFonts w:hint="eastAsia" w:ascii="仿宋_GB2312" w:hAnsi="仿宋_GB2312" w:eastAsia="仿宋_GB2312"/>
          <w:color w:val="auto"/>
          <w:spacing w:val="0"/>
          <w:w w:val="100"/>
          <w:sz w:val="32"/>
          <w:szCs w:val="32"/>
          <w:highlight w:val="none"/>
        </w:rPr>
        <w:t>处理</w:t>
      </w:r>
      <w:r>
        <w:rPr>
          <w:rFonts w:hint="eastAsia" w:ascii="仿宋_GB2312" w:hAnsi="仿宋_GB2312" w:eastAsia="仿宋_GB2312"/>
          <w:color w:val="auto"/>
          <w:spacing w:val="0"/>
          <w:w w:val="100"/>
          <w:sz w:val="32"/>
          <w:szCs w:val="32"/>
          <w:highlight w:val="none"/>
          <w:lang w:eastAsia="zh-CN"/>
        </w:rPr>
        <w:t>异议</w:t>
      </w:r>
      <w:r>
        <w:rPr>
          <w:rFonts w:hint="eastAsia" w:ascii="仿宋_GB2312" w:hAnsi="仿宋_GB2312" w:eastAsia="仿宋_GB2312"/>
          <w:color w:val="auto"/>
          <w:spacing w:val="0"/>
          <w:w w:val="100"/>
          <w:sz w:val="32"/>
          <w:szCs w:val="32"/>
          <w:highlight w:val="none"/>
        </w:rPr>
        <w:t>投诉等关键事项</w:t>
      </w:r>
      <w:r>
        <w:rPr>
          <w:rFonts w:hint="eastAsia" w:ascii="仿宋_GB2312" w:hAnsi="仿宋_GB2312" w:eastAsia="仿宋_GB2312"/>
          <w:color w:val="auto"/>
          <w:spacing w:val="0"/>
          <w:w w:val="100"/>
          <w:sz w:val="32"/>
          <w:szCs w:val="32"/>
          <w:highlight w:val="none"/>
          <w:lang w:eastAsia="zh-CN"/>
        </w:rPr>
        <w:t>时，</w:t>
      </w:r>
      <w:r>
        <w:rPr>
          <w:rFonts w:hint="eastAsia" w:ascii="仿宋_GB2312" w:hAnsi="仿宋_GB2312" w:eastAsia="仿宋_GB2312" w:cs="仿宋_GB2312"/>
          <w:color w:val="auto"/>
          <w:spacing w:val="0"/>
          <w:w w:val="100"/>
          <w:sz w:val="32"/>
          <w:szCs w:val="32"/>
          <w:highlight w:val="none"/>
          <w:lang w:eastAsia="zh-CN"/>
        </w:rPr>
        <w:t>应当依法履行“三重一大”集体决策制度。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招标人发布招标文件的同时，应当将定标办法抄送本级或上级纪检监察部门。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w:t>
      </w:r>
      <w:r>
        <w:rPr>
          <w:rFonts w:hint="eastAsia" w:ascii="仿宋_GB2312" w:hAnsi="仿宋_GB2312" w:eastAsia="仿宋_GB2312" w:cs="仿宋_GB2312"/>
          <w:b/>
          <w:bCs/>
          <w:color w:val="auto"/>
          <w:spacing w:val="0"/>
          <w:w w:val="100"/>
          <w:sz w:val="32"/>
          <w:szCs w:val="32"/>
          <w:highlight w:val="none"/>
          <w:lang w:val="en-US" w:eastAsia="zh-CN"/>
        </w:rPr>
        <w:t>八</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color w:val="auto"/>
          <w:spacing w:val="0"/>
          <w:w w:val="100"/>
          <w:sz w:val="32"/>
          <w:szCs w:val="32"/>
          <w:highlight w:val="none"/>
          <w:lang w:val="en-US" w:eastAsia="zh-CN"/>
        </w:rPr>
        <w:t xml:space="preserve">  招标人制定</w:t>
      </w:r>
      <w:r>
        <w:rPr>
          <w:rFonts w:hint="eastAsia" w:ascii="仿宋_GB2312" w:hAnsi="仿宋_GB2312" w:eastAsia="仿宋_GB2312" w:cs="仿宋_GB2312"/>
          <w:color w:val="auto"/>
          <w:spacing w:val="0"/>
          <w:w w:val="100"/>
          <w:sz w:val="32"/>
          <w:szCs w:val="32"/>
          <w:highlight w:val="none"/>
        </w:rPr>
        <w:t>定标</w:t>
      </w:r>
      <w:r>
        <w:rPr>
          <w:rFonts w:hint="eastAsia" w:ascii="仿宋_GB2312" w:hAnsi="仿宋_GB2312" w:eastAsia="仿宋_GB2312" w:cs="仿宋_GB2312"/>
          <w:color w:val="auto"/>
          <w:spacing w:val="0"/>
          <w:w w:val="100"/>
          <w:sz w:val="32"/>
          <w:szCs w:val="32"/>
          <w:highlight w:val="none"/>
          <w:lang w:eastAsia="zh-CN"/>
        </w:rPr>
        <w:t>办法应当</w:t>
      </w:r>
      <w:r>
        <w:rPr>
          <w:rFonts w:hint="eastAsia" w:ascii="仿宋_GB2312" w:hAnsi="仿宋_GB2312" w:eastAsia="仿宋_GB2312" w:cs="仿宋_GB2312"/>
          <w:color w:val="auto"/>
          <w:spacing w:val="0"/>
          <w:w w:val="100"/>
          <w:sz w:val="32"/>
          <w:szCs w:val="32"/>
          <w:highlight w:val="none"/>
        </w:rPr>
        <w:t>体现科学、规范、透明、民主决策要求</w:t>
      </w:r>
      <w:r>
        <w:rPr>
          <w:rFonts w:hint="eastAsia" w:ascii="仿宋_GB2312" w:hAnsi="仿宋_GB2312" w:eastAsia="仿宋_GB2312" w:cs="仿宋_GB2312"/>
          <w:color w:val="auto"/>
          <w:spacing w:val="0"/>
          <w:w w:val="100"/>
          <w:sz w:val="32"/>
          <w:szCs w:val="32"/>
          <w:highlight w:val="none"/>
          <w:lang w:eastAsia="zh-CN"/>
        </w:rPr>
        <w:t>，定标办法一般包含</w:t>
      </w:r>
      <w:r>
        <w:rPr>
          <w:rFonts w:hint="eastAsia" w:ascii="仿宋_GB2312" w:hAnsi="仿宋_GB2312" w:eastAsia="仿宋_GB2312" w:cs="仿宋_GB2312"/>
          <w:b w:val="0"/>
          <w:bCs w:val="0"/>
          <w:color w:val="auto"/>
          <w:spacing w:val="0"/>
          <w:w w:val="100"/>
          <w:sz w:val="32"/>
          <w:szCs w:val="32"/>
          <w:highlight w:val="none"/>
          <w:lang w:val="en-US" w:eastAsia="zh-CN"/>
        </w:rPr>
        <w:t>定标委员会</w:t>
      </w:r>
      <w:r>
        <w:rPr>
          <w:rFonts w:hint="eastAsia" w:ascii="仿宋_GB2312" w:hAnsi="仿宋_GB2312" w:eastAsia="仿宋_GB2312" w:cs="仿宋_GB2312"/>
          <w:color w:val="auto"/>
          <w:spacing w:val="0"/>
          <w:w w:val="100"/>
          <w:sz w:val="32"/>
          <w:szCs w:val="32"/>
          <w:highlight w:val="none"/>
        </w:rPr>
        <w:t>组成、定标方式</w:t>
      </w:r>
      <w:r>
        <w:rPr>
          <w:rFonts w:hint="eastAsia" w:ascii="仿宋_GB2312" w:hAnsi="仿宋_GB2312" w:eastAsia="仿宋_GB2312" w:cs="仿宋_GB2312"/>
          <w:color w:val="auto"/>
          <w:spacing w:val="0"/>
          <w:w w:val="100"/>
          <w:sz w:val="32"/>
          <w:szCs w:val="32"/>
          <w:highlight w:val="none"/>
          <w:lang w:eastAsia="zh-CN"/>
        </w:rPr>
        <w:t>、定标因素</w:t>
      </w:r>
      <w:r>
        <w:rPr>
          <w:rFonts w:hint="eastAsia" w:ascii="仿宋_GB2312" w:hAnsi="仿宋_GB2312" w:eastAsia="仿宋_GB2312" w:cs="仿宋_GB2312"/>
          <w:color w:val="auto"/>
          <w:spacing w:val="0"/>
          <w:w w:val="100"/>
          <w:sz w:val="32"/>
          <w:szCs w:val="32"/>
          <w:highlight w:val="none"/>
        </w:rPr>
        <w:t>、定标程序等</w:t>
      </w:r>
      <w:r>
        <w:rPr>
          <w:rFonts w:hint="eastAsia" w:ascii="仿宋_GB2312" w:hAnsi="仿宋_GB2312" w:eastAsia="仿宋_GB2312" w:cs="仿宋_GB2312"/>
          <w:color w:val="auto"/>
          <w:spacing w:val="0"/>
          <w:w w:val="100"/>
          <w:sz w:val="32"/>
          <w:szCs w:val="32"/>
          <w:highlight w:val="none"/>
          <w:lang w:eastAsia="zh-CN"/>
        </w:rPr>
        <w:t>主要内容。</w:t>
      </w:r>
    </w:p>
    <w:p>
      <w:pPr>
        <w:pStyle w:val="5"/>
        <w:keepNext w:val="0"/>
        <w:keepLines w:val="0"/>
        <w:pageBreakBefore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第九条 </w:t>
      </w:r>
      <w:r>
        <w:rPr>
          <w:rFonts w:hint="eastAsia" w:ascii="仿宋_GB2312" w:hAnsi="仿宋_GB2312" w:eastAsia="仿宋_GB2312" w:cs="仿宋_GB2312"/>
          <w:b w:val="0"/>
          <w:bCs w:val="0"/>
          <w:color w:val="auto"/>
          <w:spacing w:val="0"/>
          <w:w w:val="100"/>
          <w:sz w:val="32"/>
          <w:szCs w:val="32"/>
          <w:highlight w:val="none"/>
          <w:lang w:val="en-US" w:eastAsia="zh-CN"/>
        </w:rPr>
        <w:t xml:space="preserve"> 招标人应当组建定标委员会，</w:t>
      </w:r>
      <w:r>
        <w:rPr>
          <w:rFonts w:hint="eastAsia" w:ascii="仿宋_GB2312" w:hAnsi="仿宋_GB2312" w:eastAsia="仿宋_GB2312" w:cs="仿宋_GB2312"/>
          <w:b w:val="0"/>
          <w:bCs w:val="0"/>
          <w:color w:val="auto"/>
          <w:spacing w:val="0"/>
          <w:w w:val="100"/>
          <w:sz w:val="32"/>
          <w:szCs w:val="32"/>
          <w:highlight w:val="none"/>
          <w:shd w:val="clear"/>
          <w:lang w:val="en-US" w:eastAsia="zh-CN"/>
        </w:rPr>
        <w:t>定标委员会成员人数为五人以上单数</w:t>
      </w:r>
      <w:r>
        <w:rPr>
          <w:rFonts w:hint="eastAsia" w:ascii="仿宋_GB2312" w:hAnsi="仿宋_GB2312" w:eastAsia="仿宋_GB2312" w:cs="仿宋_GB2312"/>
          <w:b w:val="0"/>
          <w:bCs w:val="0"/>
          <w:color w:val="auto"/>
          <w:spacing w:val="0"/>
          <w:w w:val="100"/>
          <w:sz w:val="32"/>
          <w:szCs w:val="32"/>
          <w:highlight w:val="none"/>
          <w:lang w:val="en-US" w:eastAsia="zh-CN"/>
        </w:rPr>
        <w:t>，原则上由招标人（含建设单位）或其上级管理单位在职人员组成，招标人如因专业力量不足，确需委托外部专家参与定标委员会的，委托的外部专家人数不得超过成员总数的三分之一，应对情况予以说明并承担相关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定标委员会职责是根据评标委员会的评标报告，按照招标文件规定的定标办法，在评标委员会推荐的中标候选人中自主确定中标人。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定标委员会应当推荐定标委员会负责人，招标人的法定代表人或者主要负责人参加定标委员会的，应当由其担任定标委员会负责人。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定标委员会负责人负责定标活动的组织领导工作，主要负责以下工作：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（1）组织定标委员会成员学习招标文件、评标报告等定标相关资料；</w:t>
      </w:r>
    </w:p>
    <w:p>
      <w:pPr>
        <w:pStyle w:val="6"/>
        <w:keepNext w:val="0"/>
        <w:keepLines w:val="0"/>
        <w:pageBreakBefore w:val="0"/>
        <w:kinsoku/>
        <w:wordWrap/>
        <w:overflowPunct/>
        <w:topLinePunct w:val="0"/>
        <w:autoSpaceDE/>
        <w:autoSpaceDN/>
        <w:bidi w:val="0"/>
        <w:adjustRightInd/>
        <w:snapToGrid w:val="0"/>
        <w:spacing w:line="560" w:lineRule="exact"/>
        <w:ind w:left="0" w:leftChars="0" w:right="0" w:rightChars="0"/>
        <w:textAlignment w:val="auto"/>
        <w:rPr>
          <w:rFonts w:hint="eastAsia" w:ascii="仿宋_GB2312" w:hAnsi="仿宋_GB2312"/>
          <w:color w:val="auto"/>
          <w:spacing w:val="0"/>
          <w:w w:val="100"/>
          <w:highlight w:val="none"/>
          <w:lang w:eastAsia="zh-CN"/>
        </w:rPr>
      </w:pP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2</w:t>
      </w:r>
      <w:r>
        <w:rPr>
          <w:rFonts w:hint="eastAsia" w:ascii="仿宋_GB2312" w:hAnsi="仿宋_GB2312" w:eastAsia="仿宋_GB2312" w:cs="仿宋_GB2312"/>
          <w:color w:val="auto"/>
          <w:spacing w:val="0"/>
          <w:w w:val="100"/>
          <w:sz w:val="32"/>
          <w:szCs w:val="32"/>
          <w:highlight w:val="none"/>
          <w:lang w:eastAsia="zh-CN"/>
        </w:rPr>
        <w:t>）组织定标委员会开展中标候选人答辩工作；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（3）汇总各定标委员会成员认为需要投标人澄清、说明或者补正的问题,组织定标委员会对投标人质询并对投标人的答复进行审查；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（4）对出现较大争议的事项进行书面记录；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（5）收回定标过程中使用的文件、表格和定标记录以及其他资料，并查验定标记录的完整性及有效性；</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（6）组织对定标结论进行复核确认；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（7）组织编写定标报告。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w w:val="100"/>
          <w:kern w:val="2"/>
          <w:sz w:val="32"/>
          <w:szCs w:val="32"/>
          <w:highlight w:val="none"/>
          <w:lang w:eastAsia="zh-CN"/>
        </w:rPr>
      </w:pPr>
      <w:r>
        <w:rPr>
          <w:rFonts w:hint="eastAsia" w:ascii="仿宋_GB2312" w:hAnsi="仿宋_GB2312" w:eastAsia="仿宋_GB2312" w:cs="仿宋_GB2312"/>
          <w:b w:val="0"/>
          <w:bCs w:val="0"/>
          <w:color w:val="auto"/>
          <w:spacing w:val="0"/>
          <w:w w:val="100"/>
          <w:sz w:val="32"/>
          <w:szCs w:val="32"/>
          <w:highlight w:val="none"/>
          <w:lang w:val="en-US" w:eastAsia="zh-CN"/>
        </w:rPr>
        <w:t>定标委员会</w:t>
      </w:r>
      <w:r>
        <w:rPr>
          <w:rFonts w:hint="eastAsia" w:ascii="仿宋_GB2312" w:hAnsi="仿宋_GB2312" w:eastAsia="仿宋_GB2312" w:cs="仿宋_GB2312"/>
          <w:b w:val="0"/>
          <w:bCs w:val="0"/>
          <w:color w:val="auto"/>
          <w:spacing w:val="0"/>
          <w:w w:val="100"/>
          <w:kern w:val="2"/>
          <w:sz w:val="32"/>
          <w:szCs w:val="32"/>
          <w:highlight w:val="none"/>
        </w:rPr>
        <w:t>成员</w:t>
      </w:r>
      <w:r>
        <w:rPr>
          <w:rFonts w:hint="eastAsia" w:ascii="仿宋_GB2312" w:hAnsi="仿宋_GB2312" w:eastAsia="仿宋_GB2312" w:cs="仿宋_GB2312"/>
          <w:b w:val="0"/>
          <w:bCs w:val="0"/>
          <w:color w:val="auto"/>
          <w:spacing w:val="0"/>
          <w:w w:val="100"/>
          <w:kern w:val="2"/>
          <w:sz w:val="32"/>
          <w:szCs w:val="32"/>
          <w:highlight w:val="none"/>
          <w:lang w:eastAsia="zh-CN"/>
        </w:rPr>
        <w:t>与中标候选人存在利害关系的，</w:t>
      </w:r>
      <w:r>
        <w:rPr>
          <w:rFonts w:hint="eastAsia" w:ascii="仿宋_GB2312" w:hAnsi="仿宋_GB2312" w:eastAsia="仿宋_GB2312" w:cs="仿宋_GB2312"/>
          <w:b w:val="0"/>
          <w:bCs w:val="0"/>
          <w:color w:val="auto"/>
          <w:spacing w:val="0"/>
          <w:w w:val="100"/>
          <w:sz w:val="32"/>
          <w:szCs w:val="32"/>
          <w:highlight w:val="none"/>
          <w:lang w:val="en-US" w:eastAsia="zh-CN"/>
        </w:rPr>
        <w:t>应当主动申请回避</w:t>
      </w:r>
      <w:r>
        <w:rPr>
          <w:rFonts w:hint="eastAsia" w:ascii="仿宋_GB2312" w:hAnsi="仿宋_GB2312" w:eastAsia="仿宋_GB2312" w:cs="仿宋_GB2312"/>
          <w:b w:val="0"/>
          <w:bCs w:val="0"/>
          <w:color w:val="auto"/>
          <w:spacing w:val="0"/>
          <w:w w:val="100"/>
          <w:kern w:val="2"/>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bCs/>
          <w:color w:val="auto"/>
          <w:spacing w:val="0"/>
          <w:w w:val="100"/>
          <w:kern w:val="2"/>
          <w:sz w:val="32"/>
          <w:szCs w:val="32"/>
          <w:highlight w:val="none"/>
          <w:lang w:val="en-US" w:eastAsia="zh-CN"/>
        </w:rPr>
        <w:t>第十条</w:t>
      </w:r>
      <w:r>
        <w:rPr>
          <w:rFonts w:hint="eastAsia" w:ascii="仿宋_GB2312" w:hAnsi="仿宋_GB2312" w:eastAsia="仿宋_GB2312" w:cs="仿宋_GB2312"/>
          <w:b w:val="0"/>
          <w:bCs w:val="0"/>
          <w:color w:val="auto"/>
          <w:spacing w:val="0"/>
          <w:w w:val="100"/>
          <w:kern w:val="2"/>
          <w:sz w:val="32"/>
          <w:szCs w:val="32"/>
          <w:highlight w:val="none"/>
          <w:lang w:val="en-US" w:eastAsia="zh-CN"/>
        </w:rPr>
        <w:t xml:space="preserve">  定标方式可采用票决法、集体议事法、随机抽取法。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highlight w:val="none"/>
          <w:lang w:val="zh-CN"/>
        </w:rPr>
      </w:pPr>
      <w:r>
        <w:rPr>
          <w:rFonts w:hint="eastAsia" w:ascii="仿宋_GB2312" w:hAnsi="仿宋_GB2312" w:eastAsia="仿宋_GB2312" w:cs="仿宋_GB2312"/>
          <w:b w:val="0"/>
          <w:bCs w:val="0"/>
          <w:color w:val="auto"/>
          <w:spacing w:val="0"/>
          <w:w w:val="100"/>
          <w:sz w:val="32"/>
          <w:szCs w:val="32"/>
          <w:highlight w:val="none"/>
          <w:lang w:val="zh-CN"/>
        </w:rPr>
        <w:t>票决法</w:t>
      </w:r>
      <w:r>
        <w:rPr>
          <w:rFonts w:hint="eastAsia" w:ascii="仿宋_GB2312" w:hAnsi="仿宋_GB2312" w:eastAsia="仿宋_GB2312" w:cs="仿宋_GB2312"/>
          <w:b w:val="0"/>
          <w:bCs w:val="0"/>
          <w:color w:val="auto"/>
          <w:spacing w:val="0"/>
          <w:w w:val="100"/>
          <w:sz w:val="32"/>
          <w:szCs w:val="32"/>
          <w:highlight w:val="none"/>
          <w:lang w:val="zh-CN" w:eastAsia="zh-CN"/>
        </w:rPr>
        <w:t>是指</w:t>
      </w:r>
      <w:r>
        <w:rPr>
          <w:rFonts w:hint="eastAsia" w:ascii="仿宋_GB2312" w:hAnsi="仿宋_GB2312" w:eastAsia="仿宋_GB2312" w:cs="仿宋_GB2312"/>
          <w:b w:val="0"/>
          <w:bCs w:val="0"/>
          <w:color w:val="auto"/>
          <w:spacing w:val="0"/>
          <w:w w:val="100"/>
          <w:sz w:val="32"/>
          <w:szCs w:val="32"/>
          <w:highlight w:val="none"/>
          <w:lang w:val="zh-CN"/>
        </w:rPr>
        <w:t>定标委员会对中标候选人进行记名投票，得票最高的即为中标人；当最高得票相同时，对得票最高的中标候选人再次进行记名投票，直至选出中标人。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eastAsia="zh-CN"/>
        </w:rPr>
        <w:t>集体议事法是指</w:t>
      </w:r>
      <w:r>
        <w:rPr>
          <w:rFonts w:hint="eastAsia" w:ascii="仿宋_GB2312" w:hAnsi="仿宋_GB2312" w:eastAsia="仿宋_GB2312" w:cs="仿宋_GB2312"/>
          <w:b w:val="0"/>
          <w:bCs w:val="0"/>
          <w:color w:val="auto"/>
          <w:spacing w:val="0"/>
          <w:w w:val="100"/>
          <w:sz w:val="32"/>
          <w:szCs w:val="32"/>
          <w:highlight w:val="none"/>
          <w:lang w:val="en-US" w:eastAsia="zh-CN"/>
        </w:rPr>
        <w:t>定标委员会进行集体商议，定标委员会成员各自发表意见，最终由定标委员会负责人确定中标人。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zh-CN"/>
        </w:rPr>
        <w:t>随机抽取法是指</w:t>
      </w:r>
      <w:r>
        <w:rPr>
          <w:rFonts w:hint="eastAsia" w:ascii="仿宋_GB2312" w:hAnsi="仿宋_GB2312" w:eastAsia="仿宋_GB2312" w:cs="仿宋_GB2312"/>
          <w:b w:val="0"/>
          <w:bCs w:val="0"/>
          <w:i w:val="0"/>
          <w:caps w:val="0"/>
          <w:color w:val="auto"/>
          <w:spacing w:val="0"/>
          <w:w w:val="100"/>
          <w:sz w:val="32"/>
          <w:szCs w:val="32"/>
          <w:highlight w:val="none"/>
          <w:lang w:val="en-US" w:eastAsia="zh-CN"/>
        </w:rPr>
        <w:t>定标委员会通过随机抽取确定中标人。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bCs/>
          <w:color w:val="auto"/>
          <w:spacing w:val="0"/>
          <w:w w:val="100"/>
          <w:kern w:val="2"/>
          <w:sz w:val="32"/>
          <w:szCs w:val="32"/>
          <w:highlight w:val="none"/>
          <w:lang w:val="en-US" w:eastAsia="zh-CN"/>
        </w:rPr>
        <w:t>第十一条</w:t>
      </w:r>
      <w:r>
        <w:rPr>
          <w:rFonts w:hint="eastAsia" w:ascii="仿宋_GB2312" w:hAnsi="仿宋_GB2312" w:eastAsia="仿宋_GB2312" w:cs="仿宋_GB2312"/>
          <w:b w:val="0"/>
          <w:bCs w:val="0"/>
          <w:color w:val="auto"/>
          <w:spacing w:val="0"/>
          <w:w w:val="100"/>
          <w:kern w:val="2"/>
          <w:sz w:val="32"/>
          <w:szCs w:val="32"/>
          <w:highlight w:val="none"/>
          <w:lang w:val="en-US" w:eastAsia="zh-CN"/>
        </w:rPr>
        <w:t xml:space="preserve">  采用票决法和集体议事法的，招标人可根据项目情况设定定标因素，定标因素及要求中标候选人提供的材料应当在招标文件中明确。</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施工招标项目，招标人应当优先将中标候选人答辩、建筑施工企业混凝土强度保证率、</w:t>
      </w:r>
      <w:r>
        <w:rPr>
          <w:rFonts w:hint="eastAsia" w:ascii="仿宋_GB2312" w:hAnsi="仿宋_GB2312" w:eastAsia="仿宋_GB2312" w:cs="仿宋_GB2312"/>
          <w:b w:val="0"/>
          <w:bCs/>
          <w:i w:val="0"/>
          <w:iCs w:val="0"/>
          <w:spacing w:val="0"/>
          <w:w w:val="100"/>
          <w:sz w:val="32"/>
          <w:szCs w:val="32"/>
        </w:rPr>
        <w:t>拖欠农民工工资</w:t>
      </w:r>
      <w:r>
        <w:rPr>
          <w:rFonts w:hint="eastAsia" w:ascii="仿宋_GB2312" w:hAnsi="仿宋_GB2312" w:eastAsia="仿宋_GB2312" w:cs="仿宋_GB2312"/>
          <w:b w:val="0"/>
          <w:bCs/>
          <w:i w:val="0"/>
          <w:iCs w:val="0"/>
          <w:spacing w:val="0"/>
          <w:w w:val="100"/>
          <w:sz w:val="32"/>
          <w:szCs w:val="32"/>
          <w:lang w:val="en-US" w:eastAsia="zh-CN"/>
        </w:rPr>
        <w:t>情况、</w:t>
      </w:r>
      <w:r>
        <w:rPr>
          <w:rFonts w:hint="eastAsia" w:ascii="Times New Roman" w:hAnsi="Times New Roman" w:eastAsia="仿宋_GB2312" w:cs="仿宋_GB2312"/>
          <w:b w:val="0"/>
          <w:i w:val="0"/>
          <w:caps w:val="0"/>
          <w:color w:val="000000"/>
          <w:spacing w:val="0"/>
          <w:w w:val="100"/>
          <w:sz w:val="32"/>
          <w:szCs w:val="32"/>
        </w:rPr>
        <w:t>企业发生</w:t>
      </w:r>
      <w:r>
        <w:rPr>
          <w:rFonts w:hint="eastAsia" w:ascii="仿宋_GB2312" w:hAnsi="仿宋_GB2312" w:eastAsia="仿宋_GB2312" w:cs="仿宋_GB2312"/>
          <w:b w:val="0"/>
          <w:i w:val="0"/>
          <w:caps w:val="0"/>
          <w:color w:val="auto"/>
          <w:spacing w:val="0"/>
          <w:w w:val="100"/>
          <w:sz w:val="32"/>
          <w:szCs w:val="32"/>
          <w:highlight w:val="none"/>
          <w:lang w:val="en-US" w:eastAsia="zh-CN"/>
        </w:rPr>
        <w:t>安全生产和工程</w:t>
      </w:r>
      <w:r>
        <w:rPr>
          <w:rFonts w:hint="eastAsia" w:ascii="仿宋_GB2312" w:hAnsi="仿宋_GB2312" w:eastAsia="仿宋_GB2312" w:cs="仿宋_GB2312"/>
          <w:b w:val="0"/>
          <w:i w:val="0"/>
          <w:caps w:val="0"/>
          <w:color w:val="auto"/>
          <w:spacing w:val="0"/>
          <w:w w:val="100"/>
          <w:sz w:val="32"/>
          <w:szCs w:val="32"/>
          <w:highlight w:val="none"/>
        </w:rPr>
        <w:t>质量事故</w:t>
      </w:r>
      <w:r>
        <w:rPr>
          <w:rFonts w:hint="eastAsia" w:ascii="仿宋_GB2312" w:hAnsi="仿宋_GB2312" w:eastAsia="仿宋_GB2312" w:cs="仿宋_GB2312"/>
          <w:b w:val="0"/>
          <w:i w:val="0"/>
          <w:caps w:val="0"/>
          <w:color w:val="auto"/>
          <w:spacing w:val="0"/>
          <w:w w:val="100"/>
          <w:sz w:val="32"/>
          <w:szCs w:val="32"/>
          <w:highlight w:val="none"/>
          <w:lang w:val="en-US" w:eastAsia="zh-CN"/>
        </w:rPr>
        <w:t>情况</w:t>
      </w:r>
      <w:r>
        <w:rPr>
          <w:rFonts w:hint="eastAsia" w:ascii="仿宋_GB2312" w:hAnsi="仿宋_GB2312" w:eastAsia="仿宋_GB2312" w:cs="仿宋_GB2312"/>
          <w:b w:val="0"/>
          <w:bCs w:val="0"/>
          <w:color w:val="auto"/>
          <w:spacing w:val="0"/>
          <w:w w:val="100"/>
          <w:kern w:val="2"/>
          <w:sz w:val="32"/>
          <w:szCs w:val="32"/>
          <w:highlight w:val="none"/>
          <w:lang w:val="en-US" w:eastAsia="zh-CN"/>
        </w:rPr>
        <w:t>等作为定标因素。</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监理及建设工程货物招标项目，招标人应将中标候选人答辩作为定标因素，其他定标因素由招标人根据项目类型特点和实际需要合理设定。</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第十</w:t>
      </w:r>
      <w:r>
        <w:rPr>
          <w:rFonts w:hint="eastAsia" w:ascii="仿宋_GB2312" w:hAnsi="仿宋_GB2312" w:eastAsia="仿宋_GB2312" w:cs="仿宋_GB2312"/>
          <w:b/>
          <w:bCs/>
          <w:color w:val="auto"/>
          <w:spacing w:val="0"/>
          <w:w w:val="100"/>
          <w:sz w:val="32"/>
          <w:szCs w:val="32"/>
          <w:highlight w:val="none"/>
          <w:lang w:val="en-US" w:eastAsia="zh-CN"/>
        </w:rPr>
        <w:t>二</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color w:val="auto"/>
          <w:spacing w:val="0"/>
          <w:w w:val="100"/>
          <w:sz w:val="32"/>
          <w:szCs w:val="32"/>
          <w:highlight w:val="none"/>
          <w:lang w:val="en-US" w:eastAsia="zh-CN"/>
        </w:rPr>
        <w:t xml:space="preserve">  </w:t>
      </w:r>
      <w:r>
        <w:rPr>
          <w:rFonts w:hint="eastAsia" w:ascii="仿宋_GB2312" w:hAnsi="仿宋_GB2312" w:eastAsia="仿宋_GB2312" w:cs="仿宋_GB2312"/>
          <w:b w:val="0"/>
          <w:bCs/>
          <w:color w:val="auto"/>
          <w:spacing w:val="0"/>
          <w:w w:val="100"/>
          <w:sz w:val="32"/>
          <w:szCs w:val="32"/>
          <w:highlight w:val="none"/>
          <w:lang w:eastAsia="zh-CN"/>
        </w:rPr>
        <w:t>定标前招标人需要开展考察的，应当在招标文件中予以明确，考察工作应当实事求是，客观公正。考察结果可以作为定标因素。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第十三条 </w:t>
      </w:r>
      <w:r>
        <w:rPr>
          <w:rFonts w:hint="eastAsia" w:ascii="仿宋_GB2312" w:hAnsi="仿宋_GB2312" w:eastAsia="仿宋_GB2312" w:cs="仿宋_GB2312"/>
          <w:color w:val="auto"/>
          <w:spacing w:val="0"/>
          <w:w w:val="100"/>
          <w:sz w:val="32"/>
          <w:szCs w:val="32"/>
          <w:highlight w:val="none"/>
          <w:lang w:val="en-US" w:eastAsia="zh-CN"/>
        </w:rPr>
        <w:t xml:space="preserve"> 定标工作一般在中标候选人公示期满之日起5个工作日内完成。</w:t>
      </w:r>
      <w:r>
        <w:rPr>
          <w:rFonts w:hint="eastAsia" w:ascii="仿宋_GB2312" w:hAnsi="仿宋_GB2312" w:eastAsia="仿宋_GB2312" w:cs="仿宋_GB2312"/>
          <w:color w:val="auto"/>
          <w:spacing w:val="0"/>
          <w:w w:val="100"/>
          <w:sz w:val="32"/>
          <w:szCs w:val="32"/>
          <w:highlight w:val="none"/>
          <w:lang w:eastAsia="zh-CN"/>
        </w:rPr>
        <w:t>如招标人对中标候选人开展考察的，</w:t>
      </w:r>
      <w:r>
        <w:rPr>
          <w:rFonts w:hint="eastAsia" w:ascii="仿宋_GB2312" w:hAnsi="仿宋_GB2312" w:eastAsia="仿宋_GB2312" w:cs="仿宋_GB2312"/>
          <w:color w:val="auto"/>
          <w:spacing w:val="0"/>
          <w:w w:val="100"/>
          <w:sz w:val="32"/>
          <w:szCs w:val="32"/>
          <w:highlight w:val="none"/>
        </w:rPr>
        <w:t>可适当延长，但</w:t>
      </w:r>
      <w:r>
        <w:rPr>
          <w:rFonts w:hint="eastAsia" w:ascii="仿宋_GB2312" w:hAnsi="仿宋_GB2312" w:eastAsia="仿宋_GB2312" w:cs="仿宋_GB2312"/>
          <w:color w:val="auto"/>
          <w:spacing w:val="0"/>
          <w:w w:val="100"/>
          <w:sz w:val="32"/>
          <w:szCs w:val="32"/>
          <w:highlight w:val="none"/>
          <w:lang w:eastAsia="zh-CN"/>
        </w:rPr>
        <w:t>一般</w:t>
      </w:r>
      <w:r>
        <w:rPr>
          <w:rFonts w:hint="eastAsia" w:ascii="仿宋_GB2312" w:hAnsi="仿宋_GB2312" w:eastAsia="仿宋_GB2312" w:cs="仿宋_GB2312"/>
          <w:color w:val="auto"/>
          <w:spacing w:val="0"/>
          <w:w w:val="100"/>
          <w:sz w:val="32"/>
          <w:szCs w:val="32"/>
          <w:highlight w:val="none"/>
        </w:rPr>
        <w:t>不超过10</w:t>
      </w:r>
      <w:r>
        <w:rPr>
          <w:rFonts w:hint="eastAsia" w:ascii="仿宋_GB2312" w:hAnsi="仿宋_GB2312" w:eastAsia="仿宋_GB2312" w:cs="仿宋_GB2312"/>
          <w:color w:val="auto"/>
          <w:spacing w:val="0"/>
          <w:w w:val="100"/>
          <w:sz w:val="32"/>
          <w:szCs w:val="32"/>
          <w:highlight w:val="none"/>
          <w:lang w:eastAsia="zh-CN"/>
        </w:rPr>
        <w:t>个工作日</w:t>
      </w:r>
      <w:r>
        <w:rPr>
          <w:rFonts w:hint="eastAsia" w:ascii="仿宋_GB2312" w:hAnsi="仿宋_GB2312" w:eastAsia="仿宋_GB2312" w:cs="仿宋_GB2312"/>
          <w:color w:val="auto"/>
          <w:spacing w:val="0"/>
          <w:w w:val="100"/>
          <w:sz w:val="32"/>
          <w:szCs w:val="32"/>
          <w:highlight w:val="none"/>
        </w:rPr>
        <w:t>，且不得超过投标有效期。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招标人自行确定定标场所，应当保证定标过程全程录音录像，且录音录像连续清晰可辨。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color w:val="auto"/>
          <w:spacing w:val="0"/>
          <w:w w:val="100"/>
          <w:highlight w:val="none"/>
          <w:lang w:val="en-US" w:eastAsia="zh-CN"/>
        </w:rPr>
      </w:pPr>
      <w:r>
        <w:rPr>
          <w:rFonts w:hint="eastAsia" w:ascii="仿宋_GB2312" w:hAnsi="仿宋_GB2312" w:eastAsia="仿宋_GB2312" w:cs="仿宋_GB2312"/>
          <w:color w:val="auto"/>
          <w:spacing w:val="0"/>
          <w:w w:val="100"/>
          <w:sz w:val="32"/>
          <w:szCs w:val="32"/>
          <w:highlight w:val="none"/>
          <w:lang w:eastAsia="zh-CN"/>
        </w:rPr>
        <w:t>招标人不得与中标候选人就投标价格、投标方案等实质性内容进行谈判。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 xml:space="preserve">第十四条 </w:t>
      </w:r>
      <w:r>
        <w:rPr>
          <w:rFonts w:hint="eastAsia" w:ascii="仿宋_GB2312" w:hAnsi="仿宋_GB2312" w:eastAsia="仿宋_GB2312" w:cs="仿宋_GB2312"/>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rPr>
        <w:t>定标</w:t>
      </w:r>
      <w:r>
        <w:rPr>
          <w:rFonts w:hint="eastAsia" w:ascii="仿宋_GB2312" w:hAnsi="仿宋_GB2312" w:eastAsia="仿宋_GB2312" w:cs="仿宋_GB2312"/>
          <w:color w:val="auto"/>
          <w:spacing w:val="0"/>
          <w:w w:val="100"/>
          <w:sz w:val="32"/>
          <w:szCs w:val="32"/>
          <w:highlight w:val="none"/>
          <w:lang w:eastAsia="zh-CN"/>
        </w:rPr>
        <w:t>应当包含以下环节（随机抽取法除外）</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rPr>
        <w:t>（一）</w:t>
      </w:r>
      <w:r>
        <w:rPr>
          <w:rFonts w:hint="eastAsia" w:ascii="仿宋_GB2312" w:hAnsi="仿宋_GB2312" w:eastAsia="仿宋_GB2312" w:cs="仿宋_GB2312"/>
          <w:color w:val="auto"/>
          <w:spacing w:val="0"/>
          <w:w w:val="100"/>
          <w:sz w:val="32"/>
          <w:szCs w:val="32"/>
          <w:highlight w:val="none"/>
          <w:lang w:eastAsia="zh-CN"/>
        </w:rPr>
        <w:t>招标人</w:t>
      </w:r>
      <w:r>
        <w:rPr>
          <w:rFonts w:hint="eastAsia" w:ascii="仿宋_GB2312" w:hAnsi="仿宋_GB2312" w:eastAsia="仿宋_GB2312" w:cs="仿宋_GB2312"/>
          <w:color w:val="auto"/>
          <w:spacing w:val="0"/>
          <w:w w:val="100"/>
          <w:sz w:val="32"/>
          <w:szCs w:val="32"/>
          <w:highlight w:val="none"/>
        </w:rPr>
        <w:t>介绍定标程序及须知。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二</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招标人</w:t>
      </w:r>
      <w:r>
        <w:rPr>
          <w:rFonts w:hint="eastAsia" w:ascii="仿宋_GB2312" w:hAnsi="仿宋_GB2312" w:eastAsia="仿宋_GB2312" w:cs="仿宋_GB2312"/>
          <w:color w:val="auto"/>
          <w:spacing w:val="0"/>
          <w:w w:val="100"/>
          <w:sz w:val="32"/>
          <w:szCs w:val="32"/>
          <w:highlight w:val="none"/>
        </w:rPr>
        <w:t>介绍项目基本情况</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同时提供相关资料（包括：招标文件、评标报告、定标要素的基本情况、涉及定标的其它资料）。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rPr>
        <w:t>（三）</w:t>
      </w:r>
      <w:r>
        <w:rPr>
          <w:rFonts w:hint="eastAsia" w:ascii="仿宋_GB2312" w:hAnsi="仿宋_GB2312" w:eastAsia="仿宋_GB2312" w:cs="仿宋_GB2312"/>
          <w:color w:val="auto"/>
          <w:spacing w:val="0"/>
          <w:w w:val="100"/>
          <w:sz w:val="32"/>
          <w:szCs w:val="32"/>
          <w:highlight w:val="none"/>
          <w:lang w:eastAsia="zh-CN"/>
        </w:rPr>
        <w:t>中标候选人答辩</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（四）定标委员会按照定标</w:t>
      </w:r>
      <w:r>
        <w:rPr>
          <w:rFonts w:hint="eastAsia" w:ascii="仿宋_GB2312" w:hAnsi="仿宋_GB2312" w:eastAsia="仿宋_GB2312" w:cs="仿宋_GB2312"/>
          <w:color w:val="auto"/>
          <w:spacing w:val="0"/>
          <w:w w:val="100"/>
          <w:sz w:val="32"/>
          <w:szCs w:val="32"/>
          <w:highlight w:val="none"/>
          <w:lang w:eastAsia="zh-CN"/>
        </w:rPr>
        <w:t>办</w:t>
      </w:r>
      <w:r>
        <w:rPr>
          <w:rFonts w:hint="eastAsia" w:ascii="仿宋_GB2312" w:hAnsi="仿宋_GB2312" w:eastAsia="仿宋_GB2312" w:cs="仿宋_GB2312"/>
          <w:color w:val="auto"/>
          <w:spacing w:val="0"/>
          <w:w w:val="100"/>
          <w:sz w:val="32"/>
          <w:szCs w:val="32"/>
          <w:highlight w:val="none"/>
        </w:rPr>
        <w:t>法确定中标人，</w:t>
      </w:r>
      <w:r>
        <w:rPr>
          <w:rFonts w:hint="eastAsia" w:ascii="仿宋_GB2312" w:hAnsi="仿宋_GB2312" w:eastAsia="仿宋_GB2312" w:cs="仿宋_GB2312"/>
          <w:color w:val="auto"/>
          <w:spacing w:val="0"/>
          <w:w w:val="100"/>
          <w:sz w:val="32"/>
          <w:szCs w:val="32"/>
          <w:highlight w:val="none"/>
          <w:lang w:eastAsia="zh-CN"/>
        </w:rPr>
        <w:t>形成</w:t>
      </w:r>
      <w:r>
        <w:rPr>
          <w:rFonts w:hint="eastAsia" w:ascii="仿宋_GB2312" w:hAnsi="仿宋_GB2312" w:eastAsia="仿宋_GB2312" w:cs="仿宋_GB2312"/>
          <w:color w:val="auto"/>
          <w:spacing w:val="0"/>
          <w:w w:val="100"/>
          <w:sz w:val="32"/>
          <w:szCs w:val="32"/>
          <w:highlight w:val="none"/>
        </w:rPr>
        <w:t>书面定标报告。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（五）招标人根据项目需要设定的其他环节。</w:t>
      </w:r>
    </w:p>
    <w:p>
      <w:pPr>
        <w:pStyle w:val="5"/>
        <w:keepNext w:val="0"/>
        <w:keepLines w:val="0"/>
        <w:pageBreakBefore w:val="0"/>
        <w:kinsoku/>
        <w:wordWrap/>
        <w:overflowPunct/>
        <w:topLinePunct w:val="0"/>
        <w:autoSpaceDE/>
        <w:autoSpaceDN/>
        <w:bidi w:val="0"/>
        <w:adjustRightInd/>
        <w:snapToGrid w:val="0"/>
        <w:spacing w:after="0" w:line="560" w:lineRule="exact"/>
        <w:ind w:left="0" w:leftChars="0" w:right="0" w:rightChars="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bCs w:val="0"/>
          <w:color w:val="auto"/>
          <w:spacing w:val="0"/>
          <w:w w:val="100"/>
          <w:sz w:val="32"/>
          <w:szCs w:val="32"/>
          <w:highlight w:val="none"/>
          <w:lang w:eastAsia="zh-CN"/>
        </w:rPr>
        <w:t>第十</w:t>
      </w:r>
      <w:r>
        <w:rPr>
          <w:rFonts w:hint="eastAsia" w:ascii="仿宋_GB2312" w:hAnsi="仿宋_GB2312" w:eastAsia="仿宋_GB2312" w:cs="仿宋_GB2312"/>
          <w:b/>
          <w:bCs w:val="0"/>
          <w:color w:val="auto"/>
          <w:spacing w:val="0"/>
          <w:w w:val="100"/>
          <w:sz w:val="32"/>
          <w:szCs w:val="32"/>
          <w:highlight w:val="none"/>
          <w:lang w:val="en-US" w:eastAsia="zh-CN"/>
        </w:rPr>
        <w:t>五</w:t>
      </w:r>
      <w:r>
        <w:rPr>
          <w:rFonts w:hint="eastAsia" w:ascii="仿宋_GB2312" w:hAnsi="仿宋_GB2312" w:eastAsia="仿宋_GB2312" w:cs="仿宋_GB2312"/>
          <w:b/>
          <w:bCs w:val="0"/>
          <w:color w:val="auto"/>
          <w:spacing w:val="0"/>
          <w:w w:val="100"/>
          <w:sz w:val="32"/>
          <w:szCs w:val="32"/>
          <w:highlight w:val="none"/>
          <w:lang w:eastAsia="zh-CN"/>
        </w:rPr>
        <w:t>条</w:t>
      </w:r>
      <w:r>
        <w:rPr>
          <w:rFonts w:hint="eastAsia" w:ascii="仿宋_GB2312" w:hAnsi="仿宋_GB2312" w:eastAsia="仿宋_GB2312" w:cs="仿宋_GB2312"/>
          <w:b w:val="0"/>
          <w:bCs/>
          <w:color w:val="auto"/>
          <w:spacing w:val="0"/>
          <w:w w:val="100"/>
          <w:sz w:val="32"/>
          <w:szCs w:val="32"/>
          <w:highlight w:val="none"/>
          <w:lang w:val="en-US" w:eastAsia="zh-CN"/>
        </w:rPr>
        <w:t xml:space="preserve">  采用随机抽取法的，中标人由定标委员会从中标候选人中随机确定，</w:t>
      </w:r>
      <w:r>
        <w:rPr>
          <w:rFonts w:hint="eastAsia" w:ascii="仿宋_GB2312" w:hAnsi="仿宋_GB2312" w:eastAsia="仿宋_GB2312" w:cs="仿宋_GB2312"/>
          <w:b w:val="0"/>
          <w:bCs w:val="0"/>
          <w:color w:val="auto"/>
          <w:spacing w:val="0"/>
          <w:w w:val="100"/>
          <w:kern w:val="2"/>
          <w:sz w:val="32"/>
          <w:szCs w:val="32"/>
          <w:highlight w:val="none"/>
          <w:lang w:val="en-US" w:eastAsia="zh-CN"/>
        </w:rPr>
        <w:t>抽取过程、抽取环境、抽取方式要保证公平、公正。</w:t>
      </w:r>
    </w:p>
    <w:p>
      <w:pPr>
        <w:pStyle w:val="5"/>
        <w:keepNext w:val="0"/>
        <w:keepLines w:val="0"/>
        <w:pageBreakBefore w:val="0"/>
        <w:kinsoku/>
        <w:wordWrap/>
        <w:overflowPunct/>
        <w:topLinePunct w:val="0"/>
        <w:autoSpaceDE/>
        <w:autoSpaceDN/>
        <w:bidi w:val="0"/>
        <w:adjustRightInd/>
        <w:snapToGrid w:val="0"/>
        <w:spacing w:after="0" w:line="560" w:lineRule="exact"/>
        <w:ind w:left="0" w:leftChars="0" w:right="0" w:rightChars="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随机抽取法的定标环节包括：</w:t>
      </w:r>
    </w:p>
    <w:p>
      <w:pPr>
        <w:pStyle w:val="5"/>
        <w:keepNext w:val="0"/>
        <w:keepLines w:val="0"/>
        <w:pageBreakBefore w:val="0"/>
        <w:numPr>
          <w:ilvl w:val="0"/>
          <w:numId w:val="1"/>
        </w:numPr>
        <w:kinsoku/>
        <w:wordWrap/>
        <w:overflowPunct/>
        <w:topLinePunct w:val="0"/>
        <w:autoSpaceDE/>
        <w:autoSpaceDN/>
        <w:bidi w:val="0"/>
        <w:adjustRightInd/>
        <w:snapToGrid w:val="0"/>
        <w:spacing w:after="0" w:line="560" w:lineRule="exact"/>
        <w:ind w:left="0" w:leftChars="0" w:right="0" w:rightChars="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招标人介绍定标程序及须知；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二</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招标人</w:t>
      </w:r>
      <w:r>
        <w:rPr>
          <w:rFonts w:hint="eastAsia" w:ascii="仿宋_GB2312" w:hAnsi="仿宋_GB2312" w:eastAsia="仿宋_GB2312" w:cs="仿宋_GB2312"/>
          <w:color w:val="auto"/>
          <w:spacing w:val="0"/>
          <w:w w:val="100"/>
          <w:sz w:val="32"/>
          <w:szCs w:val="32"/>
          <w:highlight w:val="none"/>
        </w:rPr>
        <w:t>介绍项目基本情况</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同时提供相关资料（包括：招标文件、评标报告、涉及定标的其它资料）</w:t>
      </w:r>
      <w:r>
        <w:rPr>
          <w:rFonts w:hint="eastAsia" w:ascii="仿宋_GB2312" w:hAnsi="仿宋_GB2312" w:eastAsia="仿宋_GB2312" w:cs="仿宋_GB2312"/>
          <w:color w:val="auto"/>
          <w:spacing w:val="0"/>
          <w:w w:val="100"/>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（三）随机抽取确定中标人；</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rPr>
        <w:t>（四）定标委员会形成定标报告。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第十</w:t>
      </w:r>
      <w:r>
        <w:rPr>
          <w:rFonts w:hint="eastAsia" w:ascii="仿宋_GB2312" w:hAnsi="仿宋_GB2312" w:eastAsia="仿宋_GB2312" w:cs="仿宋_GB2312"/>
          <w:b/>
          <w:bCs/>
          <w:color w:val="auto"/>
          <w:spacing w:val="0"/>
          <w:w w:val="100"/>
          <w:sz w:val="32"/>
          <w:szCs w:val="32"/>
          <w:highlight w:val="none"/>
          <w:lang w:val="en-US" w:eastAsia="zh-CN"/>
        </w:rPr>
        <w:t>六</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b/>
          <w:bCs/>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lang w:val="en-US" w:eastAsia="zh-CN"/>
        </w:rPr>
        <w:t xml:space="preserve"> </w:t>
      </w:r>
      <w:r>
        <w:rPr>
          <w:rFonts w:hint="eastAsia" w:ascii="仿宋_GB2312" w:hAnsi="仿宋_GB2312" w:eastAsia="仿宋_GB2312" w:cs="仿宋_GB2312"/>
          <w:b w:val="0"/>
          <w:bCs/>
          <w:color w:val="auto"/>
          <w:spacing w:val="0"/>
          <w:w w:val="100"/>
          <w:sz w:val="32"/>
          <w:szCs w:val="32"/>
          <w:highlight w:val="none"/>
          <w:lang w:eastAsia="zh-CN"/>
        </w:rPr>
        <w:t>中标候选人答辩的</w:t>
      </w:r>
      <w:r>
        <w:rPr>
          <w:rFonts w:hint="eastAsia" w:ascii="仿宋_GB2312" w:hAnsi="仿宋_GB2312" w:eastAsia="仿宋_GB2312" w:cs="仿宋_GB2312"/>
          <w:color w:val="auto"/>
          <w:spacing w:val="0"/>
          <w:w w:val="100"/>
          <w:sz w:val="32"/>
          <w:szCs w:val="32"/>
          <w:highlight w:val="none"/>
          <w:lang w:eastAsia="zh-CN"/>
        </w:rPr>
        <w:t>相关要求应当在招标文件中明确。答辩的内容一般包括中标候选人对项目的理解程度、组织管理方案、关键节点及施工难点分析、提升工程品质的保障措施等。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第十七条</w:t>
      </w:r>
      <w:r>
        <w:rPr>
          <w:rFonts w:hint="eastAsia" w:ascii="仿宋_GB2312" w:hAnsi="仿宋_GB2312" w:eastAsia="仿宋_GB2312" w:cs="仿宋_GB2312"/>
          <w:color w:val="auto"/>
          <w:spacing w:val="0"/>
          <w:w w:val="100"/>
          <w:sz w:val="32"/>
          <w:szCs w:val="32"/>
          <w:highlight w:val="none"/>
          <w:lang w:val="en-US" w:eastAsia="zh-CN"/>
        </w:rPr>
        <w:t xml:space="preserve">  定标方式为票决法或集体议事法的，定标报告应当包括定标办法、定标时间、定标地点、定标委员会名单、</w:t>
      </w:r>
      <w:r>
        <w:rPr>
          <w:rFonts w:hint="eastAsia" w:ascii="仿宋_GB2312" w:hAnsi="仿宋_GB2312" w:eastAsia="仿宋_GB2312" w:cs="仿宋_GB2312"/>
          <w:color w:val="auto"/>
          <w:spacing w:val="0"/>
          <w:w w:val="100"/>
          <w:sz w:val="32"/>
          <w:szCs w:val="32"/>
          <w:highlight w:val="none"/>
        </w:rPr>
        <w:t>考察</w:t>
      </w:r>
      <w:r>
        <w:rPr>
          <w:rFonts w:hint="eastAsia" w:ascii="仿宋_GB2312" w:hAnsi="仿宋_GB2312" w:eastAsia="仿宋_GB2312" w:cs="仿宋_GB2312"/>
          <w:color w:val="auto"/>
          <w:spacing w:val="0"/>
          <w:w w:val="100"/>
          <w:sz w:val="32"/>
          <w:szCs w:val="32"/>
          <w:highlight w:val="none"/>
          <w:lang w:eastAsia="zh-CN"/>
        </w:rPr>
        <w:t>情况（如有）</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答辩情况、</w:t>
      </w:r>
      <w:r>
        <w:rPr>
          <w:rFonts w:hint="eastAsia" w:ascii="仿宋_GB2312" w:hAnsi="仿宋_GB2312" w:eastAsia="仿宋_GB2312" w:cs="仿宋_GB2312"/>
          <w:color w:val="auto"/>
          <w:spacing w:val="0"/>
          <w:w w:val="100"/>
          <w:sz w:val="32"/>
          <w:szCs w:val="32"/>
          <w:highlight w:val="none"/>
          <w:lang w:val="en-US" w:eastAsia="zh-CN"/>
        </w:rPr>
        <w:t>定标理由、定标结果等内容。</w:t>
      </w:r>
    </w:p>
    <w:p>
      <w:pPr>
        <w:pStyle w:val="5"/>
        <w:keepNext w:val="0"/>
        <w:keepLines w:val="0"/>
        <w:pageBreakBefore w:val="0"/>
        <w:kinsoku/>
        <w:wordWrap/>
        <w:overflowPunct/>
        <w:topLinePunct w:val="0"/>
        <w:autoSpaceDE/>
        <w:autoSpaceDN/>
        <w:bidi w:val="0"/>
        <w:adjustRightInd/>
        <w:snapToGrid w:val="0"/>
        <w:spacing w:after="0" w:line="560" w:lineRule="exact"/>
        <w:ind w:left="0" w:leftChars="0" w:right="0" w:rightChars="0"/>
        <w:textAlignment w:val="auto"/>
        <w:rPr>
          <w:rFonts w:hint="eastAsia" w:ascii="仿宋_GB2312" w:hAnsi="仿宋_GB2312" w:eastAsia="仿宋_GB2312" w:cs="仿宋_GB2312"/>
          <w:b w:val="0"/>
          <w:bCs/>
          <w:color w:val="auto"/>
          <w:spacing w:val="0"/>
          <w:w w:val="100"/>
          <w:kern w:val="2"/>
          <w:sz w:val="32"/>
          <w:szCs w:val="32"/>
          <w:highlight w:val="none"/>
          <w:lang w:val="en-US" w:eastAsia="zh-CN" w:bidi="ar-SA"/>
        </w:rPr>
      </w:pPr>
      <w:r>
        <w:rPr>
          <w:rFonts w:hint="eastAsia" w:ascii="仿宋_GB2312" w:hAnsi="仿宋_GB2312" w:eastAsia="仿宋_GB2312" w:cs="仿宋_GB2312"/>
          <w:b w:val="0"/>
          <w:bCs/>
          <w:color w:val="auto"/>
          <w:spacing w:val="0"/>
          <w:w w:val="100"/>
          <w:kern w:val="2"/>
          <w:sz w:val="32"/>
          <w:szCs w:val="32"/>
          <w:highlight w:val="none"/>
          <w:lang w:val="en-US" w:eastAsia="zh-CN" w:bidi="ar-SA"/>
        </w:rPr>
        <w:t>定标方式为随机抽取法的，定标报告应当包括定标办法、定标时间、定标地点、定标委员会名单、定标结果等内容。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第十八条</w:t>
      </w:r>
      <w:r>
        <w:rPr>
          <w:rFonts w:hint="eastAsia" w:ascii="仿宋_GB2312" w:hAnsi="仿宋_GB2312" w:eastAsia="仿宋_GB2312" w:cs="仿宋_GB2312"/>
          <w:spacing w:val="0"/>
          <w:w w:val="100"/>
          <w:sz w:val="32"/>
          <w:szCs w:val="32"/>
          <w:highlight w:val="none"/>
          <w:lang w:val="en-US" w:eastAsia="zh-CN"/>
        </w:rPr>
        <w:t xml:space="preserve">   招标人应当自收到定标报告之日起3日内进行拟定中标人公示，公示期不得少于3日。</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spacing w:val="0"/>
          <w:w w:val="100"/>
          <w:highlight w:val="none"/>
          <w:lang w:val="en-US" w:eastAsia="zh-CN"/>
        </w:rPr>
      </w:pPr>
      <w:r>
        <w:rPr>
          <w:rFonts w:hint="eastAsia" w:ascii="仿宋_GB2312" w:hAnsi="仿宋_GB2312" w:eastAsia="仿宋_GB2312" w:cs="仿宋_GB2312"/>
          <w:b w:val="0"/>
          <w:bCs/>
          <w:color w:val="auto"/>
          <w:spacing w:val="0"/>
          <w:w w:val="100"/>
          <w:kern w:val="2"/>
          <w:sz w:val="32"/>
          <w:szCs w:val="32"/>
          <w:highlight w:val="none"/>
          <w:lang w:val="en-US" w:eastAsia="zh-CN" w:bidi="ar-SA"/>
        </w:rPr>
        <w:t>拟定中标人公示内容应当包括：定标情况（得票情况、推荐中标人的理由、随机抽取情况），拟定中标人的名称、投标价格、项目负责人等内容，</w:t>
      </w:r>
      <w:r>
        <w:rPr>
          <w:rFonts w:hint="eastAsia" w:ascii="Times New Roman" w:hAnsi="Times New Roman" w:eastAsia="仿宋_GB2312" w:cs="仿宋_GB2312"/>
          <w:spacing w:val="0"/>
          <w:w w:val="100"/>
          <w:sz w:val="32"/>
          <w:szCs w:val="32"/>
          <w:highlight w:val="none"/>
          <w:lang w:eastAsia="zh-CN"/>
        </w:rPr>
        <w:t>提出异议和投诉的渠道方式，以及法律法规和招标文件规定公示的其他内容。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spacing w:val="0"/>
          <w:w w:val="100"/>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第十九条</w:t>
      </w:r>
      <w:r>
        <w:rPr>
          <w:rFonts w:hint="eastAsia" w:ascii="仿宋_GB2312" w:hAnsi="仿宋_GB2312" w:eastAsia="仿宋_GB2312" w:cs="仿宋_GB2312"/>
          <w:color w:val="auto"/>
          <w:spacing w:val="0"/>
          <w:w w:val="100"/>
          <w:sz w:val="32"/>
          <w:szCs w:val="32"/>
          <w:highlight w:val="none"/>
          <w:lang w:val="en-US" w:eastAsia="zh-CN"/>
        </w:rPr>
        <w:t xml:space="preserve">  投标人或者其他利害关系人就定标结果进行投诉的应当在拟定中标人公示期间先向招标人提出异议。招标人应当自收到异议之日起3日内作出答复。</w:t>
      </w:r>
      <w:r>
        <w:rPr>
          <w:rFonts w:hint="eastAsia" w:ascii="Times New Roman" w:hAnsi="Times New Roman" w:eastAsia="仿宋_GB2312" w:cs="仿宋_GB2312"/>
          <w:color w:val="auto"/>
          <w:spacing w:val="0"/>
          <w:w w:val="100"/>
          <w:sz w:val="32"/>
          <w:szCs w:val="32"/>
          <w:highlight w:val="none"/>
          <w:lang w:eastAsia="zh-CN"/>
        </w:rPr>
        <w:t>异议或投诉处理决定不改变评标委员会推荐的中标候选人名单。</w:t>
      </w:r>
      <w:r>
        <w:rPr>
          <w:rFonts w:hint="eastAsia" w:ascii="Times New Roman" w:hAnsi="Times New Roman" w:eastAsia="仿宋_GB2312" w:cs="仿宋_GB2312"/>
          <w:color w:val="auto"/>
          <w:spacing w:val="0"/>
          <w:w w:val="100"/>
          <w:sz w:val="32"/>
          <w:szCs w:val="32"/>
          <w:highlight w:val="none"/>
          <w:lang w:val="en-US" w:eastAsia="zh-CN"/>
        </w:rPr>
        <w:t>中标候选人</w:t>
      </w:r>
      <w:r>
        <w:rPr>
          <w:rFonts w:hint="eastAsia" w:ascii="Times New Roman" w:hAnsi="Times New Roman" w:eastAsia="仿宋_GB2312" w:cs="仿宋_GB2312"/>
          <w:color w:val="auto"/>
          <w:spacing w:val="0"/>
          <w:w w:val="100"/>
          <w:sz w:val="32"/>
          <w:szCs w:val="32"/>
          <w:highlight w:val="none"/>
          <w:lang w:eastAsia="zh-CN"/>
        </w:rPr>
        <w:t>公示期间已经处理过的异议或投诉，投标人或者其他利害关系人不得在</w:t>
      </w:r>
      <w:r>
        <w:rPr>
          <w:rFonts w:hint="eastAsia" w:ascii="仿宋_GB2312" w:hAnsi="仿宋_GB2312" w:eastAsia="仿宋_GB2312" w:cs="仿宋_GB2312"/>
          <w:color w:val="auto"/>
          <w:spacing w:val="0"/>
          <w:w w:val="100"/>
          <w:sz w:val="32"/>
          <w:szCs w:val="32"/>
          <w:highlight w:val="none"/>
          <w:lang w:val="en-US" w:eastAsia="zh-CN"/>
        </w:rPr>
        <w:t>拟定中标人</w:t>
      </w:r>
      <w:r>
        <w:rPr>
          <w:rFonts w:hint="eastAsia" w:ascii="Times New Roman" w:hAnsi="Times New Roman" w:eastAsia="仿宋_GB2312" w:cs="仿宋_GB2312"/>
          <w:color w:val="auto"/>
          <w:spacing w:val="0"/>
          <w:w w:val="100"/>
          <w:sz w:val="32"/>
          <w:szCs w:val="32"/>
          <w:highlight w:val="none"/>
          <w:lang w:eastAsia="zh-CN"/>
        </w:rPr>
        <w:t>公示期间以相同理由再次提出相同异议或投诉。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val="en-US" w:eastAsia="zh-CN"/>
        </w:rPr>
        <w:t>第二十条</w:t>
      </w:r>
      <w:r>
        <w:rPr>
          <w:rFonts w:hint="eastAsia" w:ascii="仿宋_GB2312" w:hAnsi="仿宋_GB2312" w:eastAsia="仿宋_GB2312" w:cs="仿宋_GB2312"/>
          <w:color w:val="auto"/>
          <w:spacing w:val="0"/>
          <w:w w:val="100"/>
          <w:sz w:val="32"/>
          <w:szCs w:val="32"/>
          <w:highlight w:val="none"/>
          <w:lang w:val="en-US" w:eastAsia="zh-CN"/>
        </w:rPr>
        <w:t xml:space="preserve">  招标人应当自确定中标人之日起十五日内，向有关行政监督部门提交招标投标情况的书面报告，</w:t>
      </w:r>
      <w:r>
        <w:rPr>
          <w:rFonts w:hint="eastAsia" w:ascii="仿宋_GB2312" w:hAnsi="仿宋_GB2312" w:eastAsia="仿宋_GB2312" w:cs="仿宋_GB2312"/>
          <w:spacing w:val="0"/>
          <w:w w:val="100"/>
          <w:sz w:val="32"/>
          <w:szCs w:val="32"/>
          <w:highlight w:val="none"/>
          <w:lang w:val="en-US" w:eastAsia="zh-CN"/>
        </w:rPr>
        <w:t>并公示中标结果。</w:t>
      </w:r>
      <w:r>
        <w:rPr>
          <w:rFonts w:hint="eastAsia" w:ascii="仿宋_GB2312" w:hAnsi="仿宋_GB2312" w:eastAsia="仿宋_GB2312" w:cs="仿宋_GB2312"/>
          <w:color w:val="auto"/>
          <w:spacing w:val="0"/>
          <w:w w:val="100"/>
          <w:sz w:val="32"/>
          <w:szCs w:val="32"/>
          <w:highlight w:val="none"/>
        </w:rPr>
        <w:t>提交书面报告时，</w:t>
      </w:r>
      <w:r>
        <w:rPr>
          <w:rFonts w:hint="eastAsia" w:ascii="仿宋_GB2312" w:hAnsi="仿宋_GB2312" w:eastAsia="仿宋_GB2312" w:cs="仿宋_GB2312"/>
          <w:color w:val="auto"/>
          <w:spacing w:val="0"/>
          <w:w w:val="100"/>
          <w:sz w:val="32"/>
          <w:szCs w:val="32"/>
          <w:highlight w:val="none"/>
          <w:lang w:eastAsia="zh-CN"/>
        </w:rPr>
        <w:t>应当</w:t>
      </w:r>
      <w:r>
        <w:rPr>
          <w:rFonts w:hint="eastAsia" w:ascii="仿宋_GB2312" w:hAnsi="仿宋_GB2312" w:eastAsia="仿宋_GB2312" w:cs="仿宋_GB2312"/>
          <w:color w:val="auto"/>
          <w:spacing w:val="0"/>
          <w:w w:val="100"/>
          <w:sz w:val="32"/>
          <w:szCs w:val="32"/>
          <w:highlight w:val="none"/>
        </w:rPr>
        <w:t>同时附送下列文件：</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（一）招标文件；</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（二）招标公告及发布媒介或者投标邀请书；</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（三）实行资格预审的，资格预审文件和资格预审结果；</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（四）评标委员会成员和评标报告；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五</w:t>
      </w:r>
      <w:r>
        <w:rPr>
          <w:rFonts w:hint="eastAsia" w:ascii="仿宋_GB2312" w:hAnsi="仿宋_GB2312" w:eastAsia="仿宋_GB2312" w:cs="仿宋_GB2312"/>
          <w:color w:val="auto"/>
          <w:spacing w:val="0"/>
          <w:w w:val="100"/>
          <w:sz w:val="32"/>
          <w:szCs w:val="32"/>
          <w:highlight w:val="none"/>
        </w:rPr>
        <w:t>）定标委员会</w:t>
      </w:r>
      <w:r>
        <w:rPr>
          <w:rFonts w:hint="eastAsia" w:ascii="仿宋_GB2312" w:hAnsi="仿宋_GB2312" w:eastAsia="仿宋_GB2312" w:cs="仿宋_GB2312"/>
          <w:color w:val="auto"/>
          <w:spacing w:val="0"/>
          <w:w w:val="100"/>
          <w:sz w:val="32"/>
          <w:szCs w:val="32"/>
          <w:highlight w:val="none"/>
          <w:lang w:eastAsia="zh-CN"/>
        </w:rPr>
        <w:t>成员和</w:t>
      </w:r>
      <w:r>
        <w:rPr>
          <w:rFonts w:hint="eastAsia" w:ascii="仿宋_GB2312" w:hAnsi="仿宋_GB2312" w:eastAsia="仿宋_GB2312" w:cs="仿宋_GB2312"/>
          <w:color w:val="auto"/>
          <w:spacing w:val="0"/>
          <w:w w:val="100"/>
          <w:sz w:val="32"/>
          <w:szCs w:val="32"/>
          <w:highlight w:val="none"/>
        </w:rPr>
        <w:t>定标报告；</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pacing w:val="0"/>
          <w:w w:val="100"/>
          <w:sz w:val="32"/>
          <w:szCs w:val="32"/>
          <w:highlight w:val="none"/>
          <w:lang w:eastAsia="zh-CN"/>
        </w:rPr>
      </w:pPr>
      <w:r>
        <w:rPr>
          <w:rFonts w:hint="eastAsia" w:ascii="仿宋_GB2312" w:hAnsi="仿宋_GB2312" w:eastAsia="仿宋_GB2312" w:cs="仿宋_GB2312"/>
          <w:b w:val="0"/>
          <w:bCs/>
          <w:color w:val="auto"/>
          <w:spacing w:val="0"/>
          <w:w w:val="100"/>
          <w:sz w:val="32"/>
          <w:szCs w:val="32"/>
          <w:highlight w:val="none"/>
          <w:lang w:eastAsia="zh-CN"/>
        </w:rPr>
        <w:t>（六）中标结果及中标人的投标文件。</w:t>
      </w:r>
    </w:p>
    <w:p>
      <w:pPr>
        <w:pStyle w:val="5"/>
        <w:keepNext w:val="0"/>
        <w:keepLines w:val="0"/>
        <w:pageBreakBefore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rPr>
          <w:rFonts w:hint="eastAsia" w:ascii="仿宋_GB2312" w:hAnsi="仿宋_GB2312" w:eastAsia="仿宋_GB2312" w:cs="仿宋_GB2312"/>
          <w:b w:val="0"/>
          <w:bCs/>
          <w:color w:val="auto"/>
          <w:spacing w:val="0"/>
          <w:w w:val="100"/>
          <w:kern w:val="2"/>
          <w:sz w:val="32"/>
          <w:szCs w:val="32"/>
          <w:highlight w:val="none"/>
          <w:lang w:val="en-US" w:eastAsia="zh-CN" w:bidi="ar-SA"/>
        </w:rPr>
      </w:pPr>
      <w:r>
        <w:rPr>
          <w:rFonts w:hint="eastAsia" w:ascii="仿宋_GB2312" w:hAnsi="仿宋_GB2312" w:eastAsia="仿宋_GB2312" w:cs="仿宋_GB2312"/>
          <w:b/>
          <w:bCs w:val="0"/>
          <w:color w:val="auto"/>
          <w:spacing w:val="0"/>
          <w:w w:val="100"/>
          <w:kern w:val="2"/>
          <w:sz w:val="32"/>
          <w:szCs w:val="32"/>
          <w:highlight w:val="none"/>
          <w:lang w:val="en-US" w:eastAsia="zh-CN" w:bidi="ar-SA"/>
        </w:rPr>
        <w:t>第二十一条</w:t>
      </w:r>
      <w:r>
        <w:rPr>
          <w:rFonts w:hint="eastAsia" w:ascii="仿宋_GB2312" w:hAnsi="仿宋_GB2312" w:eastAsia="仿宋_GB2312" w:cs="仿宋_GB2312"/>
          <w:b w:val="0"/>
          <w:bCs/>
          <w:color w:val="auto"/>
          <w:spacing w:val="0"/>
          <w:w w:val="100"/>
          <w:kern w:val="2"/>
          <w:sz w:val="32"/>
          <w:szCs w:val="32"/>
          <w:highlight w:val="none"/>
          <w:lang w:val="en-US" w:eastAsia="zh-CN" w:bidi="ar-SA"/>
        </w:rPr>
        <w:t xml:space="preserve">  定标完成后，招标人应将定标全过程相关的纸质、电子、录音录像等定标资料作为档案保存，按照档案管理的有关规定执行。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color w:val="auto"/>
          <w:spacing w:val="0"/>
          <w:w w:val="100"/>
          <w:highlight w:val="none"/>
          <w:lang w:val="en-US" w:eastAsia="zh-CN"/>
        </w:rPr>
      </w:pPr>
      <w:r>
        <w:rPr>
          <w:rFonts w:hint="eastAsia" w:ascii="仿宋_GB2312" w:hAnsi="仿宋_GB2312" w:eastAsia="仿宋_GB2312" w:cs="仿宋_GB2312"/>
          <w:b/>
          <w:bCs/>
          <w:i w:val="0"/>
          <w:caps w:val="0"/>
          <w:color w:val="auto"/>
          <w:spacing w:val="0"/>
          <w:w w:val="100"/>
          <w:sz w:val="32"/>
          <w:szCs w:val="32"/>
          <w:highlight w:val="none"/>
          <w:shd w:val="clear" w:fill="FFFFFF"/>
          <w:lang w:val="en-US" w:eastAsia="zh-CN"/>
        </w:rPr>
        <w:t>第二十二条</w:t>
      </w:r>
      <w:r>
        <w:rPr>
          <w:rFonts w:hint="eastAsia" w:ascii="仿宋_GB2312" w:hAnsi="仿宋_GB2312" w:eastAsia="仿宋_GB2312" w:cs="仿宋_GB2312"/>
          <w:i w:val="0"/>
          <w:caps w:val="0"/>
          <w:color w:val="auto"/>
          <w:spacing w:val="0"/>
          <w:w w:val="100"/>
          <w:sz w:val="32"/>
          <w:szCs w:val="32"/>
          <w:highlight w:val="none"/>
          <w:shd w:val="clear" w:fill="FFFFFF"/>
          <w:lang w:val="en-US" w:eastAsia="zh-CN"/>
        </w:rPr>
        <w:t xml:space="preserve"> 中标人放弃中标、因不可抗力不能履行合同、不按照招标文件要求提交履约保证金、或者被查实存在影响中标结果的违法行为等情形，不符合中标条件的，招标人可以按照定标办法由原定标委员会确定其他中标候选人为中标人，</w:t>
      </w:r>
      <w:r>
        <w:rPr>
          <w:rFonts w:hint="eastAsia" w:ascii="Times New Roman" w:hAnsi="Times New Roman" w:eastAsia="仿宋_GB2312" w:cs="仿宋_GB2312"/>
          <w:color w:val="auto"/>
          <w:spacing w:val="0"/>
          <w:w w:val="100"/>
          <w:sz w:val="32"/>
          <w:szCs w:val="32"/>
          <w:highlight w:val="none"/>
          <w:lang w:eastAsia="zh-CN"/>
        </w:rPr>
        <w:t>其他中标候选人与招标人预期差距较大，或者对招标人明显不利的，</w:t>
      </w:r>
      <w:r>
        <w:rPr>
          <w:rFonts w:hint="eastAsia" w:ascii="仿宋_GB2312" w:hAnsi="仿宋_GB2312" w:eastAsia="仿宋_GB2312" w:cs="仿宋_GB2312"/>
          <w:i w:val="0"/>
          <w:caps w:val="0"/>
          <w:color w:val="auto"/>
          <w:spacing w:val="0"/>
          <w:w w:val="100"/>
          <w:sz w:val="32"/>
          <w:szCs w:val="32"/>
          <w:highlight w:val="none"/>
          <w:shd w:val="clear" w:fill="FFFFFF"/>
          <w:lang w:val="en-US" w:eastAsia="zh-CN"/>
        </w:rPr>
        <w:t>也可以重新招标。</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lang w:val="en-US" w:eastAsia="zh-CN"/>
        </w:rPr>
        <w:t xml:space="preserve">第二十三条  </w:t>
      </w:r>
      <w:r>
        <w:rPr>
          <w:rFonts w:hint="eastAsia" w:ascii="仿宋_GB2312" w:hAnsi="仿宋_GB2312" w:eastAsia="仿宋_GB2312" w:cs="仿宋_GB2312"/>
          <w:color w:val="auto"/>
          <w:spacing w:val="0"/>
          <w:w w:val="100"/>
          <w:sz w:val="32"/>
          <w:szCs w:val="32"/>
          <w:highlight w:val="none"/>
        </w:rPr>
        <w:t>定标委员会成员</w:t>
      </w:r>
      <w:r>
        <w:rPr>
          <w:rFonts w:hint="eastAsia" w:ascii="仿宋_GB2312" w:hAnsi="仿宋_GB2312" w:eastAsia="仿宋_GB2312" w:cs="仿宋_GB2312"/>
          <w:color w:val="auto"/>
          <w:spacing w:val="0"/>
          <w:w w:val="100"/>
          <w:sz w:val="32"/>
          <w:szCs w:val="32"/>
          <w:highlight w:val="none"/>
          <w:lang w:eastAsia="zh-CN"/>
        </w:rPr>
        <w:t>应当</w:t>
      </w:r>
      <w:r>
        <w:rPr>
          <w:rFonts w:hint="eastAsia" w:ascii="仿宋_GB2312" w:hAnsi="仿宋_GB2312" w:eastAsia="仿宋_GB2312" w:cs="仿宋_GB2312"/>
          <w:color w:val="auto"/>
          <w:spacing w:val="0"/>
          <w:w w:val="100"/>
          <w:sz w:val="32"/>
          <w:szCs w:val="32"/>
          <w:highlight w:val="none"/>
        </w:rPr>
        <w:t>客观公正履行职责，遵守职业道德，保守秘密，对所提出的定标意见承担责任。定标委员会成员在定标期间不得私下接触投标人，不得收受投标人、中介机构、其他利害关系人的财物或者好处。</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lang w:eastAsia="zh-CN"/>
        </w:rPr>
        <w:t>第二十</w:t>
      </w:r>
      <w:r>
        <w:rPr>
          <w:rFonts w:hint="eastAsia" w:ascii="仿宋_GB2312" w:hAnsi="仿宋_GB2312" w:eastAsia="仿宋_GB2312" w:cs="仿宋_GB2312"/>
          <w:b/>
          <w:bCs/>
          <w:color w:val="auto"/>
          <w:spacing w:val="0"/>
          <w:w w:val="100"/>
          <w:sz w:val="32"/>
          <w:szCs w:val="32"/>
          <w:highlight w:val="none"/>
          <w:lang w:val="en-US" w:eastAsia="zh-CN"/>
        </w:rPr>
        <w:t>四</w:t>
      </w:r>
      <w:r>
        <w:rPr>
          <w:rFonts w:hint="eastAsia" w:ascii="仿宋_GB2312" w:hAnsi="仿宋_GB2312" w:eastAsia="仿宋_GB2312" w:cs="仿宋_GB2312"/>
          <w:b/>
          <w:bCs/>
          <w:color w:val="auto"/>
          <w:spacing w:val="0"/>
          <w:w w:val="100"/>
          <w:sz w:val="32"/>
          <w:szCs w:val="32"/>
          <w:highlight w:val="none"/>
          <w:lang w:eastAsia="zh-CN"/>
        </w:rPr>
        <w:t>条</w:t>
      </w:r>
      <w:r>
        <w:rPr>
          <w:rFonts w:hint="eastAsia" w:ascii="仿宋_GB2312" w:hAnsi="仿宋_GB2312" w:eastAsia="仿宋_GB2312" w:cs="仿宋_GB2312"/>
          <w:color w:val="auto"/>
          <w:spacing w:val="0"/>
          <w:w w:val="100"/>
          <w:sz w:val="32"/>
          <w:szCs w:val="32"/>
          <w:highlight w:val="none"/>
          <w:lang w:val="en-US" w:eastAsia="zh-CN"/>
        </w:rPr>
        <w:t xml:space="preserve">  招投标</w:t>
      </w:r>
      <w:r>
        <w:rPr>
          <w:rFonts w:hint="eastAsia" w:ascii="仿宋_GB2312" w:hAnsi="仿宋_GB2312" w:eastAsia="仿宋_GB2312" w:cs="仿宋_GB2312"/>
          <w:b w:val="0"/>
          <w:bCs w:val="0"/>
          <w:color w:val="auto"/>
          <w:spacing w:val="0"/>
          <w:w w:val="100"/>
          <w:sz w:val="32"/>
          <w:szCs w:val="32"/>
          <w:highlight w:val="none"/>
          <w:lang w:val="en-US" w:eastAsia="zh-CN"/>
        </w:rPr>
        <w:t>行政主管部门采用随机抽查和定向检查相结合的方式，加强对定标活动的事中事后监管。</w:t>
      </w:r>
      <w:r>
        <w:rPr>
          <w:rFonts w:hint="eastAsia" w:ascii="仿宋_GB2312" w:hAnsi="仿宋_GB2312" w:eastAsia="仿宋_GB2312" w:cs="仿宋_GB2312"/>
          <w:b w:val="0"/>
          <w:bCs/>
          <w:i w:val="0"/>
          <w:iCs w:val="0"/>
          <w:color w:val="auto"/>
          <w:spacing w:val="0"/>
          <w:w w:val="100"/>
          <w:sz w:val="32"/>
          <w:szCs w:val="32"/>
          <w:highlight w:val="none"/>
        </w:rPr>
        <w:t>发现</w:t>
      </w:r>
      <w:r>
        <w:rPr>
          <w:rFonts w:hint="eastAsia" w:ascii="仿宋_GB2312" w:hAnsi="仿宋_GB2312" w:eastAsia="仿宋_GB2312" w:cs="仿宋_GB2312"/>
          <w:b w:val="0"/>
          <w:bCs/>
          <w:i w:val="0"/>
          <w:iCs w:val="0"/>
          <w:color w:val="auto"/>
          <w:spacing w:val="0"/>
          <w:w w:val="100"/>
          <w:sz w:val="32"/>
          <w:szCs w:val="32"/>
          <w:highlight w:val="none"/>
          <w:lang w:eastAsia="zh-CN"/>
        </w:rPr>
        <w:t>定标</w:t>
      </w:r>
      <w:r>
        <w:rPr>
          <w:rFonts w:hint="eastAsia" w:ascii="仿宋_GB2312" w:hAnsi="仿宋_GB2312" w:eastAsia="仿宋_GB2312" w:cs="仿宋_GB2312"/>
          <w:b w:val="0"/>
          <w:bCs/>
          <w:i w:val="0"/>
          <w:iCs w:val="0"/>
          <w:color w:val="auto"/>
          <w:spacing w:val="0"/>
          <w:w w:val="100"/>
          <w:sz w:val="32"/>
          <w:szCs w:val="32"/>
          <w:highlight w:val="none"/>
        </w:rPr>
        <w:t>活动存在违法、违规问题的</w:t>
      </w:r>
      <w:r>
        <w:rPr>
          <w:rFonts w:hint="eastAsia" w:ascii="仿宋_GB2312" w:hAnsi="仿宋_GB2312" w:eastAsia="仿宋_GB2312" w:cs="仿宋_GB2312"/>
          <w:b w:val="0"/>
          <w:bCs/>
          <w:i w:val="0"/>
          <w:iCs w:val="0"/>
          <w:color w:val="auto"/>
          <w:spacing w:val="0"/>
          <w:w w:val="100"/>
          <w:sz w:val="32"/>
          <w:szCs w:val="32"/>
          <w:highlight w:val="none"/>
          <w:lang w:eastAsia="zh-CN"/>
        </w:rPr>
        <w:t>，未按本办法规定录音录像及留存相关资料的</w:t>
      </w:r>
      <w:r>
        <w:rPr>
          <w:rFonts w:hint="eastAsia" w:ascii="仿宋_GB2312" w:hAnsi="仿宋_GB2312" w:eastAsia="仿宋_GB2312" w:cs="仿宋_GB2312"/>
          <w:b w:val="0"/>
          <w:bCs/>
          <w:i w:val="0"/>
          <w:iCs w:val="0"/>
          <w:color w:val="auto"/>
          <w:spacing w:val="0"/>
          <w:w w:val="100"/>
          <w:sz w:val="32"/>
          <w:szCs w:val="32"/>
          <w:highlight w:val="none"/>
        </w:rPr>
        <w:t>，</w:t>
      </w:r>
      <w:r>
        <w:rPr>
          <w:rFonts w:hint="eastAsia" w:ascii="仿宋_GB2312" w:hAnsi="仿宋_GB2312" w:eastAsia="仿宋_GB2312" w:cs="仿宋_GB2312"/>
          <w:b w:val="0"/>
          <w:bCs/>
          <w:i w:val="0"/>
          <w:iCs w:val="0"/>
          <w:color w:val="auto"/>
          <w:spacing w:val="0"/>
          <w:w w:val="100"/>
          <w:sz w:val="32"/>
          <w:szCs w:val="32"/>
          <w:highlight w:val="none"/>
          <w:lang w:eastAsia="zh-CN"/>
        </w:rPr>
        <w:t>视情节轻重将</w:t>
      </w:r>
      <w:r>
        <w:rPr>
          <w:rFonts w:hint="eastAsia" w:ascii="仿宋_GB2312" w:hAnsi="仿宋_GB2312" w:eastAsia="仿宋_GB2312" w:cs="仿宋_GB2312"/>
          <w:b w:val="0"/>
          <w:bCs/>
          <w:i w:val="0"/>
          <w:iCs w:val="0"/>
          <w:color w:val="auto"/>
          <w:spacing w:val="0"/>
          <w:w w:val="100"/>
          <w:sz w:val="32"/>
          <w:szCs w:val="32"/>
          <w:highlight w:val="none"/>
        </w:rPr>
        <w:t>处理</w:t>
      </w:r>
      <w:r>
        <w:rPr>
          <w:rFonts w:hint="eastAsia" w:ascii="仿宋_GB2312" w:hAnsi="仿宋_GB2312" w:eastAsia="仿宋_GB2312" w:cs="仿宋_GB2312"/>
          <w:b w:val="0"/>
          <w:bCs/>
          <w:i w:val="0"/>
          <w:iCs w:val="0"/>
          <w:color w:val="auto"/>
          <w:spacing w:val="0"/>
          <w:w w:val="100"/>
          <w:sz w:val="32"/>
          <w:szCs w:val="32"/>
          <w:highlight w:val="none"/>
          <w:lang w:eastAsia="zh-CN"/>
        </w:rPr>
        <w:t>结果及相关情况</w:t>
      </w:r>
      <w:r>
        <w:rPr>
          <w:rFonts w:hint="eastAsia" w:ascii="仿宋_GB2312" w:hAnsi="仿宋_GB2312" w:eastAsia="仿宋_GB2312" w:cs="仿宋_GB2312"/>
          <w:b w:val="0"/>
          <w:bCs/>
          <w:i w:val="0"/>
          <w:iCs w:val="0"/>
          <w:color w:val="auto"/>
          <w:spacing w:val="0"/>
          <w:w w:val="100"/>
          <w:sz w:val="32"/>
          <w:szCs w:val="32"/>
          <w:highlight w:val="none"/>
        </w:rPr>
        <w:t>通报招标人</w:t>
      </w:r>
      <w:r>
        <w:rPr>
          <w:rFonts w:hint="eastAsia" w:ascii="仿宋_GB2312" w:hAnsi="仿宋_GB2312" w:eastAsia="仿宋_GB2312" w:cs="仿宋_GB2312"/>
          <w:b w:val="0"/>
          <w:bCs/>
          <w:i w:val="0"/>
          <w:iCs w:val="0"/>
          <w:color w:val="auto"/>
          <w:spacing w:val="0"/>
          <w:w w:val="100"/>
          <w:sz w:val="32"/>
          <w:szCs w:val="32"/>
          <w:highlight w:val="none"/>
          <w:lang w:eastAsia="zh-CN"/>
        </w:rPr>
        <w:t>纪检监察部门或其</w:t>
      </w:r>
      <w:r>
        <w:rPr>
          <w:rFonts w:hint="eastAsia" w:ascii="仿宋_GB2312" w:hAnsi="仿宋_GB2312" w:eastAsia="仿宋_GB2312" w:cs="仿宋_GB2312"/>
          <w:b w:val="0"/>
          <w:bCs/>
          <w:i w:val="0"/>
          <w:iCs w:val="0"/>
          <w:color w:val="auto"/>
          <w:spacing w:val="0"/>
          <w:w w:val="100"/>
          <w:sz w:val="32"/>
          <w:szCs w:val="32"/>
          <w:highlight w:val="none"/>
        </w:rPr>
        <w:t>上级主管部门</w:t>
      </w:r>
      <w:r>
        <w:rPr>
          <w:rFonts w:hint="eastAsia" w:ascii="仿宋_GB2312" w:hAnsi="仿宋_GB2312" w:eastAsia="仿宋_GB2312" w:cs="仿宋_GB2312"/>
          <w:b w:val="0"/>
          <w:bCs/>
          <w:i w:val="0"/>
          <w:iCs w:val="0"/>
          <w:color w:val="auto"/>
          <w:spacing w:val="0"/>
          <w:w w:val="1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0" w:firstLineChars="0"/>
        <w:jc w:val="center"/>
        <w:textAlignment w:val="auto"/>
        <w:outlineLvl w:val="9"/>
        <w:rPr>
          <w:rFonts w:hint="eastAsia" w:ascii="仿宋_GB2312" w:hAnsi="仿宋_GB2312" w:eastAsia="黑体" w:cs="黑体"/>
          <w:b w:val="0"/>
          <w:bCs/>
          <w:i w:val="0"/>
          <w:caps w:val="0"/>
          <w:color w:val="auto"/>
          <w:spacing w:val="0"/>
          <w:w w:val="100"/>
          <w:sz w:val="32"/>
          <w:szCs w:val="32"/>
          <w:highlight w:val="none"/>
          <w:shd w:val="clear" w:fill="FFFFFF"/>
          <w:lang w:val="en-US" w:eastAsia="zh-CN"/>
        </w:rPr>
      </w:pPr>
      <w:r>
        <w:rPr>
          <w:rFonts w:hint="eastAsia" w:ascii="仿宋_GB2312" w:hAnsi="仿宋_GB2312" w:eastAsia="黑体" w:cs="黑体"/>
          <w:b w:val="0"/>
          <w:bCs/>
          <w:i w:val="0"/>
          <w:caps w:val="0"/>
          <w:color w:val="auto"/>
          <w:spacing w:val="0"/>
          <w:w w:val="100"/>
          <w:sz w:val="32"/>
          <w:szCs w:val="32"/>
          <w:highlight w:val="none"/>
          <w:shd w:val="clear" w:fill="FFFFFF"/>
          <w:lang w:val="en-US" w:eastAsia="zh-CN"/>
        </w:rPr>
        <w:t>第四章 附 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val="0"/>
          <w:color w:val="auto"/>
          <w:spacing w:val="0"/>
          <w:w w:val="100"/>
          <w:kern w:val="2"/>
          <w:sz w:val="32"/>
          <w:szCs w:val="32"/>
          <w:highlight w:val="none"/>
          <w:lang w:val="en-US" w:eastAsia="zh-CN" w:bidi="ar-SA"/>
        </w:rPr>
        <w:t xml:space="preserve">第二十五条  </w:t>
      </w:r>
      <w:r>
        <w:rPr>
          <w:rFonts w:hint="eastAsia" w:ascii="仿宋_GB2312" w:hAnsi="仿宋_GB2312" w:eastAsia="仿宋_GB2312" w:cs="仿宋_GB2312"/>
          <w:color w:val="auto"/>
          <w:spacing w:val="0"/>
          <w:w w:val="100"/>
          <w:sz w:val="32"/>
          <w:szCs w:val="32"/>
          <w:highlight w:val="none"/>
          <w:lang w:val="en-US" w:eastAsia="zh-CN"/>
        </w:rPr>
        <w:t>在资格预审阶段，鼓励招标人参照本办法采用“评定分离”方式确定通过资格预审的申请人。招标人应当科学合理设置资格预审阶段的审定因素。</w:t>
      </w:r>
    </w:p>
    <w:p>
      <w:pPr>
        <w:pStyle w:val="6"/>
        <w:keepNext w:val="0"/>
        <w:keepLines w:val="0"/>
        <w:pageBreakBefore w:val="0"/>
        <w:kinsoku/>
        <w:wordWrap/>
        <w:overflowPunct/>
        <w:topLinePunct w:val="0"/>
        <w:autoSpaceDE/>
        <w:autoSpaceDN/>
        <w:bidi w:val="0"/>
        <w:adjustRightInd/>
        <w:snapToGrid w:val="0"/>
        <w:spacing w:line="560" w:lineRule="exact"/>
        <w:ind w:left="0" w:leftChars="0" w:right="0" w:rightChars="0"/>
        <w:textAlignment w:val="auto"/>
        <w:rPr>
          <w:rFonts w:hint="eastAsia" w:ascii="仿宋_GB2312" w:hAnsi="仿宋_GB2312"/>
          <w:color w:val="auto"/>
          <w:spacing w:val="0"/>
          <w:w w:val="100"/>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第二十六条</w:t>
      </w:r>
      <w:r>
        <w:rPr>
          <w:rFonts w:hint="eastAsia" w:ascii="仿宋_GB2312" w:hAnsi="仿宋_GB2312" w:eastAsia="仿宋_GB2312" w:cs="仿宋_GB2312"/>
          <w:color w:val="auto"/>
          <w:spacing w:val="0"/>
          <w:w w:val="100"/>
          <w:sz w:val="32"/>
          <w:szCs w:val="32"/>
          <w:highlight w:val="none"/>
          <w:lang w:val="en-US" w:eastAsia="zh-CN"/>
        </w:rPr>
        <w:t xml:space="preserve">  本办法未提及事项按照现行招标投标法律法规规章等要求执行。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_GB2312" w:hAnsi="仿宋_GB2312" w:eastAsia="仿宋_GB2312" w:cs="仿宋_GB2312"/>
          <w:i w:val="0"/>
          <w:caps w:val="0"/>
          <w:color w:val="auto"/>
          <w:spacing w:val="0"/>
          <w:w w:val="100"/>
          <w:sz w:val="32"/>
          <w:szCs w:val="32"/>
          <w:highlight w:val="none"/>
          <w:lang w:val="en-US" w:eastAsia="zh-CN"/>
        </w:rPr>
      </w:pPr>
      <w:r>
        <w:rPr>
          <w:rFonts w:hint="eastAsia" w:ascii="仿宋_GB2312" w:hAnsi="仿宋_GB2312" w:eastAsia="仿宋_GB2312" w:cs="仿宋_GB2312"/>
          <w:b/>
          <w:bCs/>
          <w:i w:val="0"/>
          <w:caps w:val="0"/>
          <w:color w:val="auto"/>
          <w:spacing w:val="0"/>
          <w:w w:val="100"/>
          <w:sz w:val="32"/>
          <w:szCs w:val="32"/>
          <w:highlight w:val="none"/>
          <w:lang w:eastAsia="zh-CN"/>
        </w:rPr>
        <w:t>第二十</w:t>
      </w:r>
      <w:r>
        <w:rPr>
          <w:rFonts w:hint="eastAsia" w:ascii="仿宋_GB2312" w:hAnsi="仿宋_GB2312" w:eastAsia="仿宋_GB2312" w:cs="仿宋_GB2312"/>
          <w:b/>
          <w:bCs/>
          <w:i w:val="0"/>
          <w:caps w:val="0"/>
          <w:color w:val="auto"/>
          <w:spacing w:val="0"/>
          <w:w w:val="100"/>
          <w:sz w:val="32"/>
          <w:szCs w:val="32"/>
          <w:highlight w:val="none"/>
          <w:lang w:val="en-US" w:eastAsia="zh-CN"/>
        </w:rPr>
        <w:t>七</w:t>
      </w:r>
      <w:r>
        <w:rPr>
          <w:rFonts w:hint="eastAsia" w:ascii="仿宋_GB2312" w:hAnsi="仿宋_GB2312" w:eastAsia="仿宋_GB2312" w:cs="仿宋_GB2312"/>
          <w:b/>
          <w:bCs/>
          <w:i w:val="0"/>
          <w:caps w:val="0"/>
          <w:color w:val="auto"/>
          <w:spacing w:val="0"/>
          <w:w w:val="100"/>
          <w:sz w:val="32"/>
          <w:szCs w:val="32"/>
          <w:highlight w:val="none"/>
          <w:lang w:eastAsia="zh-CN"/>
        </w:rPr>
        <w:t>条</w:t>
      </w:r>
      <w:r>
        <w:rPr>
          <w:rFonts w:hint="eastAsia" w:ascii="仿宋_GB2312" w:hAnsi="仿宋_GB2312" w:eastAsia="仿宋_GB2312" w:cs="仿宋_GB2312"/>
          <w:i w:val="0"/>
          <w:caps w:val="0"/>
          <w:color w:val="auto"/>
          <w:spacing w:val="0"/>
          <w:w w:val="100"/>
          <w:sz w:val="32"/>
          <w:szCs w:val="32"/>
          <w:highlight w:val="none"/>
          <w:lang w:val="en-US" w:eastAsia="zh-CN"/>
        </w:rPr>
        <w:t xml:space="preserve">  </w:t>
      </w:r>
      <w:r>
        <w:rPr>
          <w:rFonts w:hint="eastAsia" w:ascii="仿宋_GB2312" w:hAnsi="仿宋_GB2312" w:eastAsia="仿宋_GB2312" w:cs="仿宋_GB2312"/>
          <w:i w:val="0"/>
          <w:caps w:val="0"/>
          <w:color w:val="auto"/>
          <w:spacing w:val="0"/>
          <w:w w:val="100"/>
          <w:sz w:val="32"/>
          <w:szCs w:val="32"/>
          <w:highlight w:val="none"/>
        </w:rPr>
        <w:t>本办法自202</w:t>
      </w:r>
      <w:r>
        <w:rPr>
          <w:rFonts w:hint="eastAsia" w:ascii="仿宋_GB2312" w:hAnsi="仿宋_GB2312" w:eastAsia="仿宋_GB2312" w:cs="仿宋_GB2312"/>
          <w:i w:val="0"/>
          <w:caps w:val="0"/>
          <w:color w:val="auto"/>
          <w:spacing w:val="0"/>
          <w:w w:val="100"/>
          <w:sz w:val="32"/>
          <w:szCs w:val="32"/>
          <w:highlight w:val="none"/>
          <w:lang w:val="en-US" w:eastAsia="zh-CN"/>
        </w:rPr>
        <w:t>4</w:t>
      </w:r>
      <w:r>
        <w:rPr>
          <w:rFonts w:hint="eastAsia" w:ascii="仿宋_GB2312" w:hAnsi="仿宋_GB2312" w:eastAsia="仿宋_GB2312" w:cs="仿宋_GB2312"/>
          <w:i w:val="0"/>
          <w:caps w:val="0"/>
          <w:color w:val="auto"/>
          <w:spacing w:val="0"/>
          <w:w w:val="100"/>
          <w:sz w:val="32"/>
          <w:szCs w:val="32"/>
          <w:highlight w:val="none"/>
        </w:rPr>
        <w:t>年</w:t>
      </w:r>
      <w:r>
        <w:rPr>
          <w:rFonts w:hint="eastAsia" w:ascii="仿宋_GB2312" w:hAnsi="仿宋_GB2312" w:eastAsia="仿宋_GB2312" w:cs="仿宋_GB2312"/>
          <w:i w:val="0"/>
          <w:caps w:val="0"/>
          <w:color w:val="auto"/>
          <w:spacing w:val="0"/>
          <w:w w:val="100"/>
          <w:sz w:val="32"/>
          <w:szCs w:val="32"/>
          <w:highlight w:val="none"/>
          <w:lang w:val="en-US" w:eastAsia="zh-CN"/>
        </w:rPr>
        <w:t>×</w:t>
      </w:r>
      <w:r>
        <w:rPr>
          <w:rFonts w:hint="eastAsia" w:ascii="仿宋_GB2312" w:hAnsi="仿宋_GB2312" w:eastAsia="仿宋_GB2312" w:cs="仿宋_GB2312"/>
          <w:i w:val="0"/>
          <w:caps w:val="0"/>
          <w:color w:val="auto"/>
          <w:spacing w:val="0"/>
          <w:w w:val="100"/>
          <w:sz w:val="32"/>
          <w:szCs w:val="32"/>
          <w:highlight w:val="none"/>
        </w:rPr>
        <w:t>月</w:t>
      </w:r>
      <w:r>
        <w:rPr>
          <w:rFonts w:hint="eastAsia" w:ascii="仿宋_GB2312" w:hAnsi="仿宋_GB2312" w:eastAsia="仿宋_GB2312" w:cs="仿宋_GB2312"/>
          <w:i w:val="0"/>
          <w:caps w:val="0"/>
          <w:color w:val="auto"/>
          <w:spacing w:val="0"/>
          <w:w w:val="100"/>
          <w:sz w:val="32"/>
          <w:szCs w:val="32"/>
          <w:highlight w:val="none"/>
          <w:lang w:val="en-US" w:eastAsia="zh-CN"/>
        </w:rPr>
        <w:t>×</w:t>
      </w:r>
      <w:r>
        <w:rPr>
          <w:rFonts w:hint="eastAsia" w:ascii="仿宋_GB2312" w:hAnsi="仿宋_GB2312" w:eastAsia="仿宋_GB2312" w:cs="仿宋_GB2312"/>
          <w:i w:val="0"/>
          <w:caps w:val="0"/>
          <w:color w:val="auto"/>
          <w:spacing w:val="0"/>
          <w:w w:val="100"/>
          <w:sz w:val="32"/>
          <w:szCs w:val="32"/>
          <w:highlight w:val="none"/>
        </w:rPr>
        <w:t>日起</w:t>
      </w:r>
      <w:r>
        <w:rPr>
          <w:rFonts w:hint="eastAsia" w:ascii="仿宋_GB2312" w:hAnsi="仿宋_GB2312" w:eastAsia="仿宋_GB2312" w:cs="仿宋_GB2312"/>
          <w:i w:val="0"/>
          <w:caps w:val="0"/>
          <w:color w:val="auto"/>
          <w:spacing w:val="0"/>
          <w:w w:val="100"/>
          <w:sz w:val="32"/>
          <w:szCs w:val="32"/>
          <w:highlight w:val="none"/>
          <w:lang w:eastAsia="zh-CN"/>
        </w:rPr>
        <w:t>试行，试行期</w:t>
      </w:r>
      <w:r>
        <w:rPr>
          <w:rFonts w:hint="eastAsia" w:ascii="仿宋_GB2312" w:hAnsi="仿宋_GB2312" w:eastAsia="仿宋_GB2312" w:cs="仿宋_GB2312"/>
          <w:i w:val="0"/>
          <w:caps w:val="0"/>
          <w:color w:val="auto"/>
          <w:spacing w:val="0"/>
          <w:w w:val="100"/>
          <w:sz w:val="32"/>
          <w:szCs w:val="32"/>
          <w:highlight w:val="none"/>
          <w:lang w:val="en-US" w:eastAsia="zh-CN"/>
        </w:rPr>
        <w:t>一年</w:t>
      </w:r>
      <w:r>
        <w:rPr>
          <w:rFonts w:hint="eastAsia" w:ascii="仿宋_GB2312" w:hAnsi="仿宋_GB2312" w:eastAsia="仿宋_GB2312" w:cs="仿宋_GB2312"/>
          <w:i w:val="0"/>
          <w:caps w:val="0"/>
          <w:color w:val="auto"/>
          <w:spacing w:val="0"/>
          <w:w w:val="100"/>
          <w:sz w:val="32"/>
          <w:szCs w:val="32"/>
          <w:highlight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-111760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8pt;height:144pt;width:144pt;mso-position-horizontal:outside;mso-position-horizontal-relative:margin;mso-wrap-style:none;z-index:251659264;mso-width-relative:page;mso-height-relative:page;" filled="f" stroked="f" coordsize="21600,21600" o:gfxdata="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dbsG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1D088"/>
    <w:multiLevelType w:val="singleLevel"/>
    <w:tmpl w:val="66B1D08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TU0MDE5MzgxOTQ3NjFmNDQ5MzRiOTI4Mzk1OTcifQ=="/>
  </w:docVars>
  <w:rsids>
    <w:rsidRoot w:val="00000000"/>
    <w:rsid w:val="008F7F8D"/>
    <w:rsid w:val="00A961B1"/>
    <w:rsid w:val="014F6641"/>
    <w:rsid w:val="017011E0"/>
    <w:rsid w:val="029F6F37"/>
    <w:rsid w:val="02C36C28"/>
    <w:rsid w:val="02CF19C2"/>
    <w:rsid w:val="02D33977"/>
    <w:rsid w:val="035B60CA"/>
    <w:rsid w:val="03843E6C"/>
    <w:rsid w:val="039D77B7"/>
    <w:rsid w:val="03A364BA"/>
    <w:rsid w:val="041A1759"/>
    <w:rsid w:val="04236D7A"/>
    <w:rsid w:val="045C63FC"/>
    <w:rsid w:val="04CF7968"/>
    <w:rsid w:val="04E040ED"/>
    <w:rsid w:val="05022704"/>
    <w:rsid w:val="053243F8"/>
    <w:rsid w:val="053B5890"/>
    <w:rsid w:val="05443181"/>
    <w:rsid w:val="059710F9"/>
    <w:rsid w:val="05F61884"/>
    <w:rsid w:val="062C211F"/>
    <w:rsid w:val="06FB4E4F"/>
    <w:rsid w:val="07574824"/>
    <w:rsid w:val="075B1566"/>
    <w:rsid w:val="07EF1084"/>
    <w:rsid w:val="08100789"/>
    <w:rsid w:val="08DE6AB1"/>
    <w:rsid w:val="08E54F27"/>
    <w:rsid w:val="09280FEA"/>
    <w:rsid w:val="09801E83"/>
    <w:rsid w:val="09ED187E"/>
    <w:rsid w:val="0A1E322E"/>
    <w:rsid w:val="0A510A58"/>
    <w:rsid w:val="0A831772"/>
    <w:rsid w:val="0B2329CA"/>
    <w:rsid w:val="0B4C0B49"/>
    <w:rsid w:val="0B734569"/>
    <w:rsid w:val="0B7F5253"/>
    <w:rsid w:val="0B847AFF"/>
    <w:rsid w:val="0C545258"/>
    <w:rsid w:val="0C587F8F"/>
    <w:rsid w:val="0C684CE3"/>
    <w:rsid w:val="0CAB1284"/>
    <w:rsid w:val="0E4903CB"/>
    <w:rsid w:val="0EED77AE"/>
    <w:rsid w:val="109312EA"/>
    <w:rsid w:val="11085359"/>
    <w:rsid w:val="11427C03"/>
    <w:rsid w:val="114946EF"/>
    <w:rsid w:val="11A51F22"/>
    <w:rsid w:val="12C90A08"/>
    <w:rsid w:val="12D46D3A"/>
    <w:rsid w:val="132D0E79"/>
    <w:rsid w:val="13687AE3"/>
    <w:rsid w:val="140D4BD7"/>
    <w:rsid w:val="14B11F8C"/>
    <w:rsid w:val="14F5783B"/>
    <w:rsid w:val="15442260"/>
    <w:rsid w:val="156414DB"/>
    <w:rsid w:val="15A71888"/>
    <w:rsid w:val="15FA2388"/>
    <w:rsid w:val="167628BC"/>
    <w:rsid w:val="168C50C8"/>
    <w:rsid w:val="17014613"/>
    <w:rsid w:val="175E0258"/>
    <w:rsid w:val="176F3462"/>
    <w:rsid w:val="18422060"/>
    <w:rsid w:val="18811CC3"/>
    <w:rsid w:val="197C5FF4"/>
    <w:rsid w:val="197E0DF7"/>
    <w:rsid w:val="1982692B"/>
    <w:rsid w:val="1A66121B"/>
    <w:rsid w:val="1A9101B8"/>
    <w:rsid w:val="1A966A47"/>
    <w:rsid w:val="1B18728B"/>
    <w:rsid w:val="1B323DE4"/>
    <w:rsid w:val="1B795448"/>
    <w:rsid w:val="1BD90BD1"/>
    <w:rsid w:val="1BE621E0"/>
    <w:rsid w:val="1C012968"/>
    <w:rsid w:val="1C29232A"/>
    <w:rsid w:val="1C651A13"/>
    <w:rsid w:val="1CCF39D4"/>
    <w:rsid w:val="1D1F437C"/>
    <w:rsid w:val="1D7E5270"/>
    <w:rsid w:val="1E6F11E4"/>
    <w:rsid w:val="1EF42FFE"/>
    <w:rsid w:val="1F2064C8"/>
    <w:rsid w:val="1F614254"/>
    <w:rsid w:val="1F710E52"/>
    <w:rsid w:val="21B34D73"/>
    <w:rsid w:val="21E877E2"/>
    <w:rsid w:val="2208530D"/>
    <w:rsid w:val="22733428"/>
    <w:rsid w:val="228C7A8A"/>
    <w:rsid w:val="22C73AD3"/>
    <w:rsid w:val="24046CA2"/>
    <w:rsid w:val="24597C3D"/>
    <w:rsid w:val="24991098"/>
    <w:rsid w:val="251D4538"/>
    <w:rsid w:val="255426B8"/>
    <w:rsid w:val="255616BE"/>
    <w:rsid w:val="25AB5544"/>
    <w:rsid w:val="25D35E37"/>
    <w:rsid w:val="25FF637F"/>
    <w:rsid w:val="2652562D"/>
    <w:rsid w:val="26D81F71"/>
    <w:rsid w:val="27041D03"/>
    <w:rsid w:val="27407312"/>
    <w:rsid w:val="27A7749F"/>
    <w:rsid w:val="284D652A"/>
    <w:rsid w:val="294524FA"/>
    <w:rsid w:val="297F3AF9"/>
    <w:rsid w:val="2AB465AD"/>
    <w:rsid w:val="2B131ED2"/>
    <w:rsid w:val="2B5929DF"/>
    <w:rsid w:val="2B9F3C6A"/>
    <w:rsid w:val="2C2B007A"/>
    <w:rsid w:val="2D756789"/>
    <w:rsid w:val="2DD34895"/>
    <w:rsid w:val="2DDA30A5"/>
    <w:rsid w:val="2E587086"/>
    <w:rsid w:val="2E796730"/>
    <w:rsid w:val="2EED19EB"/>
    <w:rsid w:val="2F703F05"/>
    <w:rsid w:val="30367244"/>
    <w:rsid w:val="31440624"/>
    <w:rsid w:val="31492C18"/>
    <w:rsid w:val="31525E65"/>
    <w:rsid w:val="322615A6"/>
    <w:rsid w:val="32FA6C0C"/>
    <w:rsid w:val="338F6774"/>
    <w:rsid w:val="33DD06F2"/>
    <w:rsid w:val="34634B96"/>
    <w:rsid w:val="34E2282A"/>
    <w:rsid w:val="353571E0"/>
    <w:rsid w:val="35B84264"/>
    <w:rsid w:val="35D75B58"/>
    <w:rsid w:val="363C3C10"/>
    <w:rsid w:val="365D59F5"/>
    <w:rsid w:val="37672AF9"/>
    <w:rsid w:val="37CF40E1"/>
    <w:rsid w:val="37EC2B5A"/>
    <w:rsid w:val="38723C8A"/>
    <w:rsid w:val="38DE4724"/>
    <w:rsid w:val="38EB3945"/>
    <w:rsid w:val="39343C09"/>
    <w:rsid w:val="396D6EEA"/>
    <w:rsid w:val="39E3210C"/>
    <w:rsid w:val="3A17301D"/>
    <w:rsid w:val="3A63697C"/>
    <w:rsid w:val="3C7458E7"/>
    <w:rsid w:val="3D1052B4"/>
    <w:rsid w:val="3D133186"/>
    <w:rsid w:val="3D2A0FD9"/>
    <w:rsid w:val="3D313C96"/>
    <w:rsid w:val="3D703542"/>
    <w:rsid w:val="3D912F3C"/>
    <w:rsid w:val="3DBC55A6"/>
    <w:rsid w:val="3E2349F3"/>
    <w:rsid w:val="3EA11D44"/>
    <w:rsid w:val="3EA8346B"/>
    <w:rsid w:val="3EAA09F2"/>
    <w:rsid w:val="3EC46548"/>
    <w:rsid w:val="3F2B0D5D"/>
    <w:rsid w:val="3F456AA8"/>
    <w:rsid w:val="404649AE"/>
    <w:rsid w:val="40BD0FA2"/>
    <w:rsid w:val="412866FC"/>
    <w:rsid w:val="41EA3433"/>
    <w:rsid w:val="430169FA"/>
    <w:rsid w:val="43AB5C2B"/>
    <w:rsid w:val="44055FAF"/>
    <w:rsid w:val="440C53C2"/>
    <w:rsid w:val="441A61AD"/>
    <w:rsid w:val="44A85DC5"/>
    <w:rsid w:val="45492F80"/>
    <w:rsid w:val="45EA148B"/>
    <w:rsid w:val="45EE4EBF"/>
    <w:rsid w:val="46093B41"/>
    <w:rsid w:val="463E4B41"/>
    <w:rsid w:val="46CC3505"/>
    <w:rsid w:val="470D6E7E"/>
    <w:rsid w:val="47F21181"/>
    <w:rsid w:val="48AC442F"/>
    <w:rsid w:val="49504035"/>
    <w:rsid w:val="49865BA1"/>
    <w:rsid w:val="4A650F8D"/>
    <w:rsid w:val="4A785996"/>
    <w:rsid w:val="4AE62B23"/>
    <w:rsid w:val="4BB64D4F"/>
    <w:rsid w:val="4C523981"/>
    <w:rsid w:val="4D1A31EA"/>
    <w:rsid w:val="4F4C0AE9"/>
    <w:rsid w:val="513B2EF1"/>
    <w:rsid w:val="526031A7"/>
    <w:rsid w:val="52981709"/>
    <w:rsid w:val="52C161B1"/>
    <w:rsid w:val="52DB7552"/>
    <w:rsid w:val="52F11282"/>
    <w:rsid w:val="532D2A05"/>
    <w:rsid w:val="5353625B"/>
    <w:rsid w:val="53933738"/>
    <w:rsid w:val="53947392"/>
    <w:rsid w:val="5517404E"/>
    <w:rsid w:val="55C565E5"/>
    <w:rsid w:val="55E065E1"/>
    <w:rsid w:val="565B2BAA"/>
    <w:rsid w:val="57F703CA"/>
    <w:rsid w:val="586E5836"/>
    <w:rsid w:val="58BB3652"/>
    <w:rsid w:val="58C602B1"/>
    <w:rsid w:val="58E1737F"/>
    <w:rsid w:val="58E5398E"/>
    <w:rsid w:val="59C95DFE"/>
    <w:rsid w:val="59DC750B"/>
    <w:rsid w:val="5AC92274"/>
    <w:rsid w:val="5AE47686"/>
    <w:rsid w:val="5AED7981"/>
    <w:rsid w:val="5B9A6835"/>
    <w:rsid w:val="5BB141DB"/>
    <w:rsid w:val="5C3B2084"/>
    <w:rsid w:val="5C9F4460"/>
    <w:rsid w:val="5CC62F1D"/>
    <w:rsid w:val="5DA432E2"/>
    <w:rsid w:val="5E400C75"/>
    <w:rsid w:val="5EE711CF"/>
    <w:rsid w:val="5F356DEB"/>
    <w:rsid w:val="5FCE6D2E"/>
    <w:rsid w:val="5FDD43A8"/>
    <w:rsid w:val="6041226D"/>
    <w:rsid w:val="607D21A2"/>
    <w:rsid w:val="60FE403A"/>
    <w:rsid w:val="610C6EC2"/>
    <w:rsid w:val="61365FEC"/>
    <w:rsid w:val="61373968"/>
    <w:rsid w:val="62AA63A9"/>
    <w:rsid w:val="63120D2A"/>
    <w:rsid w:val="643305FE"/>
    <w:rsid w:val="647A7A01"/>
    <w:rsid w:val="64B930F9"/>
    <w:rsid w:val="65115EA6"/>
    <w:rsid w:val="653E55EB"/>
    <w:rsid w:val="65EC6252"/>
    <w:rsid w:val="66040045"/>
    <w:rsid w:val="663673FC"/>
    <w:rsid w:val="66511E42"/>
    <w:rsid w:val="673B238C"/>
    <w:rsid w:val="67916E55"/>
    <w:rsid w:val="67E92CE5"/>
    <w:rsid w:val="68167E38"/>
    <w:rsid w:val="68672939"/>
    <w:rsid w:val="686E626A"/>
    <w:rsid w:val="68A30B6F"/>
    <w:rsid w:val="68E45254"/>
    <w:rsid w:val="6941162E"/>
    <w:rsid w:val="69AD44C7"/>
    <w:rsid w:val="69CA34A6"/>
    <w:rsid w:val="69E8058C"/>
    <w:rsid w:val="6A2F3189"/>
    <w:rsid w:val="6AC94840"/>
    <w:rsid w:val="6C4E41AA"/>
    <w:rsid w:val="6C4F2C3F"/>
    <w:rsid w:val="6C7C243B"/>
    <w:rsid w:val="6CD361D1"/>
    <w:rsid w:val="6CF55173"/>
    <w:rsid w:val="6D7663B8"/>
    <w:rsid w:val="6DDF4A2E"/>
    <w:rsid w:val="6E2E4F68"/>
    <w:rsid w:val="6ED04770"/>
    <w:rsid w:val="6F8C738A"/>
    <w:rsid w:val="7018228A"/>
    <w:rsid w:val="7018639D"/>
    <w:rsid w:val="706037F9"/>
    <w:rsid w:val="707C4EDD"/>
    <w:rsid w:val="70B27028"/>
    <w:rsid w:val="70FE1EB3"/>
    <w:rsid w:val="711D1922"/>
    <w:rsid w:val="7137758C"/>
    <w:rsid w:val="715B1A51"/>
    <w:rsid w:val="719956E1"/>
    <w:rsid w:val="728B289E"/>
    <w:rsid w:val="72B46B91"/>
    <w:rsid w:val="737944D7"/>
    <w:rsid w:val="73CB4C69"/>
    <w:rsid w:val="73F977A2"/>
    <w:rsid w:val="740D046A"/>
    <w:rsid w:val="748C39B0"/>
    <w:rsid w:val="75626AFB"/>
    <w:rsid w:val="75A13F7E"/>
    <w:rsid w:val="75AB43FA"/>
    <w:rsid w:val="75D151E7"/>
    <w:rsid w:val="75EC36A9"/>
    <w:rsid w:val="764F6ACD"/>
    <w:rsid w:val="768D6F41"/>
    <w:rsid w:val="76C14B3D"/>
    <w:rsid w:val="76D57F65"/>
    <w:rsid w:val="77310288"/>
    <w:rsid w:val="77AF1A50"/>
    <w:rsid w:val="77D05C61"/>
    <w:rsid w:val="77F14DFC"/>
    <w:rsid w:val="77FE1890"/>
    <w:rsid w:val="7818064E"/>
    <w:rsid w:val="7820194D"/>
    <w:rsid w:val="785B30F9"/>
    <w:rsid w:val="78DC12CB"/>
    <w:rsid w:val="790F182A"/>
    <w:rsid w:val="79350319"/>
    <w:rsid w:val="793579EB"/>
    <w:rsid w:val="796633A1"/>
    <w:rsid w:val="7A6167EA"/>
    <w:rsid w:val="7A71416E"/>
    <w:rsid w:val="7A9C4920"/>
    <w:rsid w:val="7AA6698C"/>
    <w:rsid w:val="7B4E524F"/>
    <w:rsid w:val="7BC82AC4"/>
    <w:rsid w:val="7C2E246B"/>
    <w:rsid w:val="7D3F7276"/>
    <w:rsid w:val="7D6F610A"/>
    <w:rsid w:val="7D8F5D01"/>
    <w:rsid w:val="7DF346E2"/>
    <w:rsid w:val="7E002FBD"/>
    <w:rsid w:val="7E431268"/>
    <w:rsid w:val="7E694173"/>
    <w:rsid w:val="7E935BF1"/>
    <w:rsid w:val="7EDE7770"/>
    <w:rsid w:val="7F197479"/>
    <w:rsid w:val="7F3D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1"/>
    <w:qFormat/>
    <w:uiPriority w:val="0"/>
    <w:pPr>
      <w:spacing w:after="12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w:basedOn w:val="1"/>
    <w:next w:val="5"/>
    <w:qFormat/>
    <w:uiPriority w:val="0"/>
    <w:pPr>
      <w:spacing w:line="520" w:lineRule="exact"/>
    </w:pPr>
    <w:rPr>
      <w:rFonts w:ascii="仿宋_GB2312" w:eastAsia="仿宋_GB2312"/>
      <w:b/>
      <w:sz w:val="32"/>
    </w:rPr>
  </w:style>
  <w:style w:type="paragraph" w:styleId="5">
    <w:name w:val="Body Text First Indent"/>
    <w:basedOn w:val="4"/>
    <w:qFormat/>
    <w:uiPriority w:val="0"/>
    <w:pPr>
      <w:spacing w:after="120" w:line="520" w:lineRule="exact"/>
      <w:ind w:left="-27" w:leftChars="-13" w:firstLine="574" w:firstLineChars="205"/>
      <w:jc w:val="both"/>
    </w:pPr>
    <w:rPr>
      <w:rFonts w:ascii="宋体" w:hAnsi="宋体" w:eastAsia="宋体" w:cs="Times New Roman"/>
      <w:color w:val="000000"/>
      <w:sz w:val="28"/>
      <w:szCs w:val="20"/>
    </w:rPr>
  </w:style>
  <w:style w:type="paragraph" w:styleId="6">
    <w:name w:val="Body Text Indent 2"/>
    <w:basedOn w:val="1"/>
    <w:qFormat/>
    <w:uiPriority w:val="0"/>
    <w:pPr>
      <w:ind w:firstLine="560" w:firstLineChars="20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ordWrap w:val="0"/>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3664</Words>
  <Characters>3672</Characters>
  <Lines>0</Lines>
  <Paragraphs>0</Paragraphs>
  <TotalTime>7</TotalTime>
  <ScaleCrop>false</ScaleCrop>
  <LinksUpToDate>false</LinksUpToDate>
  <CharactersWithSpaces>3734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2024-03-18T01:28:00Z</dcterms:created>
  <dc:creator>Administrator</dc:creator>
  <cp:lastModifiedBy>般阳居士</cp:lastModifiedBy>
  <cp:lastPrinted>2024-11-19T06:46:00Z</cp:lastPrinted>
  <dcterms:modified xsi:type="dcterms:W3CDTF">2024-12-09T07:36:59Z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576C051C860044FFB365D6B99E9857DF_12</vt:lpwstr>
  </property>
</Properties>
</file>