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黑体" w:eastAsia="黑体" w:cs="黑体"/>
          <w:bCs/>
        </w:rPr>
      </w:pPr>
      <w:r>
        <w:rPr>
          <w:rFonts w:hint="eastAsia" w:ascii="黑体" w:hAnsi="黑体" w:eastAsia="黑体" w:cs="黑体"/>
          <w:bCs/>
        </w:rPr>
        <w:t>附件2</w:t>
      </w:r>
    </w:p>
    <w:p>
      <w:pPr>
        <w:spacing w:line="600" w:lineRule="exact"/>
        <w:rPr>
          <w:rFonts w:hint="eastAsia" w:ascii="CESI黑体-GB13000" w:hAnsi="CESI黑体-GB13000" w:eastAsia="CESI黑体-GB13000" w:cs="CESI黑体-GB13000"/>
          <w:color w:val="333333"/>
          <w:shd w:val="clear" w:color="auto" w:fill="FFFFFF"/>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北京市2025年绿色电力交易方案</w:t>
      </w:r>
    </w:p>
    <w:p>
      <w:pPr>
        <w:spacing w:line="600" w:lineRule="exact"/>
        <w:jc w:val="center"/>
        <w:rPr>
          <w:rFonts w:hint="eastAsia" w:ascii="仿宋_GB2312" w:hAnsi="仿宋_GB2312" w:cs="仿宋_GB2312"/>
          <w:color w:val="000000"/>
          <w:shd w:val="clear" w:color="auto" w:fill="FFFFFF"/>
        </w:rPr>
      </w:pPr>
      <w:r>
        <w:rPr>
          <w:rFonts w:hint="eastAsia" w:ascii="仿宋_GB2312" w:hAnsi="仿宋_GB2312" w:cs="仿宋_GB2312"/>
          <w:color w:val="000000"/>
          <w:shd w:val="clear" w:color="auto" w:fill="FFFFFF"/>
        </w:rPr>
        <w:t>（征求意见稿）</w:t>
      </w:r>
    </w:p>
    <w:p>
      <w:pPr>
        <w:pStyle w:val="2"/>
        <w:spacing w:after="0" w:line="600" w:lineRule="exact"/>
        <w:rPr>
          <w:rFonts w:hint="eastAsia"/>
        </w:rPr>
      </w:pPr>
    </w:p>
    <w:p>
      <w:pPr>
        <w:spacing w:line="600" w:lineRule="exact"/>
        <w:ind w:firstLine="640" w:firstLineChars="200"/>
        <w:rPr>
          <w:rFonts w:hint="eastAsia" w:ascii="仿宋_GB2312" w:hAnsi="仿宋_GB2312" w:cs="仿宋_GB2312"/>
        </w:rPr>
      </w:pPr>
      <w:r>
        <w:rPr>
          <w:rFonts w:hint="eastAsia" w:ascii="仿宋_GB2312" w:hAnsi="仿宋_GB2312" w:cs="仿宋_GB2312"/>
        </w:rPr>
        <w:t>为贯彻落实碳达峰、碳中和战略部署，加快建立有利于促进绿色能源生产消费的市场体系和长效机制，推进本市绿色电力交易工作有序开展，按照国家发展改革委办公厅、国家能源局综合司《关于有序推进绿色电力交易有关事项的通知》（发改办体改〔2022〕821号）、华北能源监管局《关于完善绿电交易机制推动京津唐电网平价新能源项目入市的通知》（华北监能市场〔2023〕46号）以及国家发展改革委、国家能源局《关于印发〈电力中长期交易基本规则-绿色电力交易专章〉的通知》（发改能源〔2024〕1123号）等文件要求，特制定本方案。</w:t>
      </w:r>
    </w:p>
    <w:p>
      <w:pPr>
        <w:spacing w:line="600" w:lineRule="exact"/>
        <w:ind w:firstLine="640" w:firstLineChars="200"/>
        <w:rPr>
          <w:rFonts w:hint="eastAsia" w:ascii="黑体" w:hAnsi="黑体" w:eastAsia="黑体" w:cs="黑体"/>
        </w:rPr>
      </w:pPr>
      <w:r>
        <w:rPr>
          <w:rFonts w:hint="eastAsia" w:ascii="黑体" w:hAnsi="黑体" w:eastAsia="黑体" w:cs="黑体"/>
        </w:rPr>
        <w:t>一、绿色电力交易定义</w:t>
      </w:r>
    </w:p>
    <w:p>
      <w:pPr>
        <w:spacing w:line="600" w:lineRule="exact"/>
        <w:ind w:firstLine="640" w:firstLineChars="200"/>
        <w:rPr>
          <w:rFonts w:hint="eastAsia" w:ascii="仿宋_GB2312" w:hAnsi="仿宋_GB2312" w:cs="仿宋_GB2312"/>
        </w:rPr>
      </w:pPr>
      <w:r>
        <w:rPr>
          <w:rFonts w:hint="eastAsia" w:ascii="仿宋_GB2312" w:hAnsi="仿宋_GB2312" w:cs="仿宋_GB2312"/>
        </w:rPr>
        <w:t>绿色电力交易是指以绿色电力和对应绿色电力环境价值为标的物的电力交易品种，交易电力同时提供国家核发的可再生能源绿色电力证书(以下简称绿证)，用以满足发电企业、售电公司电力用户等出售、购买绿色电力的需求。初期，参与绿色电力交易的发电侧主体为风电、光伏发电项目，条件成熟时，可逐步扩大至符合条件的其他可再生能源。售电公司、电力用户可通过绿色电力交易平台（以下简称交易平台）购买绿色电力。</w:t>
      </w:r>
    </w:p>
    <w:p>
      <w:pPr>
        <w:spacing w:line="600" w:lineRule="exact"/>
        <w:ind w:firstLine="640" w:firstLineChars="200"/>
        <w:rPr>
          <w:rFonts w:hint="eastAsia" w:ascii="黑体" w:hAnsi="黑体" w:eastAsia="黑体" w:cs="黑体"/>
        </w:rPr>
      </w:pPr>
      <w:r>
        <w:rPr>
          <w:rFonts w:hint="eastAsia" w:ascii="黑体" w:hAnsi="黑体" w:eastAsia="黑体" w:cs="黑体"/>
        </w:rPr>
        <w:t>二、经营主体</w:t>
      </w:r>
    </w:p>
    <w:p>
      <w:pPr>
        <w:spacing w:line="600" w:lineRule="exact"/>
        <w:ind w:firstLine="640" w:firstLineChars="200"/>
        <w:rPr>
          <w:rFonts w:hint="eastAsia" w:ascii="仿宋_GB2312" w:hAnsi="仿宋_GB2312" w:cs="仿宋_GB2312"/>
        </w:rPr>
      </w:pPr>
      <w:r>
        <w:rPr>
          <w:rFonts w:hint="eastAsia" w:ascii="仿宋_GB2312" w:hAnsi="仿宋_GB2312" w:cs="仿宋_GB2312"/>
        </w:rPr>
        <w:t>参与本市绿色电力交易的经营主体包括：</w:t>
      </w:r>
      <w:r>
        <w:rPr>
          <w:rFonts w:hint="eastAsia" w:ascii="仿宋_GB2312" w:hAnsi="仿宋_GB2312" w:cs="仿宋_GB2312"/>
          <w:color w:val="000000"/>
        </w:rPr>
        <w:t>售电公司、电力用户。</w:t>
      </w:r>
    </w:p>
    <w:p>
      <w:pPr>
        <w:spacing w:line="600" w:lineRule="exact"/>
        <w:ind w:firstLine="640" w:firstLineChars="200"/>
        <w:rPr>
          <w:rFonts w:hint="eastAsia" w:ascii="仿宋_GB2312" w:hAnsi="仿宋_GB2312" w:cs="仿宋_GB2312"/>
        </w:rPr>
      </w:pPr>
      <w:r>
        <w:rPr>
          <w:rFonts w:hint="eastAsia" w:ascii="仿宋_GB2312" w:hAnsi="仿宋_GB2312" w:cs="仿宋_GB2312"/>
          <w:color w:val="000000"/>
        </w:rPr>
        <w:t>售电公司、电力用户（含批发用户、零售用户）须</w:t>
      </w:r>
      <w:r>
        <w:rPr>
          <w:rFonts w:hint="eastAsia" w:ascii="仿宋_GB2312" w:hAnsi="仿宋_GB2312" w:cs="仿宋_GB2312"/>
        </w:rPr>
        <w:t>在交易平台注册生效。批发用户直接与发电企业进行交易购买绿色电力产品，零售用户通过售电公司代理购买绿色电力产品。零售用户与售电公司签订市场化购售电合同结算确认协议，提交首都电力交易中心后，由售电公司代理参加绿色电力交易，并与售电公司保持其他市场电量代理关系不变。</w:t>
      </w:r>
    </w:p>
    <w:p>
      <w:pPr>
        <w:spacing w:line="600" w:lineRule="exact"/>
        <w:ind w:firstLine="640" w:firstLineChars="200"/>
        <w:rPr>
          <w:rFonts w:hint="eastAsia" w:ascii="仿宋_GB2312" w:hAnsi="仿宋_GB2312" w:cs="仿宋_GB2312"/>
        </w:rPr>
      </w:pPr>
      <w:r>
        <w:rPr>
          <w:rFonts w:hint="eastAsia" w:ascii="仿宋_GB2312" w:hAnsi="仿宋_GB2312" w:cs="仿宋_GB2312"/>
        </w:rPr>
        <w:t>相关经营主体根据自身实际需求，在充分知悉绿色电力市场交易风险前提下，秉承真实、自愿原则参与绿色电力交易。</w:t>
      </w:r>
    </w:p>
    <w:p>
      <w:pPr>
        <w:spacing w:line="600" w:lineRule="exact"/>
        <w:ind w:firstLine="640" w:firstLineChars="200"/>
        <w:rPr>
          <w:rFonts w:hint="eastAsia" w:ascii="黑体" w:hAnsi="黑体" w:eastAsia="黑体" w:cs="黑体"/>
        </w:rPr>
      </w:pPr>
      <w:r>
        <w:rPr>
          <w:rFonts w:hint="eastAsia" w:ascii="黑体" w:hAnsi="黑体" w:eastAsia="黑体" w:cs="黑体"/>
        </w:rPr>
        <w:t>三、交易方式</w:t>
      </w:r>
    </w:p>
    <w:p>
      <w:pPr>
        <w:spacing w:line="600" w:lineRule="exact"/>
        <w:ind w:firstLine="640" w:firstLineChars="200"/>
        <w:rPr>
          <w:rFonts w:hint="eastAsia" w:ascii="仿宋_GB2312" w:hAnsi="仿宋_GB2312" w:cs="仿宋_GB2312"/>
        </w:rPr>
      </w:pPr>
      <w:r>
        <w:rPr>
          <w:rFonts w:hint="eastAsia" w:ascii="仿宋_GB2312" w:hAnsi="仿宋_GB2312" w:cs="仿宋_GB2312"/>
        </w:rPr>
        <w:t>2025年本市绿色电力交易</w:t>
      </w:r>
      <w:r>
        <w:rPr>
          <w:rFonts w:hint="eastAsia" w:ascii="仿宋_GB2312" w:hAnsi="仿宋_GB2312" w:cs="仿宋_GB2312"/>
          <w:color w:val="000000"/>
        </w:rPr>
        <w:t>主要包括本市售电公司、电力用户参与京津唐电网绿色电力交易和跨区跨省绿色电力交易。</w:t>
      </w:r>
      <w:r>
        <w:rPr>
          <w:rFonts w:hint="eastAsia" w:ascii="仿宋_GB2312" w:hAnsi="仿宋_GB2312" w:cs="仿宋_GB2312"/>
        </w:rPr>
        <w:t>绿色电力交易依托交易平台开展，京津唐电网绿色电力交易方式为双边协商、集中竞价；在参与</w:t>
      </w:r>
      <w:r>
        <w:rPr>
          <w:rFonts w:hint="eastAsia" w:ascii="仿宋_GB2312" w:hAnsi="仿宋_GB2312" w:cs="仿宋_GB2312"/>
          <w:color w:val="000000"/>
        </w:rPr>
        <w:t>跨区跨省绿色电力交易时，</w:t>
      </w:r>
      <w:r>
        <w:rPr>
          <w:rFonts w:hint="eastAsia" w:ascii="仿宋_GB2312" w:hAnsi="仿宋_GB2312" w:cs="仿宋_GB2312"/>
        </w:rPr>
        <w:t>鼓励发用双方签订多年期绿色电力购买协议。</w:t>
      </w:r>
    </w:p>
    <w:p>
      <w:pPr>
        <w:spacing w:line="600" w:lineRule="exact"/>
        <w:ind w:firstLine="640" w:firstLineChars="200"/>
        <w:rPr>
          <w:rFonts w:hint="eastAsia" w:ascii="黑体" w:hAnsi="黑体" w:eastAsia="黑体" w:cs="黑体"/>
        </w:rPr>
      </w:pPr>
      <w:r>
        <w:rPr>
          <w:rFonts w:hint="eastAsia" w:ascii="黑体" w:hAnsi="黑体" w:eastAsia="黑体" w:cs="黑体"/>
        </w:rPr>
        <w:t>四、交易安排</w:t>
      </w:r>
    </w:p>
    <w:p>
      <w:pPr>
        <w:numPr>
          <w:ilvl w:val="0"/>
          <w:numId w:val="1"/>
        </w:numPr>
        <w:spacing w:line="600" w:lineRule="exact"/>
        <w:ind w:firstLine="640" w:firstLineChars="200"/>
        <w:outlineLvl w:val="1"/>
        <w:rPr>
          <w:rFonts w:hint="eastAsia" w:ascii="楷体_GB2312" w:hAnsi="楷体_GB2312" w:eastAsia="楷体_GB2312" w:cs="楷体_GB2312"/>
        </w:rPr>
      </w:pPr>
      <w:r>
        <w:rPr>
          <w:rFonts w:hint="eastAsia" w:ascii="楷体_GB2312" w:hAnsi="楷体_GB2312" w:eastAsia="楷体_GB2312" w:cs="楷体_GB2312"/>
        </w:rPr>
        <w:t>交易周期</w:t>
      </w:r>
    </w:p>
    <w:p>
      <w:pPr>
        <w:spacing w:line="600" w:lineRule="exact"/>
        <w:ind w:firstLine="640" w:firstLineChars="200"/>
        <w:rPr>
          <w:rFonts w:hint="eastAsia" w:ascii="仿宋_GB2312" w:hAnsi="仿宋_GB2312" w:cs="仿宋_GB2312"/>
        </w:rPr>
      </w:pPr>
      <w:r>
        <w:rPr>
          <w:rFonts w:hint="eastAsia" w:ascii="仿宋_GB2312" w:hAnsi="仿宋_GB2312" w:cs="仿宋_GB2312"/>
        </w:rPr>
        <w:t>北京电力交易中心会同首都电力交易中心根据经营主体需求及风电、光伏发电企业交易意向，以年（多年）、月（多月）等为周期常态化组织开展绿色电力交易，适时开展月内绿色电力交易。</w:t>
      </w:r>
    </w:p>
    <w:p>
      <w:pPr>
        <w:numPr>
          <w:ilvl w:val="0"/>
          <w:numId w:val="1"/>
        </w:numPr>
        <w:spacing w:line="600" w:lineRule="exact"/>
        <w:ind w:firstLine="640" w:firstLineChars="200"/>
        <w:outlineLvl w:val="1"/>
        <w:rPr>
          <w:rFonts w:hint="eastAsia" w:ascii="楷体_GB2312" w:hAnsi="楷体_GB2312" w:eastAsia="楷体_GB2312" w:cs="楷体_GB2312"/>
        </w:rPr>
      </w:pPr>
      <w:r>
        <w:rPr>
          <w:rFonts w:hint="eastAsia" w:ascii="楷体_GB2312" w:hAnsi="楷体_GB2312" w:eastAsia="楷体_GB2312" w:cs="楷体_GB2312"/>
        </w:rPr>
        <w:t>交易申报</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经营主体采用分时段报量、单一报价的模式，以各时段总量参与交易。经营主体申报全时段电量参与交易，分月电量不得超过其月度实际最大可用电能力。</w:t>
      </w:r>
    </w:p>
    <w:p>
      <w:pPr>
        <w:numPr>
          <w:ilvl w:val="0"/>
          <w:numId w:val="1"/>
        </w:numPr>
        <w:spacing w:line="600" w:lineRule="exact"/>
        <w:ind w:firstLine="640" w:firstLineChars="200"/>
        <w:outlineLvl w:val="1"/>
        <w:rPr>
          <w:rFonts w:hint="eastAsia" w:ascii="楷体_GB2312" w:hAnsi="楷体_GB2312" w:eastAsia="楷体_GB2312" w:cs="楷体_GB2312"/>
        </w:rPr>
      </w:pPr>
      <w:r>
        <w:rPr>
          <w:rFonts w:hint="eastAsia" w:ascii="楷体_GB2312" w:hAnsi="楷体_GB2312" w:eastAsia="楷体_GB2312" w:cs="楷体_GB2312"/>
        </w:rPr>
        <w:t>交易价格</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绿色电力交易价格由市场化机制形成，应充分体现电能量价格和绿色电力环境价值。用户用电价格由绿色电力交易价格、上网环节线损费用、输配电价、系统运行费用、政府性基金及附加构成。绿色电力环境价值可参考国网经营区平价绿证市场上一结算周期（自然月）的平均价格。上网环节线损费用按照电能量价格依据有关政策规则执行，输配电价、系统运行费用、政府性基</w:t>
      </w:r>
      <w:bookmarkStart w:id="0" w:name="_GoBack"/>
      <w:bookmarkEnd w:id="0"/>
      <w:r>
        <w:rPr>
          <w:rFonts w:hint="eastAsia" w:ascii="仿宋_GB2312" w:hAnsi="仿宋_GB2312" w:cs="仿宋_GB2312"/>
        </w:rPr>
        <w:t>金及附加按照国家及北京有关规定执行。</w:t>
      </w:r>
      <w:r>
        <w:rPr>
          <w:rFonts w:hint="eastAsia" w:ascii="仿宋_GB2312" w:hAnsi="仿宋_GB2312" w:cs="仿宋_GB2312"/>
          <w:color w:val="000000"/>
        </w:rPr>
        <w:t>执行峰谷分时电价政策的用户，继续执行峰谷分时电价政策。</w:t>
      </w:r>
      <w:r>
        <w:rPr>
          <w:rFonts w:hint="eastAsia" w:ascii="仿宋_GB2312" w:hAnsi="仿宋_GB2312" w:cs="仿宋_GB2312"/>
        </w:rPr>
        <w:t>原则上，绿色电力环境价值不纳入峰谷分时电价机制以及力调电费等计算，具体按照国家及北京市有关政策规定执行。</w:t>
      </w:r>
    </w:p>
    <w:p>
      <w:pPr>
        <w:spacing w:line="600" w:lineRule="exact"/>
        <w:ind w:firstLine="640" w:firstLineChars="200"/>
        <w:rPr>
          <w:rFonts w:hint="eastAsia" w:ascii="黑体" w:hAnsi="黑体" w:eastAsia="黑体" w:cs="黑体"/>
        </w:rPr>
      </w:pPr>
      <w:r>
        <w:rPr>
          <w:rFonts w:hint="eastAsia" w:ascii="黑体" w:hAnsi="黑体" w:eastAsia="黑体" w:cs="黑体"/>
        </w:rPr>
        <w:t>五、交易组织</w:t>
      </w:r>
    </w:p>
    <w:p>
      <w:pPr>
        <w:spacing w:line="600" w:lineRule="exact"/>
        <w:ind w:firstLine="640" w:firstLineChars="200"/>
        <w:rPr>
          <w:rFonts w:hint="eastAsia" w:ascii="仿宋_GB2312" w:hAnsi="仿宋_GB2312" w:cs="仿宋_GB2312"/>
        </w:rPr>
      </w:pPr>
      <w:r>
        <w:rPr>
          <w:rFonts w:hint="eastAsia" w:ascii="仿宋_GB2312" w:hAnsi="仿宋_GB2312" w:cs="仿宋_GB2312"/>
        </w:rPr>
        <w:t>北京市绿色电力交易工作由北京电力交易中心、首都电力交易中心共同组织开展。</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color w:val="000000"/>
        </w:rPr>
        <w:t>（一）</w:t>
      </w:r>
      <w:r>
        <w:rPr>
          <w:rFonts w:hint="eastAsia" w:ascii="楷体_GB2312" w:hAnsi="楷体_GB2312" w:eastAsia="楷体_GB2312" w:cs="楷体_GB2312"/>
        </w:rPr>
        <w:t>京津唐电网绿色电力交易组织流程</w:t>
      </w:r>
    </w:p>
    <w:p>
      <w:pPr>
        <w:pStyle w:val="2"/>
        <w:spacing w:after="0" w:line="600" w:lineRule="exact"/>
        <w:ind w:firstLine="640" w:firstLineChars="200"/>
        <w:outlineLvl w:val="2"/>
        <w:rPr>
          <w:rFonts w:hint="eastAsia" w:ascii="仿宋_GB2312" w:hAnsi="仿宋_GB2312" w:cs="仿宋_GB2312"/>
        </w:rPr>
      </w:pPr>
      <w:r>
        <w:rPr>
          <w:rFonts w:hint="eastAsia" w:ascii="仿宋_GB2312" w:hAnsi="仿宋_GB2312" w:cs="仿宋_GB2312"/>
        </w:rPr>
        <w:t>1.需求申报</w:t>
      </w:r>
    </w:p>
    <w:p>
      <w:pPr>
        <w:pStyle w:val="2"/>
        <w:spacing w:after="0" w:line="600" w:lineRule="exact"/>
        <w:ind w:firstLine="640" w:firstLineChars="200"/>
        <w:outlineLvl w:val="2"/>
        <w:rPr>
          <w:rFonts w:hint="eastAsia" w:ascii="仿宋_GB2312" w:hAnsi="仿宋_GB2312" w:cs="仿宋_GB2312"/>
        </w:rPr>
      </w:pPr>
      <w:r>
        <w:rPr>
          <w:rFonts w:hint="eastAsia" w:ascii="仿宋_GB2312" w:hAnsi="仿宋_GB2312" w:cs="仿宋_GB2312"/>
        </w:rPr>
        <w:t>北京电力交易中心会同首都电力交易中心在交易平台发布交易公告。经营主体按时间规定申报、确认电量（电力）、电价等信息，交易平台出清形成无约束交易结果。</w:t>
      </w:r>
    </w:p>
    <w:p>
      <w:pPr>
        <w:pStyle w:val="2"/>
        <w:spacing w:after="0" w:line="600" w:lineRule="exact"/>
        <w:ind w:firstLine="640" w:firstLineChars="200"/>
        <w:outlineLvl w:val="2"/>
        <w:rPr>
          <w:rFonts w:hint="eastAsia" w:ascii="仿宋_GB2312" w:hAnsi="仿宋_GB2312" w:cs="仿宋_GB2312"/>
        </w:rPr>
      </w:pPr>
      <w:r>
        <w:rPr>
          <w:rFonts w:hint="eastAsia" w:ascii="仿宋_GB2312" w:hAnsi="仿宋_GB2312" w:cs="仿宋_GB2312"/>
        </w:rPr>
        <w:t>2.安全校核</w:t>
      </w:r>
    </w:p>
    <w:p>
      <w:pPr>
        <w:pStyle w:val="2"/>
        <w:spacing w:after="0" w:line="600" w:lineRule="exact"/>
        <w:ind w:firstLine="640" w:firstLineChars="200"/>
        <w:outlineLvl w:val="2"/>
        <w:rPr>
          <w:rFonts w:hint="eastAsia" w:ascii="仿宋_GB2312" w:hAnsi="仿宋_GB2312" w:cs="仿宋_GB2312"/>
        </w:rPr>
      </w:pPr>
      <w:r>
        <w:rPr>
          <w:rFonts w:hint="eastAsia" w:ascii="仿宋_GB2312" w:hAnsi="仿宋_GB2312" w:cs="仿宋_GB2312"/>
        </w:rPr>
        <w:t>北京电力交易中心将无约束交易结果提交相关调度机构安全校核，经安全校核后发布有约束交易结果。</w:t>
      </w:r>
    </w:p>
    <w:p>
      <w:pPr>
        <w:pStyle w:val="2"/>
        <w:spacing w:after="0" w:line="600" w:lineRule="exact"/>
        <w:ind w:firstLine="640" w:firstLineChars="200"/>
        <w:outlineLvl w:val="2"/>
        <w:rPr>
          <w:rFonts w:hint="eastAsia" w:ascii="楷体_GB2312" w:hAnsi="楷体_GB2312" w:eastAsia="楷体_GB2312" w:cs="楷体_GB2312"/>
        </w:rPr>
      </w:pPr>
      <w:r>
        <w:rPr>
          <w:rFonts w:hint="eastAsia" w:ascii="楷体_GB2312" w:hAnsi="楷体_GB2312" w:eastAsia="楷体_GB2312" w:cs="楷体_GB2312"/>
        </w:rPr>
        <w:t>（二）跨区跨省绿色电力交易组织流程</w:t>
      </w:r>
    </w:p>
    <w:p>
      <w:pPr>
        <w:pStyle w:val="2"/>
        <w:spacing w:after="0" w:line="600" w:lineRule="exact"/>
        <w:ind w:firstLine="640" w:firstLineChars="200"/>
        <w:rPr>
          <w:rFonts w:hint="eastAsia" w:ascii="仿宋_GB2312" w:hAnsi="仿宋_GB2312" w:cs="仿宋_GB2312"/>
          <w:highlight w:val="yellow"/>
        </w:rPr>
      </w:pPr>
      <w:r>
        <w:rPr>
          <w:rFonts w:hint="eastAsia" w:ascii="仿宋_GB2312" w:hAnsi="仿宋_GB2312" w:cs="仿宋_GB2312"/>
        </w:rPr>
        <w:t>跨区跨省绿色电力交易按照国家相关部门规则文件组织实施。</w:t>
      </w:r>
    </w:p>
    <w:p>
      <w:pPr>
        <w:pStyle w:val="2"/>
        <w:spacing w:after="0" w:line="600" w:lineRule="exact"/>
        <w:ind w:firstLine="640" w:firstLineChars="200"/>
        <w:rPr>
          <w:rFonts w:hint="eastAsia" w:ascii="黑体" w:hAnsi="黑体" w:eastAsia="黑体" w:cs="黑体"/>
        </w:rPr>
      </w:pPr>
      <w:r>
        <w:rPr>
          <w:rFonts w:hint="eastAsia" w:ascii="黑体" w:hAnsi="黑体" w:eastAsia="黑体" w:cs="黑体"/>
        </w:rPr>
        <w:t>六、交易结算</w:t>
      </w:r>
    </w:p>
    <w:p>
      <w:pPr>
        <w:pStyle w:val="7"/>
        <w:spacing w:line="600" w:lineRule="exact"/>
        <w:ind w:firstLine="640"/>
        <w:rPr>
          <w:rFonts w:hint="eastAsia" w:ascii="仿宋_GB2312" w:hAnsi="仿宋_GB2312" w:cs="仿宋_GB2312"/>
        </w:rPr>
      </w:pPr>
      <w:r>
        <w:rPr>
          <w:rFonts w:hint="eastAsia" w:ascii="仿宋_GB2312" w:hAnsi="仿宋_GB2312" w:cs="仿宋_GB2312"/>
        </w:rPr>
        <w:t>绿色电力交易优先结算，月结月清，合同偏差电量不滚动调整。经营主体应分别明确电能量价格与绿色电力环境价值。其中，</w:t>
      </w:r>
      <w:r>
        <w:rPr>
          <w:rFonts w:hint="eastAsia" w:ascii="仿宋_GB2312" w:hAnsi="仿宋_GB2312" w:cs="仿宋_GB2312"/>
          <w:kern w:val="0"/>
        </w:rPr>
        <w:t>电能量价格结算方式</w:t>
      </w:r>
      <w:r>
        <w:rPr>
          <w:rFonts w:hint="eastAsia" w:ascii="仿宋_GB2312" w:hAnsi="仿宋_GB2312" w:cs="仿宋_GB2312"/>
        </w:rPr>
        <w:t>按照华北能源监管局现行政策文件执行，调节系数参照《北京市2025年电力市场化交易方案》执行</w:t>
      </w:r>
      <w:r>
        <w:rPr>
          <w:rFonts w:hint="eastAsia" w:ascii="仿宋_GB2312" w:hAnsi="仿宋_GB2312" w:cs="仿宋_GB2312"/>
          <w:kern w:val="0"/>
        </w:rPr>
        <w:t>；绿色电力环境价值按当月合同电量、发电企业上网电量、电力用户用电量三者取小的原则确定结算数量（以兆瓦时为单位取整数，尾差滚动到次月核算）进行结算</w:t>
      </w:r>
      <w:r>
        <w:rPr>
          <w:rFonts w:hint="eastAsia" w:ascii="仿宋_GB2312" w:hAnsi="仿宋_GB2312" w:cs="仿宋_GB2312"/>
        </w:rPr>
        <w:t>。其中，同一电力用户/售电公司与多个发电企业签约，总用电量低于总合同电量的，该电力用户/售电公司对应于各发电企业的用电量按总用电量占总合同电量比重等比例调减；同一发电企业与多个电力用户/售电公司签约的，总上网电量低于总合同电量时，该发电企业对应于各电力用户/售电公司的上网电量按总上网电量占总合同电量比重等比例调减。</w:t>
      </w:r>
    </w:p>
    <w:p>
      <w:pPr>
        <w:pStyle w:val="7"/>
        <w:spacing w:line="600" w:lineRule="exact"/>
        <w:ind w:firstLine="640"/>
        <w:rPr>
          <w:rFonts w:hint="eastAsia" w:ascii="仿宋_GB2312" w:hAnsi="仿宋_GB2312" w:cs="仿宋_GB2312"/>
        </w:rPr>
      </w:pPr>
      <w:r>
        <w:rPr>
          <w:rFonts w:hint="eastAsia" w:ascii="仿宋_GB2312" w:hAnsi="仿宋_GB2312" w:cs="仿宋_GB2312"/>
        </w:rPr>
        <w:t>对参与绿色电力交易的电力用户按绿色电力交易结算电量给予每度电0.02元的奖励。</w:t>
      </w:r>
    </w:p>
    <w:p>
      <w:pPr>
        <w:spacing w:line="600" w:lineRule="exact"/>
        <w:ind w:firstLine="640" w:firstLineChars="200"/>
        <w:rPr>
          <w:rFonts w:hint="eastAsia" w:ascii="黑体" w:hAnsi="黑体" w:eastAsia="黑体" w:cs="黑体"/>
        </w:rPr>
      </w:pPr>
      <w:r>
        <w:rPr>
          <w:rFonts w:hint="eastAsia" w:ascii="黑体" w:hAnsi="黑体" w:eastAsia="黑体" w:cs="黑体"/>
        </w:rPr>
        <w:t>七、绿证划转</w:t>
      </w:r>
    </w:p>
    <w:p>
      <w:pPr>
        <w:spacing w:line="600" w:lineRule="exact"/>
        <w:ind w:firstLine="640" w:firstLineChars="200"/>
        <w:rPr>
          <w:rFonts w:hint="eastAsia" w:ascii="仿宋_GB2312" w:hAnsi="仿宋_GB2312" w:cs="仿宋_GB2312"/>
        </w:rPr>
      </w:pPr>
      <w:r>
        <w:rPr>
          <w:rFonts w:hint="eastAsia" w:ascii="仿宋_GB2312" w:hAnsi="仿宋_GB2312" w:cs="仿宋_GB2312"/>
        </w:rPr>
        <w:t>国家能源局电力业务资质管理中心为新能源发电企业核发绿证，并将有关信息推送至北京电力交易中心，绿证信息计入交易平台发电企业的绿色电力账户；北京电力交易中心依据绿色电力交易结算结果等信息，经发用双方确认后，在交易平台将绿证由发电企业划转至电力用户。</w:t>
      </w:r>
    </w:p>
    <w:p>
      <w:pPr>
        <w:spacing w:line="600" w:lineRule="exact"/>
        <w:ind w:firstLine="640" w:firstLineChars="200"/>
        <w:rPr>
          <w:rFonts w:hint="eastAsia" w:ascii="黑体" w:hAnsi="黑体" w:eastAsia="黑体" w:cs="黑体"/>
        </w:rPr>
      </w:pPr>
      <w:r>
        <w:rPr>
          <w:rFonts w:hint="eastAsia" w:ascii="黑体" w:hAnsi="黑体" w:eastAsia="黑体" w:cs="黑体"/>
        </w:rPr>
        <w:t>八、相关工作要求</w:t>
      </w:r>
    </w:p>
    <w:p>
      <w:pPr>
        <w:spacing w:line="600" w:lineRule="exact"/>
        <w:ind w:firstLine="640" w:firstLineChars="200"/>
        <w:rPr>
          <w:rStyle w:val="38"/>
          <w:rFonts w:hint="eastAsia" w:ascii="仿宋_GB2312" w:hAnsi="仿宋_GB2312" w:cs="仿宋_GB2312"/>
        </w:rPr>
      </w:pPr>
      <w:r>
        <w:rPr>
          <w:rFonts w:hint="eastAsia" w:ascii="仿宋_GB2312" w:hAnsi="仿宋_GB2312" w:cs="仿宋_GB2312"/>
        </w:rPr>
        <w:t>（一）绿证是我国可再生能源电量环境属性的唯一证明，是认定可再生能源电力生产、消费的唯一凭证。</w:t>
      </w:r>
    </w:p>
    <w:p>
      <w:pPr>
        <w:spacing w:line="600" w:lineRule="exact"/>
        <w:ind w:firstLine="640" w:firstLineChars="200"/>
        <w:rPr>
          <w:rFonts w:hint="eastAsia" w:ascii="仿宋_GB2312" w:hAnsi="仿宋_GB2312" w:cs="仿宋_GB2312"/>
        </w:rPr>
      </w:pPr>
      <w:r>
        <w:rPr>
          <w:rFonts w:hint="eastAsia" w:ascii="仿宋_GB2312" w:hAnsi="仿宋_GB2312" w:cs="仿宋_GB2312"/>
        </w:rPr>
        <w:t>（二）鼓励电力用户积极参与绿色电力交易，提高可再生能源消费占比，在绿色电力交易各个环节落实优先组织、优先调度、优先结算相关要求。</w:t>
      </w:r>
    </w:p>
    <w:p>
      <w:pPr>
        <w:spacing w:line="600" w:lineRule="exact"/>
        <w:ind w:firstLine="640" w:firstLineChars="200"/>
        <w:rPr>
          <w:rFonts w:hint="eastAsia" w:ascii="仿宋_GB2312" w:hAnsi="仿宋_GB2312" w:cs="仿宋_GB2312"/>
        </w:rPr>
      </w:pPr>
      <w:r>
        <w:rPr>
          <w:rFonts w:hint="eastAsia" w:ascii="仿宋_GB2312" w:hAnsi="仿宋_GB2312" w:cs="仿宋_GB2312"/>
        </w:rPr>
        <w:t>（三）鼓励跨国公司及其产业链企业、外向型企业、行业龙头企业购买绿证、使用绿色电力产品，发挥示范带动作用。支持外商投资企业参与绿证交易和绿色电力交易。推动中央企业、地方国有企业、机关和事业单位发挥先行带头作用，稳步提升绿色电力产品消费比例。强化高耗能企业绿色电力消费责任，按要求提升绿色电力消费水平。支持重点企业、园区等高比例消费绿色电力，打造绿色电力企业、绿色电力园区、绿色电力单位。支持城市副中心开展绿色电力、绿证交易，助力高质量发展。</w:t>
      </w:r>
    </w:p>
    <w:p>
      <w:pPr>
        <w:spacing w:line="600" w:lineRule="exact"/>
        <w:ind w:firstLine="640" w:firstLineChars="200"/>
        <w:rPr>
          <w:rFonts w:hint="eastAsia" w:ascii="仿宋_GB2312" w:hAnsi="仿宋_GB2312" w:cs="仿宋_GB2312"/>
        </w:rPr>
      </w:pPr>
      <w:r>
        <w:rPr>
          <w:rFonts w:hint="eastAsia" w:ascii="仿宋_GB2312" w:hAnsi="仿宋_GB2312" w:cs="仿宋_GB2312"/>
        </w:rPr>
        <w:t>（四）交易公告发布前，应报送市城市管理委。北京电力交易中心、首都电力交易中心应及时组织有意向参与绿色电力交易的经营主体进行交易平台操作培训和政策宣贯。</w:t>
      </w:r>
    </w:p>
    <w:p>
      <w:pPr>
        <w:spacing w:line="600" w:lineRule="exact"/>
        <w:ind w:firstLine="640" w:firstLineChars="200"/>
        <w:rPr>
          <w:rFonts w:hint="eastAsia"/>
        </w:rPr>
      </w:pPr>
      <w:r>
        <w:rPr>
          <w:rFonts w:hint="eastAsia" w:ascii="仿宋_GB2312" w:hAnsi="仿宋_GB2312" w:cs="仿宋_GB2312"/>
        </w:rPr>
        <w:t>（五）北京市2025年绿电交易按照本方案执行，如遇政策调整，由市城市管理委另行发布。</w:t>
      </w:r>
    </w:p>
    <w:sectPr>
      <w:footerReference r:id="rId3" w:type="default"/>
      <w:pgSz w:w="11906" w:h="16838"/>
      <w:pgMar w:top="1984" w:right="1587" w:bottom="2098" w:left="1474" w:header="851" w:footer="1304" w:gutter="0"/>
      <w:cols w:space="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Garamond">
    <w:altName w:val="Noto Serif Bengali"/>
    <w:panose1 w:val="02020404030301010803"/>
    <w:charset w:val="00"/>
    <w:family w:val="roman"/>
    <w:pitch w:val="default"/>
    <w:sig w:usb0="00000000" w:usb1="00000000" w:usb2="00000000" w:usb3="00000000" w:csb0="0000009F" w:csb1="00000000"/>
  </w:font>
  <w:font w:name="Noto Serif Bengali">
    <w:panose1 w:val="02020502040504020204"/>
    <w:charset w:val="00"/>
    <w:family w:val="auto"/>
    <w:pitch w:val="default"/>
    <w:sig w:usb0="0001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cs="宋体"/>
                              <w:sz w:val="21"/>
                              <w:szCs w:val="21"/>
                            </w:rPr>
                          </w:pPr>
                          <w:r>
                            <w:rPr>
                              <w:rFonts w:hint="eastAsia" w:eastAsia="宋体" w:cs="宋体"/>
                              <w:sz w:val="21"/>
                              <w:szCs w:val="21"/>
                            </w:rPr>
                            <w:fldChar w:fldCharType="begin"/>
                          </w:r>
                          <w:r>
                            <w:rPr>
                              <w:rFonts w:hint="eastAsia" w:eastAsia="宋体" w:cs="宋体"/>
                              <w:sz w:val="21"/>
                              <w:szCs w:val="21"/>
                            </w:rPr>
                            <w:instrText xml:space="preserve"> PAGE  \* MERGEFORMAT </w:instrText>
                          </w:r>
                          <w:r>
                            <w:rPr>
                              <w:rFonts w:hint="eastAsia" w:eastAsia="宋体" w:cs="宋体"/>
                              <w:sz w:val="21"/>
                              <w:szCs w:val="21"/>
                            </w:rPr>
                            <w:fldChar w:fldCharType="separate"/>
                          </w:r>
                          <w:r>
                            <w:rPr>
                              <w:rFonts w:hint="eastAsia" w:eastAsia="宋体" w:cs="宋体"/>
                              <w:sz w:val="21"/>
                              <w:szCs w:val="21"/>
                            </w:rPr>
                            <w:t>2</w:t>
                          </w:r>
                          <w:r>
                            <w:rPr>
                              <w:rFonts w:hint="eastAsia"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snapToGrid w:val="0"/>
                      <w:rPr>
                        <w:rFonts w:hint="eastAsia" w:eastAsia="宋体" w:cs="宋体"/>
                        <w:sz w:val="21"/>
                        <w:szCs w:val="21"/>
                      </w:rPr>
                    </w:pPr>
                    <w:r>
                      <w:rPr>
                        <w:rFonts w:hint="eastAsia" w:eastAsia="宋体" w:cs="宋体"/>
                        <w:sz w:val="21"/>
                        <w:szCs w:val="21"/>
                      </w:rPr>
                      <w:fldChar w:fldCharType="begin"/>
                    </w:r>
                    <w:r>
                      <w:rPr>
                        <w:rFonts w:hint="eastAsia" w:eastAsia="宋体" w:cs="宋体"/>
                        <w:sz w:val="21"/>
                        <w:szCs w:val="21"/>
                      </w:rPr>
                      <w:instrText xml:space="preserve"> PAGE  \* MERGEFORMAT </w:instrText>
                    </w:r>
                    <w:r>
                      <w:rPr>
                        <w:rFonts w:hint="eastAsia" w:eastAsia="宋体" w:cs="宋体"/>
                        <w:sz w:val="21"/>
                        <w:szCs w:val="21"/>
                      </w:rPr>
                      <w:fldChar w:fldCharType="separate"/>
                    </w:r>
                    <w:r>
                      <w:rPr>
                        <w:rFonts w:hint="eastAsia" w:eastAsia="宋体" w:cs="宋体"/>
                        <w:sz w:val="21"/>
                        <w:szCs w:val="21"/>
                      </w:rPr>
                      <w:t>2</w:t>
                    </w:r>
                    <w:r>
                      <w:rPr>
                        <w:rFonts w:hint="eastAsia"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6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DNmMjBmZjExNTQyMzAzZjQ3ZjU2YTJjZDliMDU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289"/>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0923"/>
    <w:rsid w:val="000625C3"/>
    <w:rsid w:val="00062B9E"/>
    <w:rsid w:val="00063693"/>
    <w:rsid w:val="000646E6"/>
    <w:rsid w:val="00064852"/>
    <w:rsid w:val="00064896"/>
    <w:rsid w:val="000652A4"/>
    <w:rsid w:val="00065D01"/>
    <w:rsid w:val="00066E6D"/>
    <w:rsid w:val="00066F46"/>
    <w:rsid w:val="00067343"/>
    <w:rsid w:val="000675A6"/>
    <w:rsid w:val="00072AA9"/>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DE9"/>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3C5A"/>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4E26"/>
    <w:rsid w:val="00135DD1"/>
    <w:rsid w:val="00136586"/>
    <w:rsid w:val="001368A0"/>
    <w:rsid w:val="0014029E"/>
    <w:rsid w:val="00141CC6"/>
    <w:rsid w:val="001421F5"/>
    <w:rsid w:val="0014299A"/>
    <w:rsid w:val="00144478"/>
    <w:rsid w:val="00144A04"/>
    <w:rsid w:val="001455FB"/>
    <w:rsid w:val="0014652F"/>
    <w:rsid w:val="00146DE8"/>
    <w:rsid w:val="00147566"/>
    <w:rsid w:val="0014775D"/>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0B2F"/>
    <w:rsid w:val="00161241"/>
    <w:rsid w:val="00161284"/>
    <w:rsid w:val="00161851"/>
    <w:rsid w:val="0016251E"/>
    <w:rsid w:val="00162EB8"/>
    <w:rsid w:val="00164357"/>
    <w:rsid w:val="001646A1"/>
    <w:rsid w:val="00164988"/>
    <w:rsid w:val="00165688"/>
    <w:rsid w:val="00166654"/>
    <w:rsid w:val="001667B1"/>
    <w:rsid w:val="00166A95"/>
    <w:rsid w:val="00167376"/>
    <w:rsid w:val="001675D6"/>
    <w:rsid w:val="0017147F"/>
    <w:rsid w:val="00171840"/>
    <w:rsid w:val="001718AD"/>
    <w:rsid w:val="00172A27"/>
    <w:rsid w:val="00172D66"/>
    <w:rsid w:val="00173690"/>
    <w:rsid w:val="00174A0B"/>
    <w:rsid w:val="001753F3"/>
    <w:rsid w:val="00175558"/>
    <w:rsid w:val="001755C0"/>
    <w:rsid w:val="0017584C"/>
    <w:rsid w:val="00176EF8"/>
    <w:rsid w:val="001771DB"/>
    <w:rsid w:val="001774B2"/>
    <w:rsid w:val="001801E7"/>
    <w:rsid w:val="001817B5"/>
    <w:rsid w:val="00182158"/>
    <w:rsid w:val="00182DBE"/>
    <w:rsid w:val="001837D3"/>
    <w:rsid w:val="001839FC"/>
    <w:rsid w:val="00184214"/>
    <w:rsid w:val="00184F49"/>
    <w:rsid w:val="00185164"/>
    <w:rsid w:val="001866D6"/>
    <w:rsid w:val="00187BEF"/>
    <w:rsid w:val="001927B1"/>
    <w:rsid w:val="00192C3E"/>
    <w:rsid w:val="00192CBE"/>
    <w:rsid w:val="00192DC0"/>
    <w:rsid w:val="00193B65"/>
    <w:rsid w:val="00193D60"/>
    <w:rsid w:val="00194B69"/>
    <w:rsid w:val="00194BFC"/>
    <w:rsid w:val="00195A78"/>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23C"/>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0D7F"/>
    <w:rsid w:val="001F1580"/>
    <w:rsid w:val="001F21CA"/>
    <w:rsid w:val="001F2B65"/>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36D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3C32"/>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4BC3"/>
    <w:rsid w:val="002753E3"/>
    <w:rsid w:val="00275539"/>
    <w:rsid w:val="00275FDE"/>
    <w:rsid w:val="00276149"/>
    <w:rsid w:val="00276C8E"/>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3A5"/>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0D"/>
    <w:rsid w:val="002C2A34"/>
    <w:rsid w:val="002C3ED3"/>
    <w:rsid w:val="002C77D2"/>
    <w:rsid w:val="002D00D8"/>
    <w:rsid w:val="002D27B8"/>
    <w:rsid w:val="002D291D"/>
    <w:rsid w:val="002D2E70"/>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5DC8"/>
    <w:rsid w:val="002F631D"/>
    <w:rsid w:val="002F6403"/>
    <w:rsid w:val="003005AF"/>
    <w:rsid w:val="00300C29"/>
    <w:rsid w:val="00302BE6"/>
    <w:rsid w:val="00303680"/>
    <w:rsid w:val="00303E2A"/>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012A"/>
    <w:rsid w:val="003411FF"/>
    <w:rsid w:val="003441C4"/>
    <w:rsid w:val="00344755"/>
    <w:rsid w:val="003447B8"/>
    <w:rsid w:val="0034584A"/>
    <w:rsid w:val="00350183"/>
    <w:rsid w:val="00350E08"/>
    <w:rsid w:val="00351FE3"/>
    <w:rsid w:val="0035227A"/>
    <w:rsid w:val="00352B28"/>
    <w:rsid w:val="003536C6"/>
    <w:rsid w:val="003547E3"/>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12E"/>
    <w:rsid w:val="003B45F4"/>
    <w:rsid w:val="003B4ACD"/>
    <w:rsid w:val="003C1534"/>
    <w:rsid w:val="003C1EFF"/>
    <w:rsid w:val="003C3B8B"/>
    <w:rsid w:val="003C5759"/>
    <w:rsid w:val="003C645C"/>
    <w:rsid w:val="003C7123"/>
    <w:rsid w:val="003C7F90"/>
    <w:rsid w:val="003D13E9"/>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D67"/>
    <w:rsid w:val="003F4EA8"/>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3A42"/>
    <w:rsid w:val="00424FB9"/>
    <w:rsid w:val="004310C9"/>
    <w:rsid w:val="0043110A"/>
    <w:rsid w:val="0043184D"/>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A6F"/>
    <w:rsid w:val="00454BE9"/>
    <w:rsid w:val="0045585D"/>
    <w:rsid w:val="00456E13"/>
    <w:rsid w:val="00460CEB"/>
    <w:rsid w:val="0046107E"/>
    <w:rsid w:val="00461DCB"/>
    <w:rsid w:val="004621D3"/>
    <w:rsid w:val="00462D5A"/>
    <w:rsid w:val="00463BDC"/>
    <w:rsid w:val="00464316"/>
    <w:rsid w:val="00464585"/>
    <w:rsid w:val="00464D2E"/>
    <w:rsid w:val="0046536F"/>
    <w:rsid w:val="00465F63"/>
    <w:rsid w:val="004660A5"/>
    <w:rsid w:val="0046622A"/>
    <w:rsid w:val="00466468"/>
    <w:rsid w:val="00470300"/>
    <w:rsid w:val="00471DEB"/>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259"/>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8D8"/>
    <w:rsid w:val="004E3E51"/>
    <w:rsid w:val="004E44DA"/>
    <w:rsid w:val="004E44E9"/>
    <w:rsid w:val="004E59BA"/>
    <w:rsid w:val="004E74A5"/>
    <w:rsid w:val="004E7ED5"/>
    <w:rsid w:val="004F13CC"/>
    <w:rsid w:val="004F219A"/>
    <w:rsid w:val="004F22F1"/>
    <w:rsid w:val="004F273A"/>
    <w:rsid w:val="004F4E19"/>
    <w:rsid w:val="004F5BD2"/>
    <w:rsid w:val="004F5ED1"/>
    <w:rsid w:val="004F64EE"/>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1F9E"/>
    <w:rsid w:val="005824AC"/>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6BEB"/>
    <w:rsid w:val="00596E64"/>
    <w:rsid w:val="00596F91"/>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5FE"/>
    <w:rsid w:val="005C4CFF"/>
    <w:rsid w:val="005C5410"/>
    <w:rsid w:val="005C6009"/>
    <w:rsid w:val="005C641F"/>
    <w:rsid w:val="005C719C"/>
    <w:rsid w:val="005C7D37"/>
    <w:rsid w:val="005D0C8F"/>
    <w:rsid w:val="005D1A17"/>
    <w:rsid w:val="005D27A0"/>
    <w:rsid w:val="005D488A"/>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6EB6"/>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10D"/>
    <w:rsid w:val="0062194F"/>
    <w:rsid w:val="00622F68"/>
    <w:rsid w:val="00623B28"/>
    <w:rsid w:val="00624710"/>
    <w:rsid w:val="00625689"/>
    <w:rsid w:val="00627138"/>
    <w:rsid w:val="006274D2"/>
    <w:rsid w:val="0062783D"/>
    <w:rsid w:val="00627955"/>
    <w:rsid w:val="00627B30"/>
    <w:rsid w:val="00631C0E"/>
    <w:rsid w:val="00631F36"/>
    <w:rsid w:val="00632E52"/>
    <w:rsid w:val="0063306F"/>
    <w:rsid w:val="00633F9A"/>
    <w:rsid w:val="00634328"/>
    <w:rsid w:val="00635520"/>
    <w:rsid w:val="00635EDB"/>
    <w:rsid w:val="006370A1"/>
    <w:rsid w:val="006377DD"/>
    <w:rsid w:val="006407B0"/>
    <w:rsid w:val="00641B89"/>
    <w:rsid w:val="00641ECC"/>
    <w:rsid w:val="006440ED"/>
    <w:rsid w:val="00644B65"/>
    <w:rsid w:val="006455BC"/>
    <w:rsid w:val="006456D1"/>
    <w:rsid w:val="0064637F"/>
    <w:rsid w:val="00647337"/>
    <w:rsid w:val="0064785E"/>
    <w:rsid w:val="006479C4"/>
    <w:rsid w:val="006517CE"/>
    <w:rsid w:val="00651D08"/>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6E1"/>
    <w:rsid w:val="00673A2F"/>
    <w:rsid w:val="00673AE6"/>
    <w:rsid w:val="00673F59"/>
    <w:rsid w:val="0067425B"/>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57D5"/>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171"/>
    <w:rsid w:val="006E39BE"/>
    <w:rsid w:val="006E4B6A"/>
    <w:rsid w:val="006E4EC4"/>
    <w:rsid w:val="006E5A19"/>
    <w:rsid w:val="006F0235"/>
    <w:rsid w:val="006F0823"/>
    <w:rsid w:val="006F0DBA"/>
    <w:rsid w:val="006F1536"/>
    <w:rsid w:val="006F23F2"/>
    <w:rsid w:val="006F2948"/>
    <w:rsid w:val="006F2C2E"/>
    <w:rsid w:val="006F2FB4"/>
    <w:rsid w:val="006F334A"/>
    <w:rsid w:val="006F3547"/>
    <w:rsid w:val="006F3A13"/>
    <w:rsid w:val="006F4828"/>
    <w:rsid w:val="006F618E"/>
    <w:rsid w:val="006F61EA"/>
    <w:rsid w:val="006F6599"/>
    <w:rsid w:val="006F66F2"/>
    <w:rsid w:val="006F7F1D"/>
    <w:rsid w:val="00700145"/>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685B"/>
    <w:rsid w:val="007472C6"/>
    <w:rsid w:val="00747CD9"/>
    <w:rsid w:val="007503F3"/>
    <w:rsid w:val="00751D48"/>
    <w:rsid w:val="007526DD"/>
    <w:rsid w:val="00752871"/>
    <w:rsid w:val="00752A3E"/>
    <w:rsid w:val="00753852"/>
    <w:rsid w:val="00755D9E"/>
    <w:rsid w:val="00756369"/>
    <w:rsid w:val="00757164"/>
    <w:rsid w:val="00757964"/>
    <w:rsid w:val="007579D8"/>
    <w:rsid w:val="00760FEF"/>
    <w:rsid w:val="007615A8"/>
    <w:rsid w:val="007638E3"/>
    <w:rsid w:val="00763C26"/>
    <w:rsid w:val="00763EC2"/>
    <w:rsid w:val="00764DF3"/>
    <w:rsid w:val="00765009"/>
    <w:rsid w:val="007655D2"/>
    <w:rsid w:val="007658B9"/>
    <w:rsid w:val="00767566"/>
    <w:rsid w:val="00767974"/>
    <w:rsid w:val="007733D9"/>
    <w:rsid w:val="00773E0C"/>
    <w:rsid w:val="00775489"/>
    <w:rsid w:val="00775BFE"/>
    <w:rsid w:val="007770C9"/>
    <w:rsid w:val="00777E3F"/>
    <w:rsid w:val="00780024"/>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4CEC"/>
    <w:rsid w:val="007956AB"/>
    <w:rsid w:val="00795E34"/>
    <w:rsid w:val="00796A51"/>
    <w:rsid w:val="00796F0C"/>
    <w:rsid w:val="007978FA"/>
    <w:rsid w:val="007A0624"/>
    <w:rsid w:val="007A0A31"/>
    <w:rsid w:val="007A0C7F"/>
    <w:rsid w:val="007A2A58"/>
    <w:rsid w:val="007A2BFA"/>
    <w:rsid w:val="007A3B65"/>
    <w:rsid w:val="007A3C96"/>
    <w:rsid w:val="007A3DBB"/>
    <w:rsid w:val="007A6892"/>
    <w:rsid w:val="007A7414"/>
    <w:rsid w:val="007A7461"/>
    <w:rsid w:val="007B0646"/>
    <w:rsid w:val="007B116B"/>
    <w:rsid w:val="007B1F9D"/>
    <w:rsid w:val="007B23A4"/>
    <w:rsid w:val="007B33FD"/>
    <w:rsid w:val="007B35B8"/>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5079"/>
    <w:rsid w:val="007F6049"/>
    <w:rsid w:val="007F7092"/>
    <w:rsid w:val="007F72D3"/>
    <w:rsid w:val="007F7E91"/>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7B2"/>
    <w:rsid w:val="0086294F"/>
    <w:rsid w:val="00863204"/>
    <w:rsid w:val="008648DF"/>
    <w:rsid w:val="00865334"/>
    <w:rsid w:val="0086555F"/>
    <w:rsid w:val="00865CC2"/>
    <w:rsid w:val="00866DA1"/>
    <w:rsid w:val="00867098"/>
    <w:rsid w:val="00867B63"/>
    <w:rsid w:val="008705D1"/>
    <w:rsid w:val="008708CD"/>
    <w:rsid w:val="008714C0"/>
    <w:rsid w:val="008716CA"/>
    <w:rsid w:val="00872BDE"/>
    <w:rsid w:val="00874108"/>
    <w:rsid w:val="00876800"/>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87FDC"/>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02"/>
    <w:rsid w:val="008C71D7"/>
    <w:rsid w:val="008C7BA3"/>
    <w:rsid w:val="008C7D37"/>
    <w:rsid w:val="008D0B28"/>
    <w:rsid w:val="008D1798"/>
    <w:rsid w:val="008D2305"/>
    <w:rsid w:val="008D293A"/>
    <w:rsid w:val="008D31A7"/>
    <w:rsid w:val="008D3BD5"/>
    <w:rsid w:val="008D4149"/>
    <w:rsid w:val="008D50BE"/>
    <w:rsid w:val="008D5793"/>
    <w:rsid w:val="008D5C3C"/>
    <w:rsid w:val="008D6813"/>
    <w:rsid w:val="008D6829"/>
    <w:rsid w:val="008D7123"/>
    <w:rsid w:val="008D7174"/>
    <w:rsid w:val="008D7447"/>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09C6"/>
    <w:rsid w:val="00911046"/>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22D"/>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AD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A09"/>
    <w:rsid w:val="009B5FFE"/>
    <w:rsid w:val="009B6528"/>
    <w:rsid w:val="009B78E3"/>
    <w:rsid w:val="009B7B21"/>
    <w:rsid w:val="009C0171"/>
    <w:rsid w:val="009C225A"/>
    <w:rsid w:val="009C2516"/>
    <w:rsid w:val="009C33E6"/>
    <w:rsid w:val="009C4B9A"/>
    <w:rsid w:val="009C5B84"/>
    <w:rsid w:val="009C6915"/>
    <w:rsid w:val="009C694E"/>
    <w:rsid w:val="009C70BE"/>
    <w:rsid w:val="009C7DF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6D1"/>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561"/>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E40"/>
    <w:rsid w:val="00AD0F44"/>
    <w:rsid w:val="00AD1B79"/>
    <w:rsid w:val="00AD3A0B"/>
    <w:rsid w:val="00AD4A9E"/>
    <w:rsid w:val="00AD5A56"/>
    <w:rsid w:val="00AD621C"/>
    <w:rsid w:val="00AD6E04"/>
    <w:rsid w:val="00AE01D2"/>
    <w:rsid w:val="00AE1765"/>
    <w:rsid w:val="00AE5BB4"/>
    <w:rsid w:val="00AE6177"/>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24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D7F53"/>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4F29"/>
    <w:rsid w:val="00BF64A7"/>
    <w:rsid w:val="00C00480"/>
    <w:rsid w:val="00C0063E"/>
    <w:rsid w:val="00C01616"/>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771C4"/>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23BA"/>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B798D"/>
    <w:rsid w:val="00CC0A71"/>
    <w:rsid w:val="00CC0AED"/>
    <w:rsid w:val="00CC1BB7"/>
    <w:rsid w:val="00CD0574"/>
    <w:rsid w:val="00CD0907"/>
    <w:rsid w:val="00CD0AE5"/>
    <w:rsid w:val="00CD10A2"/>
    <w:rsid w:val="00CD1C9B"/>
    <w:rsid w:val="00CD3160"/>
    <w:rsid w:val="00CD39E4"/>
    <w:rsid w:val="00CD5135"/>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1EEC"/>
    <w:rsid w:val="00D12296"/>
    <w:rsid w:val="00D12497"/>
    <w:rsid w:val="00D13B74"/>
    <w:rsid w:val="00D149C4"/>
    <w:rsid w:val="00D165F9"/>
    <w:rsid w:val="00D2061C"/>
    <w:rsid w:val="00D20B07"/>
    <w:rsid w:val="00D21AA0"/>
    <w:rsid w:val="00D21D86"/>
    <w:rsid w:val="00D2270F"/>
    <w:rsid w:val="00D22827"/>
    <w:rsid w:val="00D2314F"/>
    <w:rsid w:val="00D273FA"/>
    <w:rsid w:val="00D27B0F"/>
    <w:rsid w:val="00D30131"/>
    <w:rsid w:val="00D306D6"/>
    <w:rsid w:val="00D34535"/>
    <w:rsid w:val="00D35481"/>
    <w:rsid w:val="00D4006B"/>
    <w:rsid w:val="00D40D2A"/>
    <w:rsid w:val="00D40DC7"/>
    <w:rsid w:val="00D40E9A"/>
    <w:rsid w:val="00D4130B"/>
    <w:rsid w:val="00D4144A"/>
    <w:rsid w:val="00D416BE"/>
    <w:rsid w:val="00D434EE"/>
    <w:rsid w:val="00D44488"/>
    <w:rsid w:val="00D450A2"/>
    <w:rsid w:val="00D4545A"/>
    <w:rsid w:val="00D45D61"/>
    <w:rsid w:val="00D46975"/>
    <w:rsid w:val="00D46C58"/>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4E90"/>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0C"/>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1F83"/>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30E2"/>
    <w:rsid w:val="00E4440E"/>
    <w:rsid w:val="00E4671F"/>
    <w:rsid w:val="00E5009E"/>
    <w:rsid w:val="00E50467"/>
    <w:rsid w:val="00E50BDA"/>
    <w:rsid w:val="00E53960"/>
    <w:rsid w:val="00E539A5"/>
    <w:rsid w:val="00E53B49"/>
    <w:rsid w:val="00E54EF7"/>
    <w:rsid w:val="00E56547"/>
    <w:rsid w:val="00E56D44"/>
    <w:rsid w:val="00E572C9"/>
    <w:rsid w:val="00E601FE"/>
    <w:rsid w:val="00E60A9F"/>
    <w:rsid w:val="00E60E16"/>
    <w:rsid w:val="00E60E34"/>
    <w:rsid w:val="00E6127D"/>
    <w:rsid w:val="00E63476"/>
    <w:rsid w:val="00E63C31"/>
    <w:rsid w:val="00E64012"/>
    <w:rsid w:val="00E6470D"/>
    <w:rsid w:val="00E65319"/>
    <w:rsid w:val="00E67AE1"/>
    <w:rsid w:val="00E67D24"/>
    <w:rsid w:val="00E70CE5"/>
    <w:rsid w:val="00E71BDE"/>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2EB4"/>
    <w:rsid w:val="00E934BE"/>
    <w:rsid w:val="00E934F3"/>
    <w:rsid w:val="00E9543D"/>
    <w:rsid w:val="00E9686F"/>
    <w:rsid w:val="00E971E7"/>
    <w:rsid w:val="00E973EB"/>
    <w:rsid w:val="00E9764D"/>
    <w:rsid w:val="00E97A66"/>
    <w:rsid w:val="00E97FE1"/>
    <w:rsid w:val="00EA0186"/>
    <w:rsid w:val="00EA02C5"/>
    <w:rsid w:val="00EA13FF"/>
    <w:rsid w:val="00EA44B9"/>
    <w:rsid w:val="00EA6670"/>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1E5B"/>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4C5E"/>
    <w:rsid w:val="00F263CC"/>
    <w:rsid w:val="00F26F29"/>
    <w:rsid w:val="00F3086B"/>
    <w:rsid w:val="00F314E4"/>
    <w:rsid w:val="00F315EB"/>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3E0D"/>
    <w:rsid w:val="00F548B1"/>
    <w:rsid w:val="00F549E4"/>
    <w:rsid w:val="00F5541D"/>
    <w:rsid w:val="00F55A1E"/>
    <w:rsid w:val="00F567A7"/>
    <w:rsid w:val="00F56ACC"/>
    <w:rsid w:val="00F62812"/>
    <w:rsid w:val="00F6361C"/>
    <w:rsid w:val="00F63FC2"/>
    <w:rsid w:val="00F640C2"/>
    <w:rsid w:val="00F64581"/>
    <w:rsid w:val="00F66853"/>
    <w:rsid w:val="00F703F8"/>
    <w:rsid w:val="00F705A5"/>
    <w:rsid w:val="00F71502"/>
    <w:rsid w:val="00F7183F"/>
    <w:rsid w:val="00F71C81"/>
    <w:rsid w:val="00F723AC"/>
    <w:rsid w:val="00F72768"/>
    <w:rsid w:val="00F77612"/>
    <w:rsid w:val="00F8018D"/>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64"/>
    <w:rsid w:val="00FA5ED6"/>
    <w:rsid w:val="00FA664A"/>
    <w:rsid w:val="00FA7039"/>
    <w:rsid w:val="00FA7A34"/>
    <w:rsid w:val="00FB001B"/>
    <w:rsid w:val="00FB0603"/>
    <w:rsid w:val="00FB153E"/>
    <w:rsid w:val="00FB46CD"/>
    <w:rsid w:val="00FB6262"/>
    <w:rsid w:val="00FB6D9D"/>
    <w:rsid w:val="00FB7FED"/>
    <w:rsid w:val="00FC01FF"/>
    <w:rsid w:val="00FC164F"/>
    <w:rsid w:val="00FC206F"/>
    <w:rsid w:val="00FC2F8D"/>
    <w:rsid w:val="00FC5833"/>
    <w:rsid w:val="00FC66A9"/>
    <w:rsid w:val="00FC76E6"/>
    <w:rsid w:val="00FD0CE2"/>
    <w:rsid w:val="00FD150B"/>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5D8D"/>
    <w:rsid w:val="00FE696A"/>
    <w:rsid w:val="00FE7F36"/>
    <w:rsid w:val="00FF3A17"/>
    <w:rsid w:val="00FF4B59"/>
    <w:rsid w:val="00FF4D7D"/>
    <w:rsid w:val="00FF785C"/>
    <w:rsid w:val="01791CD3"/>
    <w:rsid w:val="01C502E0"/>
    <w:rsid w:val="0205793E"/>
    <w:rsid w:val="023764B2"/>
    <w:rsid w:val="02533F80"/>
    <w:rsid w:val="03944676"/>
    <w:rsid w:val="03D114CB"/>
    <w:rsid w:val="03F21BCC"/>
    <w:rsid w:val="0433251E"/>
    <w:rsid w:val="047B0B3A"/>
    <w:rsid w:val="04EB0EE2"/>
    <w:rsid w:val="063C29C9"/>
    <w:rsid w:val="06832477"/>
    <w:rsid w:val="06856661"/>
    <w:rsid w:val="073B62FE"/>
    <w:rsid w:val="078966FD"/>
    <w:rsid w:val="07BD4336"/>
    <w:rsid w:val="08A01674"/>
    <w:rsid w:val="0920039A"/>
    <w:rsid w:val="095E54F2"/>
    <w:rsid w:val="09FF1157"/>
    <w:rsid w:val="0A015D01"/>
    <w:rsid w:val="0A4C255E"/>
    <w:rsid w:val="0A4F1CC6"/>
    <w:rsid w:val="0A7F56D8"/>
    <w:rsid w:val="0A854839"/>
    <w:rsid w:val="0ACA0AE6"/>
    <w:rsid w:val="0AD94570"/>
    <w:rsid w:val="0AEB48B5"/>
    <w:rsid w:val="0BAE1B1C"/>
    <w:rsid w:val="0C0E7A39"/>
    <w:rsid w:val="0D1F336B"/>
    <w:rsid w:val="0DD6300D"/>
    <w:rsid w:val="0DDB4FA9"/>
    <w:rsid w:val="0DE03378"/>
    <w:rsid w:val="0E2B2918"/>
    <w:rsid w:val="0E7D4BEE"/>
    <w:rsid w:val="0E9A33AE"/>
    <w:rsid w:val="0EE408D5"/>
    <w:rsid w:val="0EF71738"/>
    <w:rsid w:val="0F655FB1"/>
    <w:rsid w:val="0FB209E9"/>
    <w:rsid w:val="0FCD31DE"/>
    <w:rsid w:val="100C2663"/>
    <w:rsid w:val="100D7D1E"/>
    <w:rsid w:val="107F782F"/>
    <w:rsid w:val="11094D4C"/>
    <w:rsid w:val="111C3487"/>
    <w:rsid w:val="117B3ACB"/>
    <w:rsid w:val="11B147AE"/>
    <w:rsid w:val="11F052D6"/>
    <w:rsid w:val="122A59BD"/>
    <w:rsid w:val="12761244"/>
    <w:rsid w:val="12A76E20"/>
    <w:rsid w:val="12B20277"/>
    <w:rsid w:val="147C4B0B"/>
    <w:rsid w:val="14BE5F44"/>
    <w:rsid w:val="15194B44"/>
    <w:rsid w:val="1546345F"/>
    <w:rsid w:val="15891CCA"/>
    <w:rsid w:val="15C55D50"/>
    <w:rsid w:val="15CC6A3A"/>
    <w:rsid w:val="15E907B0"/>
    <w:rsid w:val="15FD3A42"/>
    <w:rsid w:val="163F73D8"/>
    <w:rsid w:val="17373E4C"/>
    <w:rsid w:val="17EEF9BF"/>
    <w:rsid w:val="18CD0120"/>
    <w:rsid w:val="19010B5E"/>
    <w:rsid w:val="193B6702"/>
    <w:rsid w:val="199865BF"/>
    <w:rsid w:val="1A321375"/>
    <w:rsid w:val="1AE6371B"/>
    <w:rsid w:val="1AEE8575"/>
    <w:rsid w:val="1B125BAC"/>
    <w:rsid w:val="1B150798"/>
    <w:rsid w:val="1B287E1F"/>
    <w:rsid w:val="1BDF427D"/>
    <w:rsid w:val="1C11583C"/>
    <w:rsid w:val="1C212338"/>
    <w:rsid w:val="1C634634"/>
    <w:rsid w:val="1C803DCB"/>
    <w:rsid w:val="1CA064D4"/>
    <w:rsid w:val="1CB60B01"/>
    <w:rsid w:val="1D0F0676"/>
    <w:rsid w:val="1D68505D"/>
    <w:rsid w:val="1DDF7107"/>
    <w:rsid w:val="1DF613D9"/>
    <w:rsid w:val="1E0D352E"/>
    <w:rsid w:val="1E1835F3"/>
    <w:rsid w:val="1E8E66B7"/>
    <w:rsid w:val="1EB5526B"/>
    <w:rsid w:val="1EF354FD"/>
    <w:rsid w:val="1F2703FC"/>
    <w:rsid w:val="1FB902AF"/>
    <w:rsid w:val="1FDB18A8"/>
    <w:rsid w:val="1FDF7FCD"/>
    <w:rsid w:val="1FF35677"/>
    <w:rsid w:val="207A470F"/>
    <w:rsid w:val="210B463E"/>
    <w:rsid w:val="21104AD5"/>
    <w:rsid w:val="212E710B"/>
    <w:rsid w:val="217106AC"/>
    <w:rsid w:val="21943D46"/>
    <w:rsid w:val="21D043CE"/>
    <w:rsid w:val="21F5556B"/>
    <w:rsid w:val="2288155B"/>
    <w:rsid w:val="22F94293"/>
    <w:rsid w:val="246B6A3F"/>
    <w:rsid w:val="255B6AC9"/>
    <w:rsid w:val="25DC07E7"/>
    <w:rsid w:val="267D6303"/>
    <w:rsid w:val="267E36E0"/>
    <w:rsid w:val="277D4073"/>
    <w:rsid w:val="27824BF7"/>
    <w:rsid w:val="278D7DFF"/>
    <w:rsid w:val="27A75FE0"/>
    <w:rsid w:val="27F7B3D6"/>
    <w:rsid w:val="28685886"/>
    <w:rsid w:val="289C1037"/>
    <w:rsid w:val="28B05A59"/>
    <w:rsid w:val="28B97D6A"/>
    <w:rsid w:val="28F10DEC"/>
    <w:rsid w:val="29572F1C"/>
    <w:rsid w:val="29D12225"/>
    <w:rsid w:val="2A3D0E7D"/>
    <w:rsid w:val="2A675B61"/>
    <w:rsid w:val="2A9F4381"/>
    <w:rsid w:val="2AD35F6A"/>
    <w:rsid w:val="2B337D29"/>
    <w:rsid w:val="2B746879"/>
    <w:rsid w:val="2BC4E4FA"/>
    <w:rsid w:val="2BDFA08F"/>
    <w:rsid w:val="2BE17618"/>
    <w:rsid w:val="2C7C3FCF"/>
    <w:rsid w:val="2C8972E8"/>
    <w:rsid w:val="2D126703"/>
    <w:rsid w:val="2D653220"/>
    <w:rsid w:val="2D7E4089"/>
    <w:rsid w:val="2D7F3696"/>
    <w:rsid w:val="2D9178FC"/>
    <w:rsid w:val="2E0C4867"/>
    <w:rsid w:val="2E460B24"/>
    <w:rsid w:val="2EAEC9F1"/>
    <w:rsid w:val="2F1321AD"/>
    <w:rsid w:val="2F257996"/>
    <w:rsid w:val="2F5F1AD0"/>
    <w:rsid w:val="2F79B7FF"/>
    <w:rsid w:val="2F8A7425"/>
    <w:rsid w:val="2FB11BF0"/>
    <w:rsid w:val="30C85830"/>
    <w:rsid w:val="30F50996"/>
    <w:rsid w:val="30FC548F"/>
    <w:rsid w:val="31286E31"/>
    <w:rsid w:val="32C21E80"/>
    <w:rsid w:val="32CC4585"/>
    <w:rsid w:val="32D833CC"/>
    <w:rsid w:val="32FF0045"/>
    <w:rsid w:val="33222F79"/>
    <w:rsid w:val="33446C47"/>
    <w:rsid w:val="337D6FDA"/>
    <w:rsid w:val="337E48D0"/>
    <w:rsid w:val="338D7B37"/>
    <w:rsid w:val="33D632D4"/>
    <w:rsid w:val="33ED121E"/>
    <w:rsid w:val="341337CB"/>
    <w:rsid w:val="347E7F55"/>
    <w:rsid w:val="34983880"/>
    <w:rsid w:val="34D33B5B"/>
    <w:rsid w:val="35DEB453"/>
    <w:rsid w:val="35F452AD"/>
    <w:rsid w:val="35FDA9A0"/>
    <w:rsid w:val="36057C4F"/>
    <w:rsid w:val="369D7621"/>
    <w:rsid w:val="36D13079"/>
    <w:rsid w:val="36EFD636"/>
    <w:rsid w:val="36F42249"/>
    <w:rsid w:val="370B5D0C"/>
    <w:rsid w:val="372DF4E4"/>
    <w:rsid w:val="373B347C"/>
    <w:rsid w:val="37540AA2"/>
    <w:rsid w:val="38073074"/>
    <w:rsid w:val="383A64FE"/>
    <w:rsid w:val="38E87BC9"/>
    <w:rsid w:val="392320EF"/>
    <w:rsid w:val="3953468E"/>
    <w:rsid w:val="3997BC09"/>
    <w:rsid w:val="39FBDF40"/>
    <w:rsid w:val="3A296FBE"/>
    <w:rsid w:val="3A49346A"/>
    <w:rsid w:val="3AB63421"/>
    <w:rsid w:val="3AF7C7FE"/>
    <w:rsid w:val="3B3C48E8"/>
    <w:rsid w:val="3B7C21DC"/>
    <w:rsid w:val="3B9E1077"/>
    <w:rsid w:val="3BAF13BF"/>
    <w:rsid w:val="3BB64A76"/>
    <w:rsid w:val="3BE65550"/>
    <w:rsid w:val="3BF533B1"/>
    <w:rsid w:val="3BF64AAD"/>
    <w:rsid w:val="3BFFEA80"/>
    <w:rsid w:val="3C02752B"/>
    <w:rsid w:val="3C271159"/>
    <w:rsid w:val="3C9D1F87"/>
    <w:rsid w:val="3CEA23BD"/>
    <w:rsid w:val="3D366A4A"/>
    <w:rsid w:val="3D4476E5"/>
    <w:rsid w:val="3D49013B"/>
    <w:rsid w:val="3D6E79D2"/>
    <w:rsid w:val="3D7D2179"/>
    <w:rsid w:val="3DB70AD3"/>
    <w:rsid w:val="3DDD6D33"/>
    <w:rsid w:val="3DFD8960"/>
    <w:rsid w:val="3E0D90E0"/>
    <w:rsid w:val="3E4FDD81"/>
    <w:rsid w:val="3F2FF45A"/>
    <w:rsid w:val="3F4EFA06"/>
    <w:rsid w:val="3F6FB961"/>
    <w:rsid w:val="3F7AE3C0"/>
    <w:rsid w:val="3F841762"/>
    <w:rsid w:val="3FB9CFD9"/>
    <w:rsid w:val="3FDAB895"/>
    <w:rsid w:val="3FDD800F"/>
    <w:rsid w:val="3FDF0E39"/>
    <w:rsid w:val="3FE0CCD5"/>
    <w:rsid w:val="3FE2218B"/>
    <w:rsid w:val="3FF74EEE"/>
    <w:rsid w:val="3FFA062E"/>
    <w:rsid w:val="3FFF356A"/>
    <w:rsid w:val="3FFF4E45"/>
    <w:rsid w:val="3FFF89BB"/>
    <w:rsid w:val="40360E64"/>
    <w:rsid w:val="408C4C8F"/>
    <w:rsid w:val="413B40E9"/>
    <w:rsid w:val="414E51F3"/>
    <w:rsid w:val="41B10AC2"/>
    <w:rsid w:val="41D95413"/>
    <w:rsid w:val="4259386D"/>
    <w:rsid w:val="431866C6"/>
    <w:rsid w:val="434D3B25"/>
    <w:rsid w:val="438F73C5"/>
    <w:rsid w:val="43C5EFCC"/>
    <w:rsid w:val="43D44955"/>
    <w:rsid w:val="44585D35"/>
    <w:rsid w:val="445B21D4"/>
    <w:rsid w:val="44FA1861"/>
    <w:rsid w:val="45453B9B"/>
    <w:rsid w:val="466E52B3"/>
    <w:rsid w:val="46CA7E9E"/>
    <w:rsid w:val="46F65E21"/>
    <w:rsid w:val="4744128D"/>
    <w:rsid w:val="47504770"/>
    <w:rsid w:val="47921C09"/>
    <w:rsid w:val="47D479C8"/>
    <w:rsid w:val="47EE1D62"/>
    <w:rsid w:val="47F1197B"/>
    <w:rsid w:val="48E56A2C"/>
    <w:rsid w:val="495E4CB3"/>
    <w:rsid w:val="497B4A43"/>
    <w:rsid w:val="498E1E37"/>
    <w:rsid w:val="49EFCEA3"/>
    <w:rsid w:val="4A064368"/>
    <w:rsid w:val="4A2F5D4E"/>
    <w:rsid w:val="4AA05FC0"/>
    <w:rsid w:val="4AA20354"/>
    <w:rsid w:val="4ADB22A1"/>
    <w:rsid w:val="4AEC34B5"/>
    <w:rsid w:val="4B5005B9"/>
    <w:rsid w:val="4BFFDA48"/>
    <w:rsid w:val="4C1414C8"/>
    <w:rsid w:val="4C2067BE"/>
    <w:rsid w:val="4CB5461B"/>
    <w:rsid w:val="4CBC5762"/>
    <w:rsid w:val="4D100E7F"/>
    <w:rsid w:val="4D1F38CE"/>
    <w:rsid w:val="4DB766CD"/>
    <w:rsid w:val="4DB8CA2B"/>
    <w:rsid w:val="4E4D5452"/>
    <w:rsid w:val="4E8778D4"/>
    <w:rsid w:val="4EAF389A"/>
    <w:rsid w:val="4F5A5B74"/>
    <w:rsid w:val="4F671238"/>
    <w:rsid w:val="4FB31116"/>
    <w:rsid w:val="4FE53972"/>
    <w:rsid w:val="503C68AA"/>
    <w:rsid w:val="50CE02B2"/>
    <w:rsid w:val="50E04BBA"/>
    <w:rsid w:val="50F95C4E"/>
    <w:rsid w:val="51086BB6"/>
    <w:rsid w:val="51326EB6"/>
    <w:rsid w:val="514D6B2E"/>
    <w:rsid w:val="516E5206"/>
    <w:rsid w:val="51EB103B"/>
    <w:rsid w:val="527926DA"/>
    <w:rsid w:val="52FB52AE"/>
    <w:rsid w:val="5358751C"/>
    <w:rsid w:val="53740B45"/>
    <w:rsid w:val="53C83586"/>
    <w:rsid w:val="548E6E95"/>
    <w:rsid w:val="54915733"/>
    <w:rsid w:val="54DE1417"/>
    <w:rsid w:val="5549276B"/>
    <w:rsid w:val="554F368F"/>
    <w:rsid w:val="556B45C1"/>
    <w:rsid w:val="55FF452A"/>
    <w:rsid w:val="56104FC2"/>
    <w:rsid w:val="56262319"/>
    <w:rsid w:val="56513061"/>
    <w:rsid w:val="569B2BBD"/>
    <w:rsid w:val="569C760E"/>
    <w:rsid w:val="569F7CC5"/>
    <w:rsid w:val="57250B4B"/>
    <w:rsid w:val="57571CC6"/>
    <w:rsid w:val="576E2CC0"/>
    <w:rsid w:val="578A4B45"/>
    <w:rsid w:val="57FE5A6A"/>
    <w:rsid w:val="57FFABDC"/>
    <w:rsid w:val="58234BB9"/>
    <w:rsid w:val="584B08BD"/>
    <w:rsid w:val="58A67FE8"/>
    <w:rsid w:val="591FD123"/>
    <w:rsid w:val="596C0CB3"/>
    <w:rsid w:val="5A222771"/>
    <w:rsid w:val="5AD46575"/>
    <w:rsid w:val="5B146098"/>
    <w:rsid w:val="5B4A0DDA"/>
    <w:rsid w:val="5BC3325E"/>
    <w:rsid w:val="5BF1578E"/>
    <w:rsid w:val="5C193A65"/>
    <w:rsid w:val="5CF2576A"/>
    <w:rsid w:val="5CFFBE88"/>
    <w:rsid w:val="5DB911BC"/>
    <w:rsid w:val="5DE6657A"/>
    <w:rsid w:val="5DF5819D"/>
    <w:rsid w:val="5E7C376C"/>
    <w:rsid w:val="5E8D6361"/>
    <w:rsid w:val="5EA837C9"/>
    <w:rsid w:val="5EC02968"/>
    <w:rsid w:val="5EF71B2E"/>
    <w:rsid w:val="5F0E45BB"/>
    <w:rsid w:val="5F3DC737"/>
    <w:rsid w:val="5F5F5F0E"/>
    <w:rsid w:val="5F606F7D"/>
    <w:rsid w:val="5F7A91EA"/>
    <w:rsid w:val="5F8624F1"/>
    <w:rsid w:val="5F8D37B7"/>
    <w:rsid w:val="5F9B53A1"/>
    <w:rsid w:val="5FC50B3D"/>
    <w:rsid w:val="5FDB1D92"/>
    <w:rsid w:val="5FEA2932"/>
    <w:rsid w:val="5FEDC342"/>
    <w:rsid w:val="5FF23595"/>
    <w:rsid w:val="5FF35171"/>
    <w:rsid w:val="5FF60412"/>
    <w:rsid w:val="5FF65026"/>
    <w:rsid w:val="5FFFAC80"/>
    <w:rsid w:val="60124C12"/>
    <w:rsid w:val="60393A72"/>
    <w:rsid w:val="603A516E"/>
    <w:rsid w:val="60754B42"/>
    <w:rsid w:val="60B30F76"/>
    <w:rsid w:val="60C237D0"/>
    <w:rsid w:val="60C931D4"/>
    <w:rsid w:val="61572DAE"/>
    <w:rsid w:val="61AC78CC"/>
    <w:rsid w:val="620307DD"/>
    <w:rsid w:val="62176D39"/>
    <w:rsid w:val="62343ED9"/>
    <w:rsid w:val="62467BC8"/>
    <w:rsid w:val="63311331"/>
    <w:rsid w:val="63532FF1"/>
    <w:rsid w:val="63903516"/>
    <w:rsid w:val="63FC06B4"/>
    <w:rsid w:val="6444055B"/>
    <w:rsid w:val="644E7E74"/>
    <w:rsid w:val="647057FB"/>
    <w:rsid w:val="6478757A"/>
    <w:rsid w:val="647975EC"/>
    <w:rsid w:val="64A954DC"/>
    <w:rsid w:val="6502744D"/>
    <w:rsid w:val="65064292"/>
    <w:rsid w:val="650937C9"/>
    <w:rsid w:val="653E7284"/>
    <w:rsid w:val="65464BB6"/>
    <w:rsid w:val="65D97BA7"/>
    <w:rsid w:val="66010196"/>
    <w:rsid w:val="663A1AF8"/>
    <w:rsid w:val="66D03EF3"/>
    <w:rsid w:val="67480B1F"/>
    <w:rsid w:val="67596562"/>
    <w:rsid w:val="67AA3B19"/>
    <w:rsid w:val="67AB656F"/>
    <w:rsid w:val="67C15479"/>
    <w:rsid w:val="67CE48E7"/>
    <w:rsid w:val="67DA7FEE"/>
    <w:rsid w:val="67F32B26"/>
    <w:rsid w:val="69165C6D"/>
    <w:rsid w:val="693B6DFD"/>
    <w:rsid w:val="69551473"/>
    <w:rsid w:val="69627389"/>
    <w:rsid w:val="696D0284"/>
    <w:rsid w:val="6B0A723D"/>
    <w:rsid w:val="6B6E2CBD"/>
    <w:rsid w:val="6B777F18"/>
    <w:rsid w:val="6B79A76F"/>
    <w:rsid w:val="6BBE0DBA"/>
    <w:rsid w:val="6BBF2186"/>
    <w:rsid w:val="6BD12F95"/>
    <w:rsid w:val="6BDD5CD8"/>
    <w:rsid w:val="6BF1475D"/>
    <w:rsid w:val="6C075DAC"/>
    <w:rsid w:val="6C325657"/>
    <w:rsid w:val="6C6B2312"/>
    <w:rsid w:val="6CB46AE8"/>
    <w:rsid w:val="6CB60ACE"/>
    <w:rsid w:val="6CF94851"/>
    <w:rsid w:val="6D3C221B"/>
    <w:rsid w:val="6D7ECAAD"/>
    <w:rsid w:val="6DE7CE4B"/>
    <w:rsid w:val="6DF565CB"/>
    <w:rsid w:val="6DFED50D"/>
    <w:rsid w:val="6E453429"/>
    <w:rsid w:val="6E5A7A01"/>
    <w:rsid w:val="6EFFB660"/>
    <w:rsid w:val="6F294684"/>
    <w:rsid w:val="6F6F8BEC"/>
    <w:rsid w:val="6FF7860B"/>
    <w:rsid w:val="6FF7992D"/>
    <w:rsid w:val="6FFF247A"/>
    <w:rsid w:val="70611F6D"/>
    <w:rsid w:val="714675D6"/>
    <w:rsid w:val="715F666C"/>
    <w:rsid w:val="7167914E"/>
    <w:rsid w:val="7177133C"/>
    <w:rsid w:val="71CB4D56"/>
    <w:rsid w:val="71CD44E8"/>
    <w:rsid w:val="71EA0DE7"/>
    <w:rsid w:val="72166513"/>
    <w:rsid w:val="72606A84"/>
    <w:rsid w:val="72BB6DAD"/>
    <w:rsid w:val="72C305F0"/>
    <w:rsid w:val="7314021C"/>
    <w:rsid w:val="73221EA9"/>
    <w:rsid w:val="733A4EA6"/>
    <w:rsid w:val="737C9016"/>
    <w:rsid w:val="73A579AE"/>
    <w:rsid w:val="73B42CFD"/>
    <w:rsid w:val="73BDD73B"/>
    <w:rsid w:val="73C34AAB"/>
    <w:rsid w:val="73CFFE02"/>
    <w:rsid w:val="73FF6DDB"/>
    <w:rsid w:val="740B41CC"/>
    <w:rsid w:val="74B310ED"/>
    <w:rsid w:val="74C86784"/>
    <w:rsid w:val="74C96B93"/>
    <w:rsid w:val="74D1261A"/>
    <w:rsid w:val="754C32EF"/>
    <w:rsid w:val="75616B80"/>
    <w:rsid w:val="758B6266"/>
    <w:rsid w:val="75F93477"/>
    <w:rsid w:val="761A6DB5"/>
    <w:rsid w:val="7670288E"/>
    <w:rsid w:val="767F5CD0"/>
    <w:rsid w:val="76DA085C"/>
    <w:rsid w:val="76FC257D"/>
    <w:rsid w:val="770C1377"/>
    <w:rsid w:val="775EF835"/>
    <w:rsid w:val="776F4ECF"/>
    <w:rsid w:val="777F12DD"/>
    <w:rsid w:val="77D38755"/>
    <w:rsid w:val="77DC18A8"/>
    <w:rsid w:val="77EB6883"/>
    <w:rsid w:val="77F75118"/>
    <w:rsid w:val="77FA470C"/>
    <w:rsid w:val="781F6771"/>
    <w:rsid w:val="78255199"/>
    <w:rsid w:val="786700B7"/>
    <w:rsid w:val="786B0AB7"/>
    <w:rsid w:val="78733EB0"/>
    <w:rsid w:val="788C3F57"/>
    <w:rsid w:val="78921B99"/>
    <w:rsid w:val="791B3704"/>
    <w:rsid w:val="791E388B"/>
    <w:rsid w:val="79594C61"/>
    <w:rsid w:val="795D00B8"/>
    <w:rsid w:val="796B643A"/>
    <w:rsid w:val="798D76BC"/>
    <w:rsid w:val="79E00940"/>
    <w:rsid w:val="79E87DBE"/>
    <w:rsid w:val="79F9DA57"/>
    <w:rsid w:val="7A1C6403"/>
    <w:rsid w:val="7A7988CF"/>
    <w:rsid w:val="7A8A2F5E"/>
    <w:rsid w:val="7AAE7A61"/>
    <w:rsid w:val="7AC95D67"/>
    <w:rsid w:val="7AE72BEC"/>
    <w:rsid w:val="7AF34313"/>
    <w:rsid w:val="7AF5498E"/>
    <w:rsid w:val="7AF76CC1"/>
    <w:rsid w:val="7B424F78"/>
    <w:rsid w:val="7B5BAF94"/>
    <w:rsid w:val="7B762783"/>
    <w:rsid w:val="7BCE2005"/>
    <w:rsid w:val="7BEA2C24"/>
    <w:rsid w:val="7BF97A4A"/>
    <w:rsid w:val="7BFF0BDB"/>
    <w:rsid w:val="7BFF47BD"/>
    <w:rsid w:val="7C1E72C4"/>
    <w:rsid w:val="7C5B42CF"/>
    <w:rsid w:val="7C5C2F75"/>
    <w:rsid w:val="7CF4E9C8"/>
    <w:rsid w:val="7D5176F5"/>
    <w:rsid w:val="7D824051"/>
    <w:rsid w:val="7D9667B8"/>
    <w:rsid w:val="7D9D3854"/>
    <w:rsid w:val="7DB3162D"/>
    <w:rsid w:val="7DBF71B5"/>
    <w:rsid w:val="7DE46888"/>
    <w:rsid w:val="7DFA1D19"/>
    <w:rsid w:val="7DFB2714"/>
    <w:rsid w:val="7E2B5206"/>
    <w:rsid w:val="7E341237"/>
    <w:rsid w:val="7E5D670A"/>
    <w:rsid w:val="7E9B601A"/>
    <w:rsid w:val="7E9E710D"/>
    <w:rsid w:val="7EB5E7B0"/>
    <w:rsid w:val="7EBFF3D7"/>
    <w:rsid w:val="7EE24A62"/>
    <w:rsid w:val="7EED353C"/>
    <w:rsid w:val="7F3BA972"/>
    <w:rsid w:val="7F4DD6AD"/>
    <w:rsid w:val="7F565496"/>
    <w:rsid w:val="7F6D63DB"/>
    <w:rsid w:val="7F71A189"/>
    <w:rsid w:val="7F759C5B"/>
    <w:rsid w:val="7F7C0DF3"/>
    <w:rsid w:val="7F7E0EE6"/>
    <w:rsid w:val="7F9D4FA1"/>
    <w:rsid w:val="7FAB3839"/>
    <w:rsid w:val="7FAB3D96"/>
    <w:rsid w:val="7FAFFCE2"/>
    <w:rsid w:val="7FB64187"/>
    <w:rsid w:val="7FBA455F"/>
    <w:rsid w:val="7FBEBD3B"/>
    <w:rsid w:val="7FBF1EB0"/>
    <w:rsid w:val="7FCF42A1"/>
    <w:rsid w:val="7FCF5FC9"/>
    <w:rsid w:val="7FDF3874"/>
    <w:rsid w:val="7FE7E89E"/>
    <w:rsid w:val="7FEEB066"/>
    <w:rsid w:val="7FEF5B90"/>
    <w:rsid w:val="7FF7EBBA"/>
    <w:rsid w:val="7FF9BFD1"/>
    <w:rsid w:val="7FFA3120"/>
    <w:rsid w:val="7FFB1E89"/>
    <w:rsid w:val="7FFDD19D"/>
    <w:rsid w:val="7FFF6D36"/>
    <w:rsid w:val="7FFF93C9"/>
    <w:rsid w:val="84EFBA69"/>
    <w:rsid w:val="8AEF76BF"/>
    <w:rsid w:val="8B57D699"/>
    <w:rsid w:val="8BFFC82F"/>
    <w:rsid w:val="8CEFDA45"/>
    <w:rsid w:val="8DD4566B"/>
    <w:rsid w:val="92FA315A"/>
    <w:rsid w:val="937B6F8D"/>
    <w:rsid w:val="95FAE282"/>
    <w:rsid w:val="96F60ECB"/>
    <w:rsid w:val="9AFB791E"/>
    <w:rsid w:val="9D7E851D"/>
    <w:rsid w:val="9EB31FE7"/>
    <w:rsid w:val="9EF39A63"/>
    <w:rsid w:val="9F2F0417"/>
    <w:rsid w:val="9F7D7693"/>
    <w:rsid w:val="9FF3D805"/>
    <w:rsid w:val="A7794EE5"/>
    <w:rsid w:val="A7BE59F9"/>
    <w:rsid w:val="AB91D909"/>
    <w:rsid w:val="ABFE4FD6"/>
    <w:rsid w:val="ADDBF4A8"/>
    <w:rsid w:val="B2E50FF9"/>
    <w:rsid w:val="B2F4132A"/>
    <w:rsid w:val="B6FE6A5A"/>
    <w:rsid w:val="B7632ADA"/>
    <w:rsid w:val="B77F763B"/>
    <w:rsid w:val="B77FFBBF"/>
    <w:rsid w:val="B7FFED75"/>
    <w:rsid w:val="B95B8AC3"/>
    <w:rsid w:val="B9AFDCF4"/>
    <w:rsid w:val="BABE0302"/>
    <w:rsid w:val="BBB713F8"/>
    <w:rsid w:val="BBDE0A00"/>
    <w:rsid w:val="BBE89E9D"/>
    <w:rsid w:val="BBF6860C"/>
    <w:rsid w:val="BBFFA7EF"/>
    <w:rsid w:val="BD67CC89"/>
    <w:rsid w:val="BDBF4B1D"/>
    <w:rsid w:val="BDFDF24F"/>
    <w:rsid w:val="BE9AA65E"/>
    <w:rsid w:val="BF769558"/>
    <w:rsid w:val="BF7F0AF0"/>
    <w:rsid w:val="BF962978"/>
    <w:rsid w:val="BFBE1C76"/>
    <w:rsid w:val="BFC8FBC7"/>
    <w:rsid w:val="BFF16AF4"/>
    <w:rsid w:val="BFF3429E"/>
    <w:rsid w:val="BFFB5F82"/>
    <w:rsid w:val="BFFD6490"/>
    <w:rsid w:val="BFFF8812"/>
    <w:rsid w:val="C6C7844C"/>
    <w:rsid w:val="C8FF2700"/>
    <w:rsid w:val="CB3F1175"/>
    <w:rsid w:val="CCEAF677"/>
    <w:rsid w:val="CFBD5B7F"/>
    <w:rsid w:val="CFEF5BAB"/>
    <w:rsid w:val="D07F2DF6"/>
    <w:rsid w:val="D5D382EE"/>
    <w:rsid w:val="D6F90AFD"/>
    <w:rsid w:val="D7BF231F"/>
    <w:rsid w:val="D7DEC0DD"/>
    <w:rsid w:val="D7DF7C12"/>
    <w:rsid w:val="DAFDF0E0"/>
    <w:rsid w:val="DBED9BDA"/>
    <w:rsid w:val="DD314086"/>
    <w:rsid w:val="DD7F0086"/>
    <w:rsid w:val="DDED440F"/>
    <w:rsid w:val="DDF74E82"/>
    <w:rsid w:val="DEBD2D84"/>
    <w:rsid w:val="DEFF1367"/>
    <w:rsid w:val="DF5750D5"/>
    <w:rsid w:val="DF5B7A9D"/>
    <w:rsid w:val="DFDF685B"/>
    <w:rsid w:val="DFEDFEDA"/>
    <w:rsid w:val="DFEF6434"/>
    <w:rsid w:val="DFF88CD7"/>
    <w:rsid w:val="DFFAAECC"/>
    <w:rsid w:val="DFFB3215"/>
    <w:rsid w:val="DFFB8B7A"/>
    <w:rsid w:val="DFFF15F0"/>
    <w:rsid w:val="E7D2B630"/>
    <w:rsid w:val="E7DBF087"/>
    <w:rsid w:val="E7F77AFC"/>
    <w:rsid w:val="E7FF6F89"/>
    <w:rsid w:val="E97B7166"/>
    <w:rsid w:val="EAB1C343"/>
    <w:rsid w:val="EBD7E3F0"/>
    <w:rsid w:val="EBDFC361"/>
    <w:rsid w:val="EC9F5989"/>
    <w:rsid w:val="ECCF85EC"/>
    <w:rsid w:val="EED7A001"/>
    <w:rsid w:val="EEDF0300"/>
    <w:rsid w:val="EF7FD19E"/>
    <w:rsid w:val="EFAD1FF4"/>
    <w:rsid w:val="EFB437D5"/>
    <w:rsid w:val="EFCE6DD2"/>
    <w:rsid w:val="EFE75DF5"/>
    <w:rsid w:val="EFEFAA88"/>
    <w:rsid w:val="EFEFFD5E"/>
    <w:rsid w:val="EFF143F9"/>
    <w:rsid w:val="EFF72413"/>
    <w:rsid w:val="EFF7FA2D"/>
    <w:rsid w:val="EFF938A8"/>
    <w:rsid w:val="EFFBA383"/>
    <w:rsid w:val="F1AD6C41"/>
    <w:rsid w:val="F27C5B8C"/>
    <w:rsid w:val="F3BE4C61"/>
    <w:rsid w:val="F3DF75B3"/>
    <w:rsid w:val="F57FFADB"/>
    <w:rsid w:val="F5FDA7D9"/>
    <w:rsid w:val="F6FC0824"/>
    <w:rsid w:val="F7BAED10"/>
    <w:rsid w:val="F7D79C11"/>
    <w:rsid w:val="F7DF87A2"/>
    <w:rsid w:val="F7DFBB3C"/>
    <w:rsid w:val="F7EB09F8"/>
    <w:rsid w:val="F7F5FE29"/>
    <w:rsid w:val="F7FE2C09"/>
    <w:rsid w:val="F7FF9315"/>
    <w:rsid w:val="F90F8F7C"/>
    <w:rsid w:val="F97FDD2B"/>
    <w:rsid w:val="F9AB903F"/>
    <w:rsid w:val="F9BFAF22"/>
    <w:rsid w:val="F9FF4599"/>
    <w:rsid w:val="FA6F5E89"/>
    <w:rsid w:val="FABC319B"/>
    <w:rsid w:val="FAFFA69D"/>
    <w:rsid w:val="FB56B0C2"/>
    <w:rsid w:val="FB81453C"/>
    <w:rsid w:val="FB96F91F"/>
    <w:rsid w:val="FD3785CC"/>
    <w:rsid w:val="FD7B0087"/>
    <w:rsid w:val="FDBD2CFA"/>
    <w:rsid w:val="FDBF4BC4"/>
    <w:rsid w:val="FDFD23B3"/>
    <w:rsid w:val="FE4D6CDE"/>
    <w:rsid w:val="FE62708A"/>
    <w:rsid w:val="FE8FD1F9"/>
    <w:rsid w:val="FECDD73C"/>
    <w:rsid w:val="FEDD5D85"/>
    <w:rsid w:val="FEEE2160"/>
    <w:rsid w:val="FEEF0B76"/>
    <w:rsid w:val="FEF573FA"/>
    <w:rsid w:val="FEF7226B"/>
    <w:rsid w:val="FEF97E2C"/>
    <w:rsid w:val="FF4363BD"/>
    <w:rsid w:val="FF6A1EAC"/>
    <w:rsid w:val="FF795FD4"/>
    <w:rsid w:val="FF7BCA5A"/>
    <w:rsid w:val="FF7FA287"/>
    <w:rsid w:val="FF7FFAB1"/>
    <w:rsid w:val="FF9E5115"/>
    <w:rsid w:val="FFAF1D2E"/>
    <w:rsid w:val="FFB4DABA"/>
    <w:rsid w:val="FFBF9976"/>
    <w:rsid w:val="FFD5D403"/>
    <w:rsid w:val="FFD7658D"/>
    <w:rsid w:val="FFDB4044"/>
    <w:rsid w:val="FFDF00DE"/>
    <w:rsid w:val="FFDF3120"/>
    <w:rsid w:val="FFDF4D62"/>
    <w:rsid w:val="FFDF8C57"/>
    <w:rsid w:val="FFE7DECB"/>
    <w:rsid w:val="FFE8271B"/>
    <w:rsid w:val="FFEB05CE"/>
    <w:rsid w:val="FFEFE519"/>
    <w:rsid w:val="FFF3430A"/>
    <w:rsid w:val="FFF5AF3A"/>
    <w:rsid w:val="FFF6915B"/>
    <w:rsid w:val="FFFD9234"/>
    <w:rsid w:val="FFFF01CB"/>
    <w:rsid w:val="FFFF7066"/>
    <w:rsid w:val="FFFFC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qFormat/>
    <w:uiPriority w:val="0"/>
    <w:pPr>
      <w:shd w:val="clear" w:color="auto" w:fill="000080"/>
    </w:pPr>
  </w:style>
  <w:style w:type="paragraph" w:styleId="10">
    <w:name w:val="annotation text"/>
    <w:basedOn w:val="1"/>
    <w:link w:val="115"/>
    <w:qFormat/>
    <w:uiPriority w:val="0"/>
    <w:pPr>
      <w:jc w:val="left"/>
    </w:pPr>
    <w:rPr>
      <w:rFonts w:ascii="Times New Roman" w:hAnsi="Times New Roman" w:eastAsia="宋体"/>
      <w:snapToGrid/>
      <w:kern w:val="2"/>
      <w:sz w:val="21"/>
      <w:szCs w:val="20"/>
    </w:rPr>
  </w:style>
  <w:style w:type="paragraph" w:styleId="11">
    <w:name w:val="Body Text Indent"/>
    <w:basedOn w:val="1"/>
    <w:link w:val="42"/>
    <w:qFormat/>
    <w:uiPriority w:val="0"/>
    <w:pPr>
      <w:ind w:left="570" w:hanging="30"/>
    </w:pPr>
    <w:rPr>
      <w:rFonts w:ascii="Times New Roman" w:hAnsi="Times New Roman" w:eastAsia="宋体"/>
      <w:snapToGrid/>
      <w:kern w:val="2"/>
      <w:sz w:val="28"/>
      <w:szCs w:val="20"/>
    </w:rPr>
  </w:style>
  <w:style w:type="paragraph" w:styleId="12">
    <w:name w:val="Block Text"/>
    <w:basedOn w:val="1"/>
    <w:qFormat/>
    <w:uiPriority w:val="0"/>
    <w:pPr>
      <w:ind w:left="-718" w:leftChars="-342" w:right="-512" w:rightChars="-244"/>
      <w:jc w:val="center"/>
    </w:pPr>
    <w:rPr>
      <w:rFonts w:ascii="仿宋_GB2312"/>
      <w:snapToGrid/>
      <w:kern w:val="2"/>
      <w:sz w:val="44"/>
    </w:rPr>
  </w:style>
  <w:style w:type="paragraph" w:styleId="13">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4">
    <w:name w:val="Plain Text"/>
    <w:basedOn w:val="1"/>
    <w:link w:val="43"/>
    <w:qFormat/>
    <w:uiPriority w:val="0"/>
    <w:rPr>
      <w:rFonts w:hAnsi="Courier New" w:eastAsia="宋体" w:cs="Courier New"/>
      <w:kern w:val="2"/>
      <w:sz w:val="21"/>
      <w:szCs w:val="21"/>
    </w:rPr>
  </w:style>
  <w:style w:type="paragraph" w:styleId="15">
    <w:name w:val="Date"/>
    <w:basedOn w:val="1"/>
    <w:next w:val="1"/>
    <w:link w:val="44"/>
    <w:qFormat/>
    <w:uiPriority w:val="0"/>
    <w:pPr>
      <w:ind w:left="100" w:leftChars="2500"/>
    </w:pPr>
  </w:style>
  <w:style w:type="paragraph" w:styleId="16">
    <w:name w:val="Body Text Indent 2"/>
    <w:basedOn w:val="1"/>
    <w:qFormat/>
    <w:uiPriority w:val="0"/>
    <w:pPr>
      <w:spacing w:after="120" w:line="480" w:lineRule="auto"/>
      <w:ind w:left="420" w:leftChars="200"/>
    </w:pPr>
    <w:rPr>
      <w:rFonts w:ascii="Times New Roman" w:hAnsi="Times New Roman"/>
      <w:snapToGrid/>
      <w:kern w:val="2"/>
      <w:szCs w:val="24"/>
    </w:rPr>
  </w:style>
  <w:style w:type="paragraph" w:styleId="17">
    <w:name w:val="Balloon Text"/>
    <w:basedOn w:val="1"/>
    <w:qFormat/>
    <w:uiPriority w:val="0"/>
    <w:rPr>
      <w:sz w:val="18"/>
      <w:szCs w:val="18"/>
    </w:rPr>
  </w:style>
  <w:style w:type="paragraph" w:styleId="18">
    <w:name w:val="footer"/>
    <w:basedOn w:val="1"/>
    <w:next w:val="1"/>
    <w:link w:val="45"/>
    <w:qFormat/>
    <w:uiPriority w:val="0"/>
    <w:pPr>
      <w:tabs>
        <w:tab w:val="center" w:pos="4153"/>
        <w:tab w:val="right" w:pos="8306"/>
      </w:tabs>
      <w:snapToGrid w:val="0"/>
      <w:jc w:val="left"/>
    </w:pPr>
    <w:rPr>
      <w:sz w:val="18"/>
      <w:szCs w:val="18"/>
    </w:rPr>
  </w:style>
  <w:style w:type="paragraph" w:styleId="19">
    <w:name w:val="envelope return"/>
    <w:basedOn w:val="1"/>
    <w:qFormat/>
    <w:uiPriority w:val="0"/>
    <w:pPr>
      <w:widowControl/>
      <w:jc w:val="left"/>
    </w:pPr>
    <w:rPr>
      <w:rFonts w:ascii="Garamond" w:hAnsi="Garamond" w:eastAsia="宋体"/>
      <w:snapToGrid/>
      <w:kern w:val="0"/>
      <w:sz w:val="24"/>
      <w:szCs w:val="20"/>
      <w:lang w:val="fr-CH" w:eastAsia="en-US"/>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2">
    <w:name w:val="List"/>
    <w:basedOn w:val="2"/>
    <w:qFormat/>
    <w:uiPriority w:val="0"/>
    <w:pPr>
      <w:suppressAutoHyphens/>
      <w:spacing w:after="0" w:line="0" w:lineRule="atLeast"/>
      <w:jc w:val="center"/>
    </w:pPr>
    <w:rPr>
      <w:rFonts w:ascii="方正小标宋简体" w:hAnsi="方正小标宋简体" w:eastAsia="方正小标宋简体"/>
      <w:snapToGrid/>
      <w:kern w:val="1"/>
      <w:sz w:val="44"/>
      <w:szCs w:val="24"/>
    </w:rPr>
  </w:style>
  <w:style w:type="paragraph" w:styleId="23">
    <w:name w:val="footnote text"/>
    <w:basedOn w:val="1"/>
    <w:qFormat/>
    <w:uiPriority w:val="0"/>
    <w:pPr>
      <w:snapToGrid w:val="0"/>
      <w:jc w:val="left"/>
    </w:pPr>
    <w:rPr>
      <w:sz w:val="18"/>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qFormat/>
    <w:uiPriority w:val="0"/>
    <w:pPr>
      <w:spacing w:after="120" w:line="480" w:lineRule="auto"/>
    </w:pPr>
    <w:rPr>
      <w:rFonts w:ascii="Times New Roman" w:hAnsi="Times New Roman" w:eastAsia="宋体"/>
      <w:snapToGrid/>
      <w:kern w:val="2"/>
      <w:sz w:val="21"/>
      <w:szCs w:val="24"/>
    </w:rPr>
  </w:style>
  <w:style w:type="paragraph" w:styleId="27">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qFormat/>
    <w:uiPriority w:val="0"/>
    <w:pPr>
      <w:widowControl/>
      <w:spacing w:before="100" w:beforeAutospacing="1"/>
      <w:jc w:val="center"/>
    </w:pPr>
    <w:rPr>
      <w:rFonts w:eastAsia="宋体"/>
      <w:snapToGrid/>
      <w:kern w:val="0"/>
      <w:sz w:val="24"/>
      <w:szCs w:val="24"/>
    </w:rPr>
  </w:style>
  <w:style w:type="paragraph" w:styleId="29">
    <w:name w:val="Title"/>
    <w:basedOn w:val="1"/>
    <w:link w:val="48"/>
    <w:qFormat/>
    <w:uiPriority w:val="0"/>
    <w:pPr>
      <w:spacing w:line="216" w:lineRule="auto"/>
      <w:jc w:val="center"/>
      <w:outlineLvl w:val="0"/>
    </w:pPr>
    <w:rPr>
      <w:rFonts w:ascii="方正小标宋简体" w:hAnsi="Arial" w:eastAsia="方正小标宋简体" w:cs="Arial"/>
      <w:bCs/>
      <w:kern w:val="44"/>
      <w:sz w:val="44"/>
      <w:szCs w:val="44"/>
    </w:rPr>
  </w:style>
  <w:style w:type="paragraph" w:styleId="30">
    <w:name w:val="annotation subject"/>
    <w:basedOn w:val="10"/>
    <w:next w:val="10"/>
    <w:link w:val="116"/>
    <w:qFormat/>
    <w:uiPriority w:val="0"/>
    <w:rPr>
      <w:rFonts w:ascii="宋体" w:hAnsi="宋体" w:eastAsia="仿宋_GB2312"/>
      <w:b/>
      <w:bCs/>
      <w:snapToGrid w:val="0"/>
      <w:kern w:val="32"/>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0"/>
    <w:rPr>
      <w:color w:val="0000FF"/>
      <w:u w:val="single"/>
    </w:rPr>
  </w:style>
  <w:style w:type="character" w:styleId="38">
    <w:name w:val="annotation reference"/>
    <w:basedOn w:val="33"/>
    <w:qFormat/>
    <w:uiPriority w:val="0"/>
    <w:rPr>
      <w:sz w:val="21"/>
      <w:szCs w:val="21"/>
    </w:rPr>
  </w:style>
  <w:style w:type="character" w:styleId="39">
    <w:name w:val="footnote reference"/>
    <w:basedOn w:val="33"/>
    <w:qFormat/>
    <w:uiPriority w:val="0"/>
    <w:rPr>
      <w:vertAlign w:val="superscript"/>
    </w:rPr>
  </w:style>
  <w:style w:type="paragraph" w:customStyle="1" w:styleId="4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1">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42">
    <w:name w:val="正文文本缩进 字符"/>
    <w:basedOn w:val="33"/>
    <w:link w:val="11"/>
    <w:qFormat/>
    <w:uiPriority w:val="0"/>
    <w:rPr>
      <w:rFonts w:eastAsia="宋体"/>
      <w:kern w:val="2"/>
      <w:sz w:val="28"/>
      <w:lang w:val="en-US" w:eastAsia="zh-CN" w:bidi="ar-SA"/>
    </w:rPr>
  </w:style>
  <w:style w:type="character" w:customStyle="1" w:styleId="43">
    <w:name w:val="纯文本 字符"/>
    <w:basedOn w:val="33"/>
    <w:link w:val="14"/>
    <w:qFormat/>
    <w:uiPriority w:val="0"/>
    <w:rPr>
      <w:rFonts w:ascii="宋体" w:hAnsi="Courier New" w:eastAsia="宋体" w:cs="Courier New"/>
      <w:kern w:val="2"/>
      <w:sz w:val="21"/>
      <w:szCs w:val="21"/>
      <w:lang w:val="en-US" w:eastAsia="zh-CN" w:bidi="ar-SA"/>
    </w:rPr>
  </w:style>
  <w:style w:type="character" w:customStyle="1" w:styleId="44">
    <w:name w:val="日期 字符"/>
    <w:basedOn w:val="33"/>
    <w:link w:val="15"/>
    <w:semiHidden/>
    <w:qFormat/>
    <w:locked/>
    <w:uiPriority w:val="0"/>
    <w:rPr>
      <w:rFonts w:ascii="宋体" w:hAnsi="宋体" w:eastAsia="仿宋_GB2312"/>
      <w:snapToGrid w:val="0"/>
      <w:kern w:val="32"/>
      <w:sz w:val="32"/>
      <w:szCs w:val="32"/>
      <w:lang w:val="en-US" w:eastAsia="zh-CN" w:bidi="ar-SA"/>
    </w:rPr>
  </w:style>
  <w:style w:type="character" w:customStyle="1" w:styleId="45">
    <w:name w:val="页脚 字符"/>
    <w:basedOn w:val="33"/>
    <w:link w:val="18"/>
    <w:semiHidden/>
    <w:qFormat/>
    <w:locked/>
    <w:uiPriority w:val="0"/>
    <w:rPr>
      <w:rFonts w:ascii="宋体" w:hAnsi="宋体" w:eastAsia="仿宋_GB2312"/>
      <w:snapToGrid w:val="0"/>
      <w:kern w:val="32"/>
      <w:sz w:val="18"/>
      <w:szCs w:val="18"/>
      <w:lang w:val="en-US" w:eastAsia="zh-CN" w:bidi="ar-SA"/>
    </w:rPr>
  </w:style>
  <w:style w:type="character" w:customStyle="1" w:styleId="46">
    <w:name w:val="页眉 字符"/>
    <w:basedOn w:val="33"/>
    <w:link w:val="20"/>
    <w:semiHidden/>
    <w:qFormat/>
    <w:locked/>
    <w:uiPriority w:val="0"/>
    <w:rPr>
      <w:rFonts w:ascii="宋体" w:hAnsi="宋体" w:eastAsia="仿宋_GB2312"/>
      <w:snapToGrid w:val="0"/>
      <w:kern w:val="32"/>
      <w:sz w:val="18"/>
      <w:szCs w:val="18"/>
      <w:lang w:val="en-US" w:eastAsia="zh-CN" w:bidi="ar-SA"/>
    </w:rPr>
  </w:style>
  <w:style w:type="character" w:customStyle="1" w:styleId="47">
    <w:name w:val="HTML 预设格式 字符"/>
    <w:link w:val="27"/>
    <w:qFormat/>
    <w:locked/>
    <w:uiPriority w:val="0"/>
    <w:rPr>
      <w:rFonts w:ascii="宋体" w:hAnsi="宋体" w:eastAsia="宋体"/>
      <w:sz w:val="24"/>
      <w:szCs w:val="24"/>
      <w:lang w:val="en-US" w:eastAsia="zh-CN" w:bidi="ar-SA"/>
    </w:rPr>
  </w:style>
  <w:style w:type="character" w:customStyle="1" w:styleId="48">
    <w:name w:val="标题 字符"/>
    <w:basedOn w:val="33"/>
    <w:link w:val="29"/>
    <w:qFormat/>
    <w:locked/>
    <w:uiPriority w:val="0"/>
    <w:rPr>
      <w:rFonts w:ascii="方正小标宋简体" w:hAnsi="Arial" w:eastAsia="方正小标宋简体" w:cs="Arial"/>
      <w:bCs/>
      <w:snapToGrid w:val="0"/>
      <w:kern w:val="44"/>
      <w:sz w:val="44"/>
      <w:szCs w:val="44"/>
      <w:lang w:val="en-US" w:eastAsia="zh-CN" w:bidi="ar-SA"/>
    </w:rPr>
  </w:style>
  <w:style w:type="character" w:customStyle="1" w:styleId="49">
    <w:name w:val="heise_12c"/>
    <w:basedOn w:val="33"/>
    <w:qFormat/>
    <w:uiPriority w:val="0"/>
  </w:style>
  <w:style w:type="character" w:customStyle="1" w:styleId="50">
    <w:name w:val="content1"/>
    <w:basedOn w:val="33"/>
    <w:qFormat/>
    <w:uiPriority w:val="0"/>
    <w:rPr>
      <w:sz w:val="21"/>
      <w:szCs w:val="21"/>
    </w:rPr>
  </w:style>
  <w:style w:type="character" w:customStyle="1" w:styleId="51">
    <w:name w:val="Plain Text Char"/>
    <w:basedOn w:val="33"/>
    <w:qFormat/>
    <w:uiPriority w:val="0"/>
    <w:rPr>
      <w:rFonts w:ascii="宋体" w:hAnsi="Courier New" w:eastAsia="宋体" w:cs="Courier New"/>
      <w:sz w:val="21"/>
      <w:szCs w:val="21"/>
    </w:rPr>
  </w:style>
  <w:style w:type="character" w:customStyle="1" w:styleId="52">
    <w:name w:val="apple-style-span"/>
    <w:basedOn w:val="33"/>
    <w:qFormat/>
    <w:uiPriority w:val="0"/>
  </w:style>
  <w:style w:type="character" w:customStyle="1" w:styleId="53">
    <w:name w:val="oalinshistyle21"/>
    <w:basedOn w:val="33"/>
    <w:qFormat/>
    <w:uiPriority w:val="0"/>
    <w:rPr>
      <w:rFonts w:hint="default" w:ascii="Arial" w:hAnsi="Arial" w:cs="Arial"/>
      <w:sz w:val="27"/>
      <w:szCs w:val="27"/>
    </w:rPr>
  </w:style>
  <w:style w:type="character" w:customStyle="1" w:styleId="54">
    <w:name w:val="bz_12"/>
    <w:basedOn w:val="33"/>
    <w:qFormat/>
    <w:uiPriority w:val="0"/>
  </w:style>
  <w:style w:type="character" w:customStyle="1" w:styleId="55">
    <w:name w:val="font1"/>
    <w:basedOn w:val="33"/>
    <w:qFormat/>
    <w:uiPriority w:val="0"/>
    <w:rPr>
      <w:sz w:val="18"/>
      <w:szCs w:val="18"/>
    </w:rPr>
  </w:style>
  <w:style w:type="character" w:customStyle="1" w:styleId="56">
    <w:name w:val="样式1 Char Char"/>
    <w:basedOn w:val="33"/>
    <w:link w:val="57"/>
    <w:qFormat/>
    <w:uiPriority w:val="0"/>
    <w:rPr>
      <w:rFonts w:ascii="方正小标宋简体" w:hAnsi="Calibri" w:eastAsia="方正小标宋简体"/>
      <w:kern w:val="2"/>
      <w:sz w:val="44"/>
      <w:szCs w:val="44"/>
      <w:lang w:val="en-US" w:eastAsia="zh-CN" w:bidi="ar-SA"/>
    </w:rPr>
  </w:style>
  <w:style w:type="paragraph" w:customStyle="1" w:styleId="57">
    <w:name w:val="样式1"/>
    <w:basedOn w:val="1"/>
    <w:link w:val="56"/>
    <w:qFormat/>
    <w:uiPriority w:val="0"/>
    <w:pPr>
      <w:jc w:val="center"/>
    </w:pPr>
    <w:rPr>
      <w:rFonts w:ascii="方正小标宋简体" w:hAnsi="Calibri" w:eastAsia="方正小标宋简体"/>
      <w:kern w:val="2"/>
      <w:sz w:val="44"/>
      <w:szCs w:val="44"/>
    </w:rPr>
  </w:style>
  <w:style w:type="paragraph" w:customStyle="1" w:styleId="58">
    <w:name w:val="List Paragraph1"/>
    <w:basedOn w:val="1"/>
    <w:qFormat/>
    <w:uiPriority w:val="0"/>
    <w:pPr>
      <w:ind w:firstLine="420" w:firstLineChars="200"/>
    </w:pPr>
    <w:rPr>
      <w:rFonts w:ascii="Calibri" w:hAnsi="Calibri" w:eastAsia="宋体" w:cs="Calibri"/>
      <w:snapToGrid/>
      <w:kern w:val="2"/>
      <w:sz w:val="21"/>
      <w:szCs w:val="21"/>
    </w:rPr>
  </w:style>
  <w:style w:type="paragraph" w:customStyle="1" w:styleId="59">
    <w:name w:val="Char1 Char Char Char"/>
    <w:basedOn w:val="1"/>
    <w:qFormat/>
    <w:uiPriority w:val="0"/>
  </w:style>
  <w:style w:type="paragraph" w:customStyle="1" w:styleId="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1"/>
    <w:basedOn w:val="1"/>
    <w:qFormat/>
    <w:uiPriority w:val="0"/>
    <w:rPr>
      <w:rFonts w:ascii="Tahoma" w:hAnsi="Tahoma" w:eastAsia="宋体"/>
      <w:snapToGrid/>
      <w:kern w:val="2"/>
      <w:sz w:val="24"/>
      <w:szCs w:val="20"/>
    </w:rPr>
  </w:style>
  <w:style w:type="paragraph" w:customStyle="1" w:styleId="62">
    <w:name w:val="样式 正文缩进正文（首行缩进两字）正文（首行缩进两字） Char Char Char Char Char Char Char..."/>
    <w:basedOn w:val="7"/>
    <w:qFormat/>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6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snapToGrid/>
      <w:kern w:val="0"/>
      <w:sz w:val="24"/>
      <w:szCs w:val="20"/>
      <w:lang w:eastAsia="en-US"/>
    </w:rPr>
  </w:style>
  <w:style w:type="paragraph" w:customStyle="1" w:styleId="64">
    <w:name w:val="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65">
    <w:name w:val="规划正文"/>
    <w:basedOn w:val="1"/>
    <w:qFormat/>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66">
    <w:name w:val="样式 三号 首行缩进:  1.13 厘米 行距: 多倍行距 1.25 字行"/>
    <w:basedOn w:val="1"/>
    <w:qFormat/>
    <w:uiPriority w:val="0"/>
    <w:pPr>
      <w:adjustRightInd w:val="0"/>
      <w:snapToGrid w:val="0"/>
      <w:spacing w:line="360" w:lineRule="auto"/>
      <w:ind w:firstLine="200" w:firstLineChars="200"/>
    </w:pPr>
    <w:rPr>
      <w:rFonts w:ascii="Times New Roman" w:hAnsi="Times New Roman"/>
      <w:snapToGrid/>
      <w:kern w:val="2"/>
    </w:rPr>
  </w:style>
  <w:style w:type="paragraph" w:customStyle="1" w:styleId="67">
    <w:name w:val="Char Char2 Char"/>
    <w:basedOn w:val="1"/>
    <w:qFormat/>
    <w:uiPriority w:val="0"/>
    <w:rPr>
      <w:rFonts w:eastAsia="宋体" w:cs="Courier New"/>
      <w:snapToGrid/>
      <w:kern w:val="2"/>
    </w:rPr>
  </w:style>
  <w:style w:type="paragraph" w:customStyle="1" w:styleId="68">
    <w:name w:val="封面副标题"/>
    <w:qFormat/>
    <w:uiPriority w:val="0"/>
    <w:pPr>
      <w:adjustRightInd w:val="0"/>
      <w:snapToGrid w:val="0"/>
      <w:spacing w:before="156" w:beforeLines="50" w:line="360" w:lineRule="auto"/>
      <w:jc w:val="center"/>
    </w:pPr>
    <w:rPr>
      <w:rFonts w:ascii="Times New Roman" w:hAnsi="Times New Roman" w:eastAsia="黑体" w:cs="Times New Roman"/>
      <w:b/>
      <w:snapToGrid w:val="0"/>
      <w:spacing w:val="20"/>
      <w:sz w:val="52"/>
      <w:lang w:val="en-US" w:eastAsia="zh-CN" w:bidi="ar-SA"/>
    </w:rPr>
  </w:style>
  <w:style w:type="paragraph" w:customStyle="1" w:styleId="69">
    <w:name w:val="ddddd"/>
    <w:basedOn w:val="1"/>
    <w:qFormat/>
    <w:uiPriority w:val="0"/>
    <w:pPr>
      <w:pageBreakBefore/>
    </w:pPr>
    <w:rPr>
      <w:rFonts w:ascii="Times New Roman" w:hAnsi="Times New Roman" w:eastAsia="宋体"/>
      <w:snapToGrid/>
      <w:kern w:val="2"/>
      <w:sz w:val="21"/>
      <w:szCs w:val="20"/>
    </w:rPr>
  </w:style>
  <w:style w:type="paragraph" w:customStyle="1" w:styleId="70">
    <w:name w:val="默认段落字体 Para Char Char Char Char Char Char Char"/>
    <w:basedOn w:val="9"/>
    <w:qFormat/>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Char Char1"/>
    <w:basedOn w:val="9"/>
    <w:qFormat/>
    <w:uiPriority w:val="0"/>
    <w:rPr>
      <w:rFonts w:ascii="Tahoma" w:hAnsi="Tahoma" w:eastAsia="宋体"/>
      <w:snapToGrid/>
      <w:kern w:val="2"/>
      <w:sz w:val="24"/>
      <w:szCs w:val="24"/>
    </w:rPr>
  </w:style>
  <w:style w:type="paragraph" w:customStyle="1" w:styleId="73">
    <w:name w:val="Char Char Char Char"/>
    <w:basedOn w:val="1"/>
    <w:qFormat/>
    <w:uiPriority w:val="0"/>
    <w:rPr>
      <w:rFonts w:ascii="Times New Roman" w:hAnsi="Times New Roman" w:eastAsia="宋体"/>
      <w:snapToGrid/>
      <w:kern w:val="2"/>
      <w:sz w:val="21"/>
      <w:szCs w:val="24"/>
    </w:rPr>
  </w:style>
  <w:style w:type="paragraph" w:customStyle="1" w:styleId="74">
    <w:name w:val="首信标准正文"/>
    <w:basedOn w:val="1"/>
    <w:qFormat/>
    <w:uiPriority w:val="0"/>
    <w:pPr>
      <w:spacing w:line="360" w:lineRule="auto"/>
    </w:pPr>
    <w:rPr>
      <w:rFonts w:ascii="Tahoma" w:hAnsi="Tahoma" w:eastAsia="宋体"/>
      <w:snapToGrid/>
      <w:kern w:val="2"/>
      <w:sz w:val="24"/>
      <w:szCs w:val="20"/>
    </w:rPr>
  </w:style>
  <w:style w:type="paragraph" w:customStyle="1" w:styleId="75">
    <w:name w:val="默认段落字体 Para Char Char Char2 Char Char Char Char Char Char Char Char Char Char"/>
    <w:basedOn w:val="1"/>
    <w:qFormat/>
    <w:uiPriority w:val="0"/>
    <w:rPr>
      <w:rFonts w:eastAsia="宋体" w:cs="Courier New"/>
      <w:snapToGrid/>
      <w:kern w:val="2"/>
    </w:rPr>
  </w:style>
  <w:style w:type="paragraph" w:customStyle="1" w:styleId="76">
    <w:name w:val="Char"/>
    <w:basedOn w:val="1"/>
    <w:qFormat/>
    <w:uiPriority w:val="0"/>
    <w:pPr>
      <w:widowControl/>
      <w:spacing w:after="160" w:line="240" w:lineRule="exact"/>
      <w:jc w:val="left"/>
    </w:pPr>
    <w:rPr>
      <w:rFonts w:ascii="Verdana" w:hAnsi="Verdana"/>
      <w:snapToGrid/>
      <w:kern w:val="0"/>
      <w:sz w:val="24"/>
      <w:szCs w:val="20"/>
      <w:lang w:eastAsia="en-US"/>
    </w:rPr>
  </w:style>
  <w:style w:type="paragraph" w:customStyle="1" w:styleId="77">
    <w:name w:val="Char Char Char Char Char Char Char Char Char Char"/>
    <w:basedOn w:val="1"/>
    <w:qFormat/>
    <w:uiPriority w:val="0"/>
    <w:rPr>
      <w:rFonts w:ascii="Tahoma" w:hAnsi="Tahoma" w:eastAsia="宋体"/>
      <w:snapToGrid/>
      <w:kern w:val="2"/>
      <w:sz w:val="24"/>
      <w:szCs w:val="20"/>
    </w:rPr>
  </w:style>
  <w:style w:type="paragraph" w:customStyle="1" w:styleId="78">
    <w:name w:val="cjk"/>
    <w:basedOn w:val="1"/>
    <w:qFormat/>
    <w:uiPriority w:val="0"/>
    <w:pPr>
      <w:widowControl/>
      <w:spacing w:before="100" w:beforeAutospacing="1"/>
      <w:jc w:val="center"/>
    </w:pPr>
    <w:rPr>
      <w:rFonts w:eastAsia="宋体"/>
      <w:b/>
      <w:bCs/>
      <w:snapToGrid/>
      <w:kern w:val="0"/>
    </w:rPr>
  </w:style>
  <w:style w:type="paragraph" w:customStyle="1" w:styleId="79">
    <w:name w:val="Char Char Char Char1"/>
    <w:basedOn w:val="1"/>
    <w:qFormat/>
    <w:uiPriority w:val="0"/>
    <w:pPr>
      <w:adjustRightInd w:val="0"/>
      <w:spacing w:line="360" w:lineRule="auto"/>
    </w:pPr>
    <w:rPr>
      <w:rFonts w:ascii="Times New Roman" w:hAnsi="Times New Roman" w:eastAsia="宋体"/>
      <w:snapToGrid/>
      <w:kern w:val="0"/>
      <w:sz w:val="24"/>
      <w:szCs w:val="20"/>
    </w:rPr>
  </w:style>
  <w:style w:type="paragraph" w:customStyle="1" w:styleId="80">
    <w:name w:val="列表段落1"/>
    <w:basedOn w:val="1"/>
    <w:qFormat/>
    <w:uiPriority w:val="0"/>
    <w:pPr>
      <w:ind w:firstLine="420" w:firstLineChars="200"/>
    </w:pPr>
    <w:rPr>
      <w:rFonts w:ascii="Calibri" w:hAnsi="Calibri" w:eastAsia="宋体"/>
      <w:snapToGrid/>
      <w:kern w:val="2"/>
      <w:sz w:val="21"/>
      <w:szCs w:val="22"/>
    </w:rPr>
  </w:style>
  <w:style w:type="paragraph" w:customStyle="1" w:styleId="81">
    <w:name w:val="正文（基准，首行不缩进）"/>
    <w:qFormat/>
    <w:uiPriority w:val="0"/>
    <w:pPr>
      <w:widowControl w:val="0"/>
      <w:autoSpaceDE w:val="0"/>
      <w:autoSpaceDN w:val="0"/>
      <w:adjustRightInd w:val="0"/>
      <w:jc w:val="both"/>
    </w:pPr>
    <w:rPr>
      <w:rFonts w:ascii="Times New Roman" w:hAnsi="Times New Roman" w:eastAsia="宋体" w:cs="Times New Roman"/>
      <w:sz w:val="21"/>
      <w:lang w:val="en-US" w:eastAsia="zh-CN" w:bidi="ar-SA"/>
    </w:rPr>
  </w:style>
  <w:style w:type="paragraph" w:customStyle="1" w:styleId="82">
    <w:name w:val="WW-正文文字缩进 2"/>
    <w:basedOn w:val="1"/>
    <w:qFormat/>
    <w:uiPriority w:val="0"/>
    <w:pPr>
      <w:suppressAutoHyphens/>
      <w:spacing w:line="276" w:lineRule="auto"/>
      <w:ind w:firstLine="630"/>
    </w:pPr>
    <w:rPr>
      <w:rFonts w:ascii="楷体_GB2312" w:hAnsi="楷体_GB2312" w:eastAsia="宋体"/>
      <w:snapToGrid/>
      <w:kern w:val="1"/>
      <w:szCs w:val="20"/>
    </w:rPr>
  </w:style>
  <w:style w:type="paragraph" w:customStyle="1" w:styleId="83">
    <w:name w:val="Char11"/>
    <w:basedOn w:val="1"/>
    <w:qFormat/>
    <w:uiPriority w:val="0"/>
    <w:rPr>
      <w:rFonts w:eastAsia="宋体" w:cs="Courier New"/>
      <w:snapToGrid/>
      <w:kern w:val="2"/>
    </w:rPr>
  </w:style>
  <w:style w:type="paragraph" w:customStyle="1" w:styleId="84">
    <w:name w:val="Char Char Char Char Char Char"/>
    <w:basedOn w:val="1"/>
    <w:qFormat/>
    <w:uiPriority w:val="0"/>
    <w:pPr>
      <w:widowControl/>
      <w:spacing w:after="160" w:line="240" w:lineRule="exact"/>
      <w:jc w:val="left"/>
    </w:pPr>
    <w:rPr>
      <w:rFonts w:ascii="Arial" w:hAnsi="Arial" w:eastAsia="Times New Roman" w:cs="Verdana"/>
      <w:b/>
      <w:snapToGrid/>
      <w:kern w:val="0"/>
      <w:sz w:val="24"/>
      <w:szCs w:val="20"/>
      <w:lang w:eastAsia="en-US"/>
    </w:rPr>
  </w:style>
  <w:style w:type="paragraph" w:customStyle="1" w:styleId="85">
    <w:name w:val="Char Char Char Char Char Char Char Char Char Char Char Char Char"/>
    <w:basedOn w:val="1"/>
    <w:qFormat/>
    <w:uiPriority w:val="0"/>
    <w:rPr>
      <w:rFonts w:ascii="Tahoma" w:hAnsi="Tahoma" w:eastAsia="宋体"/>
      <w:snapToGrid/>
      <w:kern w:val="2"/>
      <w:sz w:val="24"/>
      <w:szCs w:val="20"/>
    </w:rPr>
  </w:style>
  <w:style w:type="paragraph" w:customStyle="1" w:styleId="86">
    <w:name w:val="Char2 Char Char Char Char Char Char"/>
    <w:basedOn w:val="1"/>
    <w:qFormat/>
    <w:uiPriority w:val="0"/>
    <w:pPr>
      <w:snapToGrid w:val="0"/>
      <w:spacing w:line="360" w:lineRule="auto"/>
      <w:ind w:firstLine="200" w:firstLineChars="200"/>
    </w:pPr>
    <w:rPr>
      <w:rFonts w:ascii="Times New Roman" w:hAnsi="Times New Roman"/>
      <w:snapToGrid/>
      <w:kern w:val="2"/>
      <w:sz w:val="24"/>
      <w:szCs w:val="24"/>
    </w:rPr>
  </w:style>
  <w:style w:type="paragraph" w:customStyle="1" w:styleId="87">
    <w:name w:val="Char Char Char Char Char Char Char"/>
    <w:basedOn w:val="1"/>
    <w:qFormat/>
    <w:uiPriority w:val="0"/>
    <w:rPr>
      <w:rFonts w:eastAsia="宋体" w:cs="Courier New"/>
      <w:snapToGrid/>
      <w:kern w:val="2"/>
    </w:rPr>
  </w:style>
  <w:style w:type="paragraph" w:customStyle="1" w:styleId="88">
    <w:name w:val="Char Char Char Char Char Char Char Char Char Char Char Char Char Char Char Char"/>
    <w:basedOn w:val="1"/>
    <w:qFormat/>
    <w:uiPriority w:val="0"/>
    <w:pPr>
      <w:jc w:val="center"/>
    </w:pPr>
    <w:rPr>
      <w:rFonts w:ascii="Tahoma" w:hAnsi="Tahoma" w:eastAsia="宋体"/>
      <w:snapToGrid/>
      <w:kern w:val="2"/>
      <w:sz w:val="24"/>
      <w:szCs w:val="20"/>
    </w:rPr>
  </w:style>
  <w:style w:type="paragraph" w:customStyle="1" w:styleId="89">
    <w:name w:val="Char1"/>
    <w:basedOn w:val="1"/>
    <w:qFormat/>
    <w:uiPriority w:val="0"/>
    <w:rPr>
      <w:rFonts w:ascii="Tahoma" w:hAnsi="Tahoma" w:eastAsia="宋体"/>
      <w:snapToGrid/>
      <w:kern w:val="2"/>
      <w:sz w:val="24"/>
      <w:szCs w:val="20"/>
    </w:rPr>
  </w:style>
  <w:style w:type="paragraph" w:customStyle="1" w:styleId="90">
    <w:name w:val="默认段落字体 Para Char Char Char Char"/>
    <w:basedOn w:val="1"/>
    <w:qFormat/>
    <w:uiPriority w:val="0"/>
    <w:rPr>
      <w:rFonts w:ascii="Times New Roman" w:hAnsi="Times New Roman" w:eastAsia="宋体"/>
      <w:snapToGrid/>
      <w:kern w:val="2"/>
      <w:sz w:val="21"/>
      <w:szCs w:val="24"/>
    </w:rPr>
  </w:style>
  <w:style w:type="paragraph" w:customStyle="1" w:styleId="91">
    <w:name w:val="msolistparagraph"/>
    <w:basedOn w:val="1"/>
    <w:qFormat/>
    <w:uiPriority w:val="0"/>
    <w:pPr>
      <w:widowControl/>
      <w:spacing w:before="100" w:beforeAutospacing="1" w:after="100" w:afterAutospacing="1"/>
      <w:jc w:val="left"/>
    </w:pPr>
    <w:rPr>
      <w:rFonts w:eastAsia="宋体" w:cs="宋体"/>
      <w:snapToGrid/>
      <w:kern w:val="0"/>
      <w:sz w:val="24"/>
      <w:szCs w:val="24"/>
    </w:rPr>
  </w:style>
  <w:style w:type="character" w:customStyle="1" w:styleId="92">
    <w:name w:val="content"/>
    <w:basedOn w:val="33"/>
    <w:qFormat/>
    <w:uiPriority w:val="0"/>
  </w:style>
  <w:style w:type="paragraph" w:customStyle="1" w:styleId="93">
    <w:name w:val="主题词"/>
    <w:basedOn w:val="1"/>
    <w:qFormat/>
    <w:uiPriority w:val="0"/>
    <w:pPr>
      <w:jc w:val="left"/>
    </w:pPr>
    <w:rPr>
      <w:rFonts w:ascii="Times New Roman" w:hAnsi="Times New Roman" w:eastAsia="宋体"/>
      <w:snapToGrid/>
      <w:kern w:val="2"/>
      <w:szCs w:val="20"/>
    </w:rPr>
  </w:style>
  <w:style w:type="paragraph" w:customStyle="1" w:styleId="94">
    <w:name w:val="我的正文"/>
    <w:basedOn w:val="1"/>
    <w:qFormat/>
    <w:uiPriority w:val="0"/>
    <w:pPr>
      <w:ind w:firstLine="200" w:firstLineChars="200"/>
    </w:pPr>
    <w:rPr>
      <w:rFonts w:ascii="Calibri" w:hAnsi="Calibri" w:eastAsia="宋体"/>
      <w:snapToGrid/>
      <w:kern w:val="2"/>
      <w:sz w:val="24"/>
      <w:szCs w:val="22"/>
    </w:rPr>
  </w:style>
  <w:style w:type="paragraph" w:customStyle="1" w:styleId="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6">
    <w:name w:val="msonormalcxspmiddle"/>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BECC正文"/>
    <w:basedOn w:val="1"/>
    <w:link w:val="98"/>
    <w:qFormat/>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98">
    <w:name w:val="!BECC正文 Char"/>
    <w:link w:val="97"/>
    <w:qFormat/>
    <w:uiPriority w:val="0"/>
    <w:rPr>
      <w:rFonts w:eastAsia="宋体"/>
      <w:sz w:val="24"/>
      <w:szCs w:val="24"/>
      <w:lang w:bidi="ar-SA"/>
    </w:rPr>
  </w:style>
  <w:style w:type="paragraph" w:customStyle="1" w:styleId="99">
    <w:name w:val="WW-日期"/>
    <w:basedOn w:val="1"/>
    <w:next w:val="1"/>
    <w:qFormat/>
    <w:uiPriority w:val="0"/>
    <w:pPr>
      <w:suppressAutoHyphens/>
    </w:pPr>
    <w:rPr>
      <w:rFonts w:ascii="仿宋_GB2312" w:hAnsi="仿宋_GB2312"/>
      <w:snapToGrid/>
      <w:kern w:val="1"/>
      <w:szCs w:val="24"/>
    </w:rPr>
  </w:style>
  <w:style w:type="paragraph" w:customStyle="1" w:styleId="100">
    <w:name w:val="正文 New"/>
    <w:qFormat/>
    <w:uiPriority w:val="0"/>
    <w:pPr>
      <w:widowControl w:val="0"/>
      <w:jc w:val="both"/>
    </w:pPr>
    <w:rPr>
      <w:rFonts w:ascii="Times New Roman" w:hAnsi="Times New Roman" w:eastAsia="楷体_GB2312" w:cs="Times New Roman"/>
      <w:kern w:val="2"/>
      <w:sz w:val="32"/>
      <w:lang w:val="en-US" w:eastAsia="zh-CN" w:bidi="ar-SA"/>
    </w:rPr>
  </w:style>
  <w:style w:type="paragraph" w:customStyle="1" w:styleId="101">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2">
    <w:name w:val="正文 New New New New New New New New New New New New New New New New New New New New New New New New New New"/>
    <w:qFormat/>
    <w:uiPriority w:val="0"/>
    <w:pPr>
      <w:widowControl w:val="0"/>
      <w:snapToGrid w:val="0"/>
      <w:jc w:val="both"/>
    </w:pPr>
    <w:rPr>
      <w:rFonts w:ascii="宋体" w:hAnsi="宋体" w:eastAsia="仿宋_GB2312" w:cs="Times New Roman"/>
      <w:kern w:val="32"/>
      <w:sz w:val="32"/>
      <w:szCs w:val="32"/>
      <w:lang w:val="en-US" w:eastAsia="zh-CN" w:bidi="ar-SA"/>
    </w:rPr>
  </w:style>
  <w:style w:type="paragraph" w:customStyle="1" w:styleId="103">
    <w:name w:val="正文 New New New"/>
    <w:qFormat/>
    <w:uiPriority w:val="0"/>
    <w:pPr>
      <w:widowControl w:val="0"/>
      <w:jc w:val="both"/>
    </w:pPr>
    <w:rPr>
      <w:rFonts w:ascii="宋体" w:hAnsi="宋体" w:eastAsia="楷体_GB2312" w:cs="Times New Roman"/>
      <w:kern w:val="2"/>
      <w:sz w:val="32"/>
      <w:lang w:val="en-US" w:eastAsia="zh-CN" w:bidi="ar-SA"/>
    </w:rPr>
  </w:style>
  <w:style w:type="character" w:customStyle="1" w:styleId="104">
    <w:name w:val="标题 1 Char New"/>
    <w:basedOn w:val="33"/>
    <w:link w:val="105"/>
    <w:qFormat/>
    <w:locked/>
    <w:uiPriority w:val="0"/>
    <w:rPr>
      <w:rFonts w:ascii="宋体" w:hAnsi="宋体"/>
      <w:b/>
      <w:kern w:val="36"/>
      <w:sz w:val="48"/>
      <w:lang w:bidi="ar-SA"/>
    </w:rPr>
  </w:style>
  <w:style w:type="paragraph" w:customStyle="1" w:styleId="105">
    <w:name w:val="标题 11"/>
    <w:basedOn w:val="1"/>
    <w:link w:val="104"/>
    <w:qFormat/>
    <w:uiPriority w:val="0"/>
    <w:pPr>
      <w:spacing w:before="100" w:beforeAutospacing="1" w:after="100" w:afterAutospacing="1" w:line="336" w:lineRule="auto"/>
      <w:outlineLvl w:val="0"/>
    </w:pPr>
    <w:rPr>
      <w:rFonts w:eastAsia="Times New Roman"/>
      <w:b/>
      <w:snapToGrid/>
      <w:kern w:val="36"/>
      <w:sz w:val="48"/>
      <w:szCs w:val="20"/>
    </w:rPr>
  </w:style>
  <w:style w:type="character" w:customStyle="1" w:styleId="106">
    <w:name w:val="段 Char"/>
    <w:link w:val="107"/>
    <w:qFormat/>
    <w:uiPriority w:val="0"/>
    <w:rPr>
      <w:rFonts w:ascii="宋体" w:eastAsia="Times New Roman"/>
      <w:sz w:val="21"/>
      <w:lang w:val="en-US" w:eastAsia="zh-CN" w:bidi="ar-SA"/>
    </w:rPr>
  </w:style>
  <w:style w:type="paragraph" w:customStyle="1" w:styleId="107">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108">
    <w:name w:val="Char Char Char Char Char Char Char1"/>
    <w:basedOn w:val="1"/>
    <w:qFormat/>
    <w:uiPriority w:val="0"/>
    <w:rPr>
      <w:rFonts w:ascii="Tahoma" w:hAnsi="Tahoma" w:eastAsia="宋体"/>
      <w:snapToGrid/>
      <w:kern w:val="2"/>
      <w:sz w:val="24"/>
      <w:szCs w:val="20"/>
    </w:rPr>
  </w:style>
  <w:style w:type="paragraph" w:customStyle="1" w:styleId="109">
    <w:name w:val="列出段落1"/>
    <w:basedOn w:val="1"/>
    <w:qFormat/>
    <w:uiPriority w:val="34"/>
    <w:pPr>
      <w:ind w:firstLine="420" w:firstLineChars="200"/>
    </w:pPr>
    <w:rPr>
      <w:rFonts w:ascii="Calibri" w:hAnsi="Calibri" w:eastAsia="宋体"/>
      <w:snapToGrid/>
      <w:kern w:val="2"/>
      <w:sz w:val="21"/>
      <w:szCs w:val="22"/>
    </w:rPr>
  </w:style>
  <w:style w:type="paragraph" w:customStyle="1" w:styleId="110">
    <w:name w:val="修订1"/>
    <w:hidden/>
    <w:semiHidden/>
    <w:qFormat/>
    <w:uiPriority w:val="99"/>
    <w:rPr>
      <w:rFonts w:ascii="宋体" w:hAnsi="宋体" w:eastAsia="仿宋_GB2312" w:cs="Times New Roman"/>
      <w:snapToGrid w:val="0"/>
      <w:kern w:val="32"/>
      <w:sz w:val="32"/>
      <w:szCs w:val="32"/>
      <w:lang w:val="en-US" w:eastAsia="zh-CN" w:bidi="ar-SA"/>
    </w:rPr>
  </w:style>
  <w:style w:type="paragraph" w:customStyle="1" w:styleId="111">
    <w:name w:val="_Style 5"/>
    <w:basedOn w:val="1"/>
    <w:qFormat/>
    <w:uiPriority w:val="0"/>
    <w:pPr>
      <w:ind w:firstLine="420" w:firstLineChars="200"/>
    </w:pPr>
    <w:rPr>
      <w:rFonts w:ascii="Calibri" w:hAnsi="Calibri" w:eastAsia="宋体" w:cs="Calibri"/>
      <w:snapToGrid/>
      <w:kern w:val="2"/>
      <w:sz w:val="21"/>
      <w:szCs w:val="21"/>
    </w:rPr>
  </w:style>
  <w:style w:type="character" w:customStyle="1" w:styleId="112">
    <w:name w:val="15"/>
    <w:basedOn w:val="33"/>
    <w:qFormat/>
    <w:uiPriority w:val="0"/>
    <w:rPr>
      <w:rFonts w:hint="default" w:ascii="Times New Roman" w:hAnsi="Times New Roman" w:cs="Times New Roman"/>
    </w:rPr>
  </w:style>
  <w:style w:type="character" w:customStyle="1" w:styleId="113">
    <w:name w:val="NormalCharacter"/>
    <w:link w:val="114"/>
    <w:qFormat/>
    <w:uiPriority w:val="0"/>
  </w:style>
  <w:style w:type="paragraph" w:customStyle="1" w:styleId="114">
    <w:name w:val="UserStyle_19"/>
    <w:basedOn w:val="1"/>
    <w:link w:val="113"/>
    <w:qFormat/>
    <w:uiPriority w:val="0"/>
    <w:pPr>
      <w:textAlignment w:val="baseline"/>
    </w:pPr>
  </w:style>
  <w:style w:type="character" w:customStyle="1" w:styleId="115">
    <w:name w:val="批注文字 字符"/>
    <w:basedOn w:val="33"/>
    <w:link w:val="10"/>
    <w:qFormat/>
    <w:uiPriority w:val="0"/>
    <w:rPr>
      <w:kern w:val="2"/>
      <w:sz w:val="21"/>
    </w:rPr>
  </w:style>
  <w:style w:type="character" w:customStyle="1" w:styleId="116">
    <w:name w:val="批注主题 字符"/>
    <w:basedOn w:val="115"/>
    <w:link w:val="30"/>
    <w:qFormat/>
    <w:uiPriority w:val="0"/>
    <w:rPr>
      <w:rFonts w:ascii="宋体" w:hAnsi="宋体" w:eastAsia="仿宋_GB2312"/>
      <w:b/>
      <w:bCs/>
      <w:snapToGrid w:val="0"/>
      <w:kern w:val="32"/>
      <w:sz w:val="32"/>
      <w:szCs w:val="32"/>
    </w:rPr>
  </w:style>
  <w:style w:type="paragraph" w:customStyle="1" w:styleId="117">
    <w:name w:val="修订2"/>
    <w:hidden/>
    <w:unhideWhenUsed/>
    <w:qFormat/>
    <w:uiPriority w:val="99"/>
    <w:rPr>
      <w:rFonts w:ascii="宋体" w:hAnsi="宋体" w:eastAsia="仿宋_GB2312" w:cs="Times New Roman"/>
      <w:snapToGrid w:val="0"/>
      <w:kern w:val="32"/>
      <w:sz w:val="32"/>
      <w:szCs w:val="32"/>
      <w:lang w:val="en-US" w:eastAsia="zh-CN" w:bidi="ar-SA"/>
    </w:rPr>
  </w:style>
  <w:style w:type="paragraph" w:customStyle="1" w:styleId="1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19">
    <w:name w:val="公文正文"/>
    <w:basedOn w:val="1"/>
    <w:qFormat/>
    <w:uiPriority w:val="0"/>
    <w:pPr>
      <w:adjustRightInd w:val="0"/>
      <w:snapToGrid w:val="0"/>
      <w:spacing w:line="560" w:lineRule="exact"/>
      <w:ind w:firstLine="560" w:firstLineChars="200"/>
    </w:pPr>
  </w:style>
  <w:style w:type="paragraph" w:customStyle="1" w:styleId="120">
    <w:name w:val="修订3"/>
    <w:hidden/>
    <w:unhideWhenUsed/>
    <w:qFormat/>
    <w:uiPriority w:val="99"/>
    <w:rPr>
      <w:rFonts w:ascii="宋体" w:hAnsi="宋体" w:eastAsia="仿宋_GB2312" w:cs="Times New Roman"/>
      <w:snapToGrid w:val="0"/>
      <w:kern w:val="32"/>
      <w:sz w:val="32"/>
      <w:szCs w:val="32"/>
      <w:lang w:val="en-US" w:eastAsia="zh-CN" w:bidi="ar-SA"/>
    </w:rPr>
  </w:style>
  <w:style w:type="paragraph" w:customStyle="1" w:styleId="121">
    <w:name w:val="Revision"/>
    <w:hidden/>
    <w:unhideWhenUsed/>
    <w:qFormat/>
    <w:uiPriority w:val="99"/>
    <w:rPr>
      <w:rFonts w:ascii="宋体" w:hAnsi="宋体" w:eastAsia="仿宋_GB2312" w:cs="Times New Roman"/>
      <w:snapToGrid w:val="0"/>
      <w:kern w:val="3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6</Pages>
  <Words>377</Words>
  <Characters>2154</Characters>
  <Lines>17</Lines>
  <Paragraphs>5</Paragraphs>
  <TotalTime>2</TotalTime>
  <ScaleCrop>false</ScaleCrop>
  <LinksUpToDate>false</LinksUpToDate>
  <CharactersWithSpaces>2526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2019-06-12T00:38:00Z</dcterms:created>
  <dc:creator>zy</dc:creator>
  <cp:lastModifiedBy> </cp:lastModifiedBy>
  <cp:lastPrinted>2023-11-06T14:48:00Z</cp:lastPrinted>
  <dcterms:modified xsi:type="dcterms:W3CDTF">2024-11-20T12:09:24Z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448A0283D3676306CE664365DA26581F</vt:lpwstr>
  </property>
</Properties>
</file>