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黑体" w:eastAsia="黑体" w:cs="黑体"/>
          <w:bCs/>
        </w:rPr>
      </w:pPr>
      <w:r>
        <w:rPr>
          <w:rFonts w:hint="eastAsia" w:ascii="黑体" w:hAnsi="黑体" w:eastAsia="黑体" w:cs="黑体"/>
          <w:bCs/>
        </w:rPr>
        <w:t>附件1</w:t>
      </w:r>
    </w:p>
    <w:p>
      <w:pPr>
        <w:spacing w:line="600" w:lineRule="exact"/>
        <w:rPr>
          <w:rFonts w:hint="eastAsia" w:ascii="CESI黑体-GB13000" w:hAnsi="CESI黑体-GB13000" w:eastAsia="CESI黑体-GB13000" w:cs="CESI黑体-GB13000"/>
          <w:color w:val="333333"/>
          <w:shd w:val="clear" w:color="auto" w:fill="FFFFFF"/>
        </w:rPr>
      </w:pP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北京市2025年电力市场化交易方案</w:t>
      </w:r>
    </w:p>
    <w:p>
      <w:pPr>
        <w:pStyle w:val="2"/>
        <w:spacing w:after="0" w:line="600" w:lineRule="exact"/>
        <w:jc w:val="center"/>
        <w:rPr>
          <w:rFonts w:hint="eastAsia" w:ascii="仿宋_GB2312" w:hAnsi="仿宋_GB2312" w:cs="仿宋_GB2312"/>
          <w:color w:val="000000"/>
          <w:shd w:val="clear" w:color="auto" w:fill="FFFFFF"/>
        </w:rPr>
      </w:pPr>
      <w:r>
        <w:rPr>
          <w:rFonts w:hint="eastAsia" w:ascii="仿宋_GB2312" w:hAnsi="仿宋_GB2312" w:cs="仿宋_GB2312"/>
          <w:color w:val="000000"/>
          <w:shd w:val="clear" w:color="auto" w:fill="FFFFFF"/>
        </w:rPr>
        <w:t>（征求意见稿）</w:t>
      </w:r>
    </w:p>
    <w:p>
      <w:pPr>
        <w:spacing w:line="600" w:lineRule="exact"/>
        <w:rPr>
          <w:rFonts w:hint="eastAsia"/>
        </w:rPr>
      </w:pP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为贯彻落实国家发展改革委、国家能源局《关于印发&lt;电力中长期交易基本规则&gt;的通知》（发改能源规〔2020〕889号）、国家发展改革委《关于进一步深化燃煤发电上网电价市场化改革的通知》（发改价格〔2021〕1439号）</w:t>
      </w:r>
      <w:r>
        <w:rPr>
          <w:rFonts w:hint="eastAsia" w:ascii="仿宋_GB2312" w:hAnsi="仿宋_GB2312" w:cs="仿宋_GB2312"/>
        </w:rPr>
        <w:t>等文件</w:t>
      </w:r>
      <w:r>
        <w:rPr>
          <w:rStyle w:val="113"/>
          <w:rFonts w:hint="eastAsia" w:ascii="仿宋_GB2312" w:hAnsi="仿宋_GB2312" w:cs="仿宋_GB2312"/>
          <w:color w:val="000000"/>
        </w:rPr>
        <w:t>要求，持续做好北京地区电力市场化改革，充分发挥电力中长期交易压舱石、稳定器的作用，稳妥推进</w:t>
      </w:r>
      <w:r>
        <w:rPr>
          <w:rStyle w:val="113"/>
          <w:rFonts w:hint="eastAsia" w:ascii="仿宋_GB2312" w:hAnsi="仿宋_GB2312" w:cs="仿宋_GB2312"/>
          <w:color w:val="000000"/>
          <w:spacing w:val="-6"/>
        </w:rPr>
        <w:t>北京市2025年电力市场化直接交易工作，结合北京市实际，特制定本方案。</w:t>
      </w:r>
    </w:p>
    <w:p>
      <w:pPr>
        <w:spacing w:line="600" w:lineRule="exact"/>
        <w:ind w:firstLine="640" w:firstLineChars="200"/>
        <w:rPr>
          <w:rFonts w:hint="eastAsia" w:ascii="黑体" w:hAnsi="黑体" w:eastAsia="黑体" w:cs="黑体"/>
        </w:rPr>
      </w:pPr>
      <w:r>
        <w:rPr>
          <w:rFonts w:hint="eastAsia" w:ascii="黑体" w:hAnsi="黑体" w:eastAsia="黑体" w:cs="黑体"/>
        </w:rPr>
        <w:t>一、交易电量规模</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2025年，北京市电力市场化交易总电量规模拟安排910亿千瓦时，其中，直接市场交易规模300亿千瓦时，电网代理购电规模610亿千瓦时。</w:t>
      </w:r>
    </w:p>
    <w:p>
      <w:pPr>
        <w:spacing w:line="600" w:lineRule="exact"/>
        <w:ind w:firstLine="640" w:firstLineChars="200"/>
        <w:rPr>
          <w:rFonts w:hint="eastAsia" w:ascii="黑体" w:hAnsi="黑体" w:eastAsia="黑体" w:cs="黑体"/>
        </w:rPr>
      </w:pPr>
      <w:r>
        <w:rPr>
          <w:rFonts w:hint="eastAsia" w:ascii="黑体" w:hAnsi="黑体" w:eastAsia="黑体" w:cs="黑体"/>
        </w:rPr>
        <w:t>二、市场参与方式</w:t>
      </w:r>
    </w:p>
    <w:p>
      <w:pPr>
        <w:pStyle w:val="2"/>
        <w:spacing w:after="0" w:line="600" w:lineRule="exact"/>
        <w:ind w:firstLine="640" w:firstLineChars="200"/>
        <w:rPr>
          <w:rStyle w:val="113"/>
          <w:rFonts w:hint="eastAsia" w:ascii="楷体_GB2312" w:hAnsi="楷体_GB2312" w:eastAsia="楷体_GB2312" w:cs="楷体_GB2312"/>
          <w:color w:val="000000"/>
        </w:rPr>
      </w:pPr>
      <w:r>
        <w:rPr>
          <w:rStyle w:val="113"/>
          <w:rFonts w:hint="eastAsia" w:ascii="楷体_GB2312" w:hAnsi="楷体_GB2312" w:eastAsia="楷体_GB2312" w:cs="楷体_GB2312"/>
          <w:color w:val="000000"/>
        </w:rPr>
        <w:t>（一）直接参与市场交易</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执行工商业电价的电力用户原则上全部直接参与市场交易（直接向发电企业和售电公司购电，下同）。</w:t>
      </w:r>
    </w:p>
    <w:p>
      <w:pPr>
        <w:pStyle w:val="2"/>
        <w:spacing w:after="0" w:line="600" w:lineRule="exact"/>
        <w:ind w:firstLine="640" w:firstLineChars="200"/>
        <w:rPr>
          <w:rFonts w:hint="eastAsia" w:ascii="仿宋_GB2312" w:hAnsi="仿宋_GB2312" w:cs="仿宋_GB2312"/>
        </w:rPr>
      </w:pPr>
      <w:r>
        <w:rPr>
          <w:rStyle w:val="113"/>
          <w:rFonts w:hint="eastAsia" w:ascii="仿宋_GB2312" w:hAnsi="仿宋_GB2312" w:cs="仿宋_GB2312"/>
          <w:color w:val="000000"/>
        </w:rPr>
        <w:t>选择直接参与市场交易的电力用户，应在首都电力交易中心完成市场注册</w:t>
      </w:r>
      <w:r>
        <w:rPr>
          <w:rStyle w:val="113"/>
          <w:rFonts w:hint="eastAsia" w:ascii="仿宋_GB2312" w:hAnsi="仿宋_GB2312" w:cs="仿宋_GB2312"/>
          <w:color w:val="000000"/>
          <w:shd w:val="clear" w:color="auto" w:fill="FFFFFF"/>
        </w:rPr>
        <w:t>，电力用户可以供用电合同上的单位名称申请入市，也可以缴费人的单位名称申请入市（需获得供用电合同上的单位授权，视同供用电合同上的单位入市）。</w:t>
      </w:r>
      <w:r>
        <w:rPr>
          <w:rStyle w:val="113"/>
          <w:rFonts w:hint="eastAsia" w:ascii="仿宋_GB2312" w:hAnsi="仿宋_GB2312" w:cs="仿宋_GB2312"/>
          <w:color w:val="000000"/>
        </w:rPr>
        <w:t>其全部电量均应通过直接参与市场交易购买。</w:t>
      </w:r>
      <w:r>
        <w:rPr>
          <w:rStyle w:val="113"/>
          <w:rFonts w:hint="eastAsia" w:ascii="仿宋_GB2312" w:hAnsi="仿宋_GB2312" w:cs="仿宋_GB2312"/>
          <w:color w:val="000000"/>
          <w:shd w:val="clear" w:color="auto" w:fill="FFFFFF"/>
        </w:rPr>
        <w:t>鼓励年用电量超过500万千瓦时的用户与发电企业开展电力直接交易。</w:t>
      </w:r>
    </w:p>
    <w:p>
      <w:pPr>
        <w:spacing w:line="600" w:lineRule="exact"/>
        <w:ind w:firstLine="640" w:firstLineChars="200"/>
        <w:rPr>
          <w:rStyle w:val="113"/>
          <w:rFonts w:hint="eastAsia" w:ascii="楷体_GB2312" w:hAnsi="楷体_GB2312" w:eastAsia="楷体_GB2312" w:cs="楷体_GB2312"/>
          <w:color w:val="000000"/>
        </w:rPr>
      </w:pPr>
      <w:r>
        <w:rPr>
          <w:rStyle w:val="113"/>
          <w:rFonts w:hint="eastAsia" w:ascii="楷体_GB2312" w:hAnsi="楷体_GB2312" w:eastAsia="楷体_GB2312" w:cs="楷体_GB2312"/>
          <w:color w:val="000000"/>
        </w:rPr>
        <w:t>（二）电网代理购电</w:t>
      </w:r>
    </w:p>
    <w:p>
      <w:pPr>
        <w:spacing w:line="600" w:lineRule="exact"/>
        <w:ind w:firstLine="640" w:firstLineChars="200"/>
        <w:rPr>
          <w:rStyle w:val="113"/>
          <w:rFonts w:hint="eastAsia" w:ascii="仿宋_GB2312" w:hAnsi="仿宋_GB2312" w:cs="仿宋_GB2312"/>
          <w:color w:val="000000"/>
          <w:shd w:val="clear" w:color="auto" w:fill="FFFFFF"/>
        </w:rPr>
      </w:pPr>
      <w:r>
        <w:rPr>
          <w:rStyle w:val="113"/>
          <w:rFonts w:hint="eastAsia" w:ascii="仿宋_GB2312" w:hAnsi="仿宋_GB2312" w:cs="仿宋_GB2312"/>
          <w:color w:val="000000"/>
        </w:rPr>
        <w:t>对暂未直接参与市场交易的电力用户，由国网北京市电力公司代理购电；已直接参与市场交易又退出的电力用户，以用户编号为单位，由国网北京市电力公司代理购电，</w:t>
      </w:r>
      <w:r>
        <w:rPr>
          <w:rStyle w:val="113"/>
          <w:rFonts w:hint="eastAsia" w:ascii="仿宋_GB2312" w:hAnsi="仿宋_GB2312" w:cs="仿宋_GB2312"/>
          <w:color w:val="000000"/>
          <w:shd w:val="clear" w:color="auto" w:fill="FFFFFF"/>
        </w:rPr>
        <w:t>其用电价格按照国家有关政策文件执行。</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shd w:val="clear" w:color="auto" w:fill="FFFFFF"/>
        </w:rPr>
        <w:t>由国网北京市电力公司代理购电的工商业用户，可在每月15日前，在首都电力交易平台完成注册，选择自下月起直接参与市场交易，国网北京市电力公司代理购电相应终止。首都电</w:t>
      </w:r>
      <w:r>
        <w:rPr>
          <w:rStyle w:val="113"/>
          <w:rFonts w:hint="eastAsia" w:ascii="仿宋_GB2312" w:hAnsi="仿宋_GB2312" w:cs="仿宋_GB2312"/>
          <w:color w:val="000000"/>
          <w:spacing w:val="-6"/>
          <w:shd w:val="clear" w:color="auto" w:fill="FFFFFF"/>
        </w:rPr>
        <w:t>力交易</w:t>
      </w:r>
      <w:r>
        <w:rPr>
          <w:rStyle w:val="113"/>
          <w:rFonts w:hint="eastAsia" w:ascii="仿宋_GB2312" w:hAnsi="仿宋_GB2312" w:cs="仿宋_GB2312"/>
          <w:color w:val="000000"/>
          <w:spacing w:val="-6"/>
        </w:rPr>
        <w:t>中心应将上述变更信息于2日内告知国网北京市电力公司。</w:t>
      </w:r>
    </w:p>
    <w:p>
      <w:pPr>
        <w:spacing w:line="600" w:lineRule="exact"/>
        <w:ind w:firstLine="640" w:firstLineChars="200"/>
        <w:rPr>
          <w:rFonts w:hint="eastAsia" w:ascii="黑体" w:hAnsi="黑体" w:eastAsia="黑体" w:cs="黑体"/>
        </w:rPr>
      </w:pPr>
      <w:r>
        <w:rPr>
          <w:rFonts w:hint="eastAsia" w:ascii="黑体" w:hAnsi="黑体" w:eastAsia="黑体" w:cs="黑体"/>
        </w:rPr>
        <w:t>三、交易组织安排</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北京市电力市场化交易工作由北京电力交易中心、首都电力交易中心共同组织开展。</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（一）市场成员</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1.发电企业</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符合华北能源监管局《关于印发&lt;京津唐电网电力中长期交易规则&gt;的通知》（华北监能市场〔2020〕221号）有关要求的发电企业，具体以电力交易中心公告为准。</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2.售电公司</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在首都电力交易平台注册生效的售电公司。</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3.电力用户</w:t>
      </w:r>
    </w:p>
    <w:p>
      <w:pPr>
        <w:numPr>
          <w:ilvl w:val="255"/>
          <w:numId w:val="0"/>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在首都电力交易平台注册生效的电力用户分为批发用户和零售用户，并按照注册类型，分别参与批发市场和零售市场。</w:t>
      </w:r>
    </w:p>
    <w:p>
      <w:pPr>
        <w:numPr>
          <w:ilvl w:val="255"/>
          <w:numId w:val="0"/>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4.电力市场运营机构</w:t>
      </w:r>
    </w:p>
    <w:p>
      <w:pPr>
        <w:numPr>
          <w:ilvl w:val="255"/>
          <w:numId w:val="0"/>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包括北京电力交易中心市场交易二部、首都电力交易中心；华北电力</w:t>
      </w:r>
      <w:r>
        <w:rPr>
          <w:rFonts w:hint="eastAsia" w:ascii="仿宋_GB2312" w:hAnsi="仿宋_GB2312" w:cs="仿宋_GB2312"/>
        </w:rPr>
        <w:t>调度控制中心</w:t>
      </w:r>
      <w:r>
        <w:rPr>
          <w:rStyle w:val="113"/>
          <w:rFonts w:hint="eastAsia" w:ascii="仿宋_GB2312" w:hAnsi="仿宋_GB2312" w:cs="仿宋_GB2312"/>
          <w:color w:val="000000"/>
        </w:rPr>
        <w:t>、</w:t>
      </w:r>
      <w:r>
        <w:rPr>
          <w:rFonts w:hint="eastAsia" w:ascii="仿宋_GB2312" w:hAnsi="仿宋_GB2312" w:cs="仿宋_GB2312"/>
        </w:rPr>
        <w:t>北京电力调度控制中心。</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（二）交易组织具体方式</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1.交易方式</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（1）为贯彻落实国家电力市场化改革工作部署，2025年北京市采用双边协商、集中交易等方式开展分时段电力中长期交易</w:t>
      </w:r>
      <w:r>
        <w:rPr>
          <w:rFonts w:hint="eastAsia" w:ascii="仿宋_GB2312" w:hAnsi="仿宋_GB2312" w:cs="仿宋_GB2312"/>
          <w:color w:val="000000"/>
        </w:rPr>
        <w:t>。</w:t>
      </w:r>
      <w:r>
        <w:rPr>
          <w:rStyle w:val="113"/>
          <w:rFonts w:hint="eastAsia" w:ascii="仿宋_GB2312" w:hAnsi="仿宋_GB2312" w:cs="仿宋_GB2312"/>
          <w:color w:val="000000"/>
        </w:rPr>
        <w:t>交易周期包含年度、月度、月内等。年度交易按月申报，以双边协商为主，月度、</w:t>
      </w:r>
      <w:r>
        <w:rPr>
          <w:rFonts w:hint="eastAsia" w:ascii="仿宋_GB2312" w:hAnsi="仿宋_GB2312" w:cs="仿宋_GB2312"/>
          <w:color w:val="000000"/>
        </w:rPr>
        <w:t>月内</w:t>
      </w:r>
      <w:r>
        <w:rPr>
          <w:rStyle w:val="113"/>
          <w:rFonts w:hint="eastAsia" w:ascii="仿宋_GB2312" w:hAnsi="仿宋_GB2312" w:cs="仿宋_GB2312"/>
          <w:color w:val="000000"/>
        </w:rPr>
        <w:t>交易以集中竞价为主。具体内容按照电力交易中心发布的交易公告执行。电网企业代理购电交易方式按照国家、北京市有关文件规定执行。</w:t>
      </w:r>
    </w:p>
    <w:p>
      <w:pPr>
        <w:spacing w:line="600" w:lineRule="exact"/>
        <w:ind w:firstLine="640" w:firstLineChars="200"/>
        <w:rPr>
          <w:rFonts w:hint="eastAsia" w:ascii="仿宋_GB2312" w:hAnsi="仿宋_GB2312" w:cs="仿宋_GB2312"/>
        </w:rPr>
      </w:pPr>
      <w:r>
        <w:rPr>
          <w:rStyle w:val="113"/>
          <w:rFonts w:hint="eastAsia" w:ascii="仿宋_GB2312" w:hAnsi="仿宋_GB2312" w:cs="仿宋_GB2312"/>
          <w:color w:val="000000"/>
        </w:rPr>
        <w:t>（2）</w:t>
      </w:r>
      <w:r>
        <w:rPr>
          <w:rFonts w:hint="eastAsia" w:ascii="仿宋_GB2312" w:hAnsi="仿宋_GB2312" w:cs="仿宋_GB2312"/>
        </w:rPr>
        <w:t>合同电量转让交易产生的合同仅限于用户侧批发市场交易结算，北京地区电力市场用户的用电价格中，电能量交易价格成分不包含合同电量转让交易价格。</w:t>
      </w:r>
      <w:r>
        <w:rPr>
          <w:rFonts w:hint="eastAsia" w:ascii="仿宋_GB2312" w:hAnsi="仿宋_GB2312" w:cs="仿宋_GB2312"/>
          <w:color w:val="000000"/>
          <w:kern w:val="0"/>
          <w:lang w:bidi="ar"/>
        </w:rPr>
        <w:t>合同电量转让交易结算采用月清月结方式。</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2.交易单元</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电力用户：将同一注册用户全部电压等级的用电单元统一打包参与交易。</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售电公司：将所代理用户全部电压等级的用电单元统一打包参与交易。</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国网北京市电力公司：将所代理用户全部电压等级的用户编号统一打包参与交易。</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3.安全校核</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由国网华北分部电力调度控制中心会同相关电力调度机构协调开展直接交易安全校核工作。</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4.交易结果发布</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由北京电力交易中心、首都电力交易中心发布交易结果。交易结果一经电力交易平台发布即作为交易执行依据，交易各方不再签订纸质合同。</w:t>
      </w:r>
    </w:p>
    <w:p>
      <w:pPr>
        <w:spacing w:line="600" w:lineRule="exact"/>
        <w:ind w:firstLine="640" w:firstLineChars="200"/>
        <w:rPr>
          <w:rFonts w:hint="eastAsia" w:ascii="黑体" w:hAnsi="黑体" w:eastAsia="黑体" w:cs="黑体"/>
        </w:rPr>
      </w:pPr>
      <w:r>
        <w:rPr>
          <w:rFonts w:hint="eastAsia" w:ascii="黑体" w:hAnsi="黑体" w:eastAsia="黑体" w:cs="黑体"/>
        </w:rPr>
        <w:t>四、直接交易价格</w:t>
      </w:r>
    </w:p>
    <w:p>
      <w:pPr>
        <w:spacing w:line="600" w:lineRule="exact"/>
        <w:ind w:firstLine="640" w:firstLineChars="200"/>
        <w:rPr>
          <w:rStyle w:val="113"/>
          <w:rFonts w:hint="eastAsia" w:ascii="仿宋_GB2312" w:hAnsi="仿宋_GB2312" w:cs="仿宋_GB2312"/>
          <w:color w:val="000000"/>
        </w:rPr>
      </w:pPr>
      <w:r>
        <w:rPr>
          <w:rFonts w:hint="eastAsia" w:ascii="仿宋_GB2312" w:hAnsi="仿宋_GB2312" w:cs="仿宋_GB2312"/>
          <w:color w:val="000000"/>
        </w:rPr>
        <w:t>燃煤发电市场交易价格在“基准价+上下浮动”范围内形成，基准价适用落地省基准价水平，浮动范围原则上均不超过20%</w:t>
      </w:r>
      <w:r>
        <w:rPr>
          <w:rFonts w:hint="eastAsia" w:ascii="仿宋_GB2312" w:hAnsi="仿宋_GB2312" w:cs="仿宋_GB2312"/>
          <w:color w:val="404040"/>
        </w:rPr>
        <w:t>。</w:t>
      </w:r>
      <w:r>
        <w:rPr>
          <w:rStyle w:val="113"/>
          <w:rFonts w:hint="eastAsia" w:ascii="仿宋_GB2312" w:hAnsi="仿宋_GB2312" w:cs="仿宋_GB2312"/>
          <w:color w:val="000000"/>
        </w:rPr>
        <w:t>鼓励购售双方在中长期合同中设立交易电价随燃料成本变化合理浮动条款，实行交易价格与煤炭价格挂钩联动，保障能源稳定供应。</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（一）时段划分</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2025年北京市电力市场化交易分为以下五个时段：</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1.高峰时段：每日10:00-13:00；17:00-22:00；</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2.平段：每日7:00-10:00；13:00-17:00；22:00-23:00；</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3.低谷时段：每日23:00-次日7:00；</w:t>
      </w:r>
    </w:p>
    <w:p>
      <w:pPr>
        <w:spacing w:line="600" w:lineRule="exact"/>
        <w:ind w:firstLine="640" w:firstLineChars="200"/>
        <w:rPr>
          <w:rFonts w:hint="eastAsia" w:ascii="仿宋_GB2312" w:hAnsi="仿宋_GB2312" w:cs="仿宋_GB2312"/>
        </w:rPr>
      </w:pPr>
      <w:r>
        <w:rPr>
          <w:rStyle w:val="113"/>
          <w:rFonts w:hint="eastAsia" w:ascii="仿宋_GB2312" w:hAnsi="仿宋_GB2312" w:cs="仿宋_GB2312"/>
          <w:color w:val="000000"/>
        </w:rPr>
        <w:t>4.夏季尖峰时段：7月-8月每日11：00-13:00、16:00-17:00；</w:t>
      </w:r>
    </w:p>
    <w:p>
      <w:p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5.冬季尖峰时段：1月、12月每日18:00-21:00。</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（二）交易价格</w:t>
      </w:r>
    </w:p>
    <w:p>
      <w:pPr>
        <w:spacing w:line="600" w:lineRule="exact"/>
        <w:ind w:firstLine="640" w:firstLineChars="200"/>
        <w:rPr>
          <w:rFonts w:hint="eastAsia" w:ascii="仿宋_GB2312" w:hAnsi="仿宋_GB2312" w:cs="仿宋_GB2312"/>
        </w:rPr>
      </w:pPr>
      <w:r>
        <w:rPr>
          <w:rFonts w:hint="eastAsia" w:ascii="仿宋_GB2312" w:hAnsi="仿宋_GB2312" w:cs="仿宋_GB2312"/>
        </w:rPr>
        <w:t>批发用户的用电价格由上网电价、上网环节线损费用、输配电价、系统运行费用、政府性基金及附加构成；零售用户的用电价格由零售合同电能量价格、上网环节线损费用、输配电价、系统运行费用、政府性基金及附加等构成。其中：</w:t>
      </w:r>
    </w:p>
    <w:p>
      <w:pPr>
        <w:spacing w:line="600" w:lineRule="exact"/>
        <w:ind w:firstLine="640" w:firstLineChars="200"/>
        <w:rPr>
          <w:rFonts w:hint="eastAsia" w:ascii="仿宋_GB2312" w:hAnsi="仿宋_GB2312" w:cs="仿宋_GB2312"/>
        </w:rPr>
      </w:pPr>
      <w:r>
        <w:rPr>
          <w:rFonts w:hint="eastAsia" w:ascii="仿宋_GB2312" w:hAnsi="仿宋_GB2312" w:cs="仿宋_GB2312"/>
        </w:rPr>
        <w:t>上网电价由市场化交易形成，零售合同电能量价格由售电公司与零售用户签订零售套餐约定。上网环节线损费用、系统运行费用由电网企业按照国家及北京市要求核算并公示，按月由全体工商业用户分摊或分享。</w:t>
      </w:r>
    </w:p>
    <w:p>
      <w:pPr>
        <w:spacing w:line="600" w:lineRule="exact"/>
        <w:ind w:firstLine="640" w:firstLineChars="200"/>
        <w:rPr>
          <w:rFonts w:hint="eastAsia" w:ascii="仿宋_GB2312" w:hAnsi="仿宋_GB2312" w:cs="仿宋_GB2312"/>
        </w:rPr>
      </w:pPr>
      <w:r>
        <w:rPr>
          <w:rFonts w:hint="eastAsia" w:ascii="仿宋_GB2312" w:hAnsi="仿宋_GB2312" w:cs="仿宋_GB2312"/>
        </w:rPr>
        <w:t>输配电价包括区域电网输配电价和北京电网输配电价。区域电网输配电价按照国家发展改革委《关于第三监管周期区域电网输电价格及有关事项的通知》（发改价格〔2023〕532号）执行。北京电网输配电价按照国家发展改革委《关于第三监管周期省级电网输配电价及有关事项的通知》（发改价格〔2023〕526号）、市发展改革委《关于北京电网第三监管周期输配电价等有关事项的通知》（京发改〔2023〕637号）执行。</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（三）分时电价</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发电企业直接报总量参与交易，交易价格执行单一报价，尖峰、峰段、平段、谷段各时段电价一致。批发用户、售电公司采用分时段报量、单一报价的模式，按照尖峰、峰段、平段、谷段分别报量，以总量参与交易。</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执行峰谷分时电价政策的用户，继续执行峰谷分时电价政策。具体按照市发展改革委《关于进一步完善本市分时电价机制等有关事项的通知》（京发改规〔2023〕11号）执行。如遇电价政策调整，按新政策执行。</w:t>
      </w:r>
    </w:p>
    <w:p>
      <w:pPr>
        <w:spacing w:line="600" w:lineRule="exact"/>
        <w:ind w:firstLine="640" w:firstLineChars="200"/>
        <w:rPr>
          <w:rFonts w:hint="eastAsia" w:ascii="仿宋_GB2312" w:hAnsi="仿宋_GB2312" w:cs="仿宋_GB2312"/>
          <w:color w:val="000000"/>
        </w:rPr>
      </w:pPr>
      <w:r>
        <w:rPr>
          <w:rFonts w:hint="eastAsia" w:ascii="仿宋_GB2312" w:hAnsi="仿宋_GB2312" w:cs="仿宋_GB2312"/>
        </w:rPr>
        <w:t>批发用户通过市场化交易形成的上网电价（含区域电网度电输电费用及网损折价）作为平段价格，以此为基准参与峰谷浮动；零售用户按照零售合同电能量价格作为平段价格，以此为基准参与峰谷浮动。上网环节线损费用、北京电网输配电价、系统运行费用和政府性基金及附加不执行峰谷分时电价。</w:t>
      </w:r>
      <w:r>
        <w:rPr>
          <w:rFonts w:hint="eastAsia" w:ascii="仿宋_GB2312" w:hAnsi="仿宋_GB2312" w:cs="仿宋_GB2312"/>
          <w:color w:val="000000"/>
        </w:rPr>
        <w:t>如遇电价政策调整，按照新政策执行。</w:t>
      </w:r>
    </w:p>
    <w:p>
      <w:pPr>
        <w:spacing w:line="600" w:lineRule="exact"/>
        <w:ind w:firstLine="640" w:firstLineChars="200"/>
        <w:rPr>
          <w:rFonts w:hint="eastAsia" w:ascii="黑体" w:hAnsi="黑体" w:eastAsia="黑体" w:cs="黑体"/>
        </w:rPr>
      </w:pPr>
      <w:r>
        <w:rPr>
          <w:rFonts w:hint="eastAsia" w:ascii="黑体" w:hAnsi="黑体" w:eastAsia="黑体" w:cs="黑体"/>
        </w:rPr>
        <w:t>五、结算方式</w:t>
      </w:r>
    </w:p>
    <w:p>
      <w:pPr>
        <w:pStyle w:val="111"/>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2025年北京地区电力市场化交易结算方式按照华北能源监管局现行政策文件执行。电网企业代理购电产生的偏差电量，按</w:t>
      </w:r>
      <w:r>
        <w:rPr>
          <w:rFonts w:hint="eastAsia" w:ascii="仿宋_GB2312" w:hAnsi="仿宋_GB2312" w:eastAsia="仿宋_GB2312" w:cs="仿宋_GB2312"/>
          <w:snapToGrid w:val="0"/>
          <w:spacing w:val="-6"/>
          <w:kern w:val="32"/>
          <w:sz w:val="32"/>
          <w:szCs w:val="32"/>
        </w:rPr>
        <w:t>国家、北京市相关文件规定执行。如遇政策调整，按照新政策执行。</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（一）偏差结算</w:t>
      </w:r>
    </w:p>
    <w:p>
      <w:pPr>
        <w:pStyle w:val="111"/>
        <w:spacing w:line="600" w:lineRule="exact"/>
        <w:ind w:firstLine="640"/>
        <w:rPr>
          <w:rFonts w:hint="eastAsia" w:ascii="仿宋_GB2312" w:hAnsi="仿宋_GB2312" w:eastAsia="仿宋_GB2312" w:cs="仿宋_GB2312"/>
          <w:snapToGrid w:val="0"/>
          <w:kern w:val="32"/>
          <w:sz w:val="32"/>
          <w:szCs w:val="32"/>
        </w:rPr>
      </w:pPr>
      <w:bookmarkStart w:id="0" w:name="_Hlk181890656"/>
      <w:r>
        <w:rPr>
          <w:rFonts w:hint="eastAsia" w:ascii="仿宋_GB2312" w:hAnsi="仿宋_GB2312" w:eastAsia="仿宋_GB2312" w:cs="仿宋_GB2312"/>
          <w:snapToGrid w:val="0"/>
          <w:kern w:val="32"/>
          <w:sz w:val="32"/>
          <w:szCs w:val="32"/>
        </w:rPr>
        <w:t>批发用户</w:t>
      </w:r>
      <w:bookmarkEnd w:id="0"/>
      <w:r>
        <w:rPr>
          <w:rFonts w:hint="eastAsia" w:ascii="仿宋_GB2312" w:hAnsi="仿宋_GB2312" w:eastAsia="仿宋_GB2312" w:cs="仿宋_GB2312"/>
          <w:snapToGrid w:val="0"/>
          <w:kern w:val="32"/>
          <w:sz w:val="32"/>
          <w:szCs w:val="32"/>
        </w:rPr>
        <w:t>、售电公司</w:t>
      </w:r>
      <w:r>
        <w:rPr>
          <w:rFonts w:hint="eastAsia" w:ascii="仿宋_GB2312" w:hAnsi="仿宋_GB2312" w:eastAsia="仿宋_GB2312" w:cs="仿宋_GB2312"/>
          <w:kern w:val="32"/>
          <w:sz w:val="32"/>
          <w:szCs w:val="32"/>
        </w:rPr>
        <w:t>实际用电量与各类交易合同（购售合同）总电量的差值部分为偏差电量，偏差电量与各类交易合同（购售合同）总电量的比值为偏差率，即K。</w:t>
      </w:r>
      <w:r>
        <w:rPr>
          <w:rFonts w:hint="eastAsia" w:ascii="仿宋_GB2312" w:hAnsi="仿宋_GB2312" w:eastAsia="仿宋_GB2312" w:cs="仿宋_GB2312"/>
          <w:snapToGrid w:val="0"/>
          <w:kern w:val="32"/>
          <w:sz w:val="32"/>
          <w:szCs w:val="32"/>
        </w:rPr>
        <w:t>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kern w:val="32"/>
          <w:sz w:val="32"/>
          <w:szCs w:val="32"/>
        </w:rPr>
        <w:t>、</w:t>
      </w:r>
      <w:r>
        <w:rPr>
          <w:rFonts w:hint="eastAsia" w:ascii="仿宋_GB2312" w:hAnsi="仿宋_GB2312" w:eastAsia="仿宋_GB2312" w:cs="仿宋_GB2312"/>
          <w:snapToGrid w:val="0"/>
          <w:kern w:val="32"/>
          <w:sz w:val="32"/>
          <w:szCs w:val="32"/>
        </w:rPr>
        <w:t>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kern w:val="32"/>
          <w:sz w:val="32"/>
          <w:szCs w:val="32"/>
        </w:rPr>
        <w:t>为调节系数。</w:t>
      </w:r>
    </w:p>
    <w:p>
      <w:pPr>
        <w:pStyle w:val="111"/>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2025年偏差结算按照阶梯方式执行，具体如下：</w:t>
      </w:r>
    </w:p>
    <w:p>
      <w:pPr>
        <w:pStyle w:val="111"/>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∈[-5%,5%]时,U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=1;</w:t>
      </w:r>
    </w:p>
    <w:p>
      <w:pPr>
        <w:pStyle w:val="111"/>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∈[-15%,-5%）∪（5%,15%]时,U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=1.1,U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=0.9;</w:t>
      </w:r>
    </w:p>
    <w:p>
      <w:pPr>
        <w:pStyle w:val="111"/>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∈[-40%,-15%）∪（15%,40%]时,U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=1.15,U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=0.85;</w:t>
      </w:r>
    </w:p>
    <w:p>
      <w:pPr>
        <w:pStyle w:val="111"/>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∈[-100%,-40%）∪（40%,+∞）时,U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=1.2,U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=0.8。</w:t>
      </w:r>
    </w:p>
    <w:p>
      <w:pPr>
        <w:spacing w:line="600" w:lineRule="exact"/>
        <w:ind w:firstLine="640" w:firstLineChars="200"/>
        <w:rPr>
          <w:rFonts w:hint="eastAsia" w:ascii="仿宋_GB2312" w:hAnsi="仿宋_GB2312" w:cs="仿宋_GB2312"/>
        </w:rPr>
      </w:pPr>
      <w:r>
        <w:rPr>
          <w:rFonts w:hint="eastAsia" w:ascii="仿宋_GB2312" w:hAnsi="仿宋_GB2312" w:cs="仿宋_GB2312"/>
        </w:rPr>
        <w:t>后期根据北京市场运行情况，适时调整调节系数并向经营主体发布。电网企业代理购电产生的偏差电量，按照京津唐电网月度竞价出清价格结算。</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（二）偏差资金</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2025年，</w:t>
      </w:r>
      <w:bookmarkStart w:id="1" w:name="_Hlk181905563"/>
      <w:r>
        <w:rPr>
          <w:rFonts w:hint="eastAsia" w:ascii="仿宋_GB2312" w:hAnsi="仿宋_GB2312" w:cs="仿宋_GB2312"/>
        </w:rPr>
        <w:t>批发用户、售电公司</w:t>
      </w:r>
      <w:bookmarkEnd w:id="1"/>
      <w:r>
        <w:rPr>
          <w:rFonts w:hint="eastAsia" w:ascii="仿宋_GB2312" w:hAnsi="仿宋_GB2312" w:cs="仿宋_GB2312"/>
        </w:rPr>
        <w:t>因合同偏差电量结算引起的偏差资金，原则上在北京地区批发用户、售电公司范围内分摊。具体分摊原则如下：</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1.资金分摊原则</w:t>
      </w:r>
    </w:p>
    <w:p>
      <w:pPr>
        <w:spacing w:line="600" w:lineRule="exact"/>
        <w:ind w:firstLine="640" w:firstLineChars="200"/>
        <w:rPr>
          <w:rFonts w:hint="eastAsia" w:ascii="仿宋_GB2312" w:hAnsi="仿宋_GB2312" w:cs="仿宋_GB2312"/>
        </w:rPr>
      </w:pPr>
      <w:r>
        <w:rPr>
          <w:rFonts w:hint="eastAsia" w:ascii="仿宋_GB2312" w:hAnsi="仿宋_GB2312" w:cs="仿宋_GB2312"/>
        </w:rPr>
        <w:t>综合考虑偏差电量、偏差率两个维度，按照“谁产生谁分摊、鼓励控制偏差”的原则对偏差结算差额资金进行分摊。各月偏差结算差额资金总额及各经营主体分摊金额按照当月结算数据计算、按月结算。</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2.具体计算方法</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（1）偏差结算差额资金总额</w:t>
      </w:r>
    </w:p>
    <w:p>
      <w:pPr>
        <w:spacing w:line="600" w:lineRule="exact"/>
        <w:ind w:firstLine="640" w:firstLineChars="200"/>
        <w:rPr>
          <w:rFonts w:hint="eastAsia" w:ascii="仿宋_GB2312" w:hAnsi="仿宋_GB2312" w:cs="仿宋_GB2312"/>
        </w:rPr>
      </w:pPr>
      <w:r>
        <w:rPr>
          <w:rFonts w:hint="eastAsia" w:ascii="仿宋_GB2312" w:hAnsi="仿宋_GB2312" w:cs="仿宋_GB2312"/>
        </w:rPr>
        <w:t>偏差结算差额资金总额指当月批发用户、售电公司支出的电能量合同费用及偏差结算费用总和与北京电网向华北电网支付的直接交易电能量合同费用及偏差结算费用总和之差。</w:t>
      </w:r>
    </w:p>
    <w:p>
      <w:pPr>
        <w:spacing w:line="600" w:lineRule="exact"/>
        <w:ind w:firstLine="640" w:firstLineChars="200"/>
        <w:rPr>
          <w:rFonts w:hint="eastAsia" w:ascii="仿宋_GB2312" w:hAnsi="仿宋_GB2312" w:cs="仿宋_GB2312"/>
        </w:rPr>
      </w:pPr>
      <w:r>
        <w:rPr>
          <w:rFonts w:hint="eastAsia" w:ascii="仿宋_GB2312" w:hAnsi="仿宋_GB2312" w:cs="仿宋_GB2312"/>
        </w:rPr>
        <w:t>各月偏差结算差额资金总额的计算方式为：</w:t>
      </w:r>
    </w:p>
    <w:p>
      <w:pPr>
        <w:spacing w:line="600" w:lineRule="exact"/>
        <w:ind w:firstLine="640" w:firstLineChars="200"/>
        <w:rPr>
          <w:rFonts w:hint="eastAsia" w:ascii="仿宋_GB2312" w:hAnsi="仿宋_GB2312" w:cs="仿宋_GB2312"/>
        </w:rPr>
      </w:pPr>
      <w:r>
        <w:rPr>
          <w:rFonts w:hint="eastAsia" w:ascii="仿宋_GB2312" w:hAnsi="仿宋_GB2312" w:cs="仿宋_GB2312"/>
        </w:rPr>
        <w:t>M=M</w:t>
      </w:r>
      <w:r>
        <w:rPr>
          <w:rFonts w:hint="eastAsia" w:ascii="仿宋_GB2312" w:hAnsi="仿宋_GB2312" w:cs="仿宋_GB2312"/>
          <w:vertAlign w:val="subscript"/>
        </w:rPr>
        <w:t>用户</w:t>
      </w:r>
      <w:r>
        <w:rPr>
          <w:rFonts w:hint="eastAsia" w:ascii="仿宋_GB2312" w:hAnsi="仿宋_GB2312" w:cs="仿宋_GB2312"/>
        </w:rPr>
        <w:t>-M</w:t>
      </w:r>
      <w:r>
        <w:rPr>
          <w:rFonts w:hint="eastAsia" w:ascii="仿宋_GB2312" w:hAnsi="仿宋_GB2312" w:cs="仿宋_GB2312"/>
          <w:vertAlign w:val="subscript"/>
        </w:rPr>
        <w:t>电网</w:t>
      </w:r>
      <w:r>
        <w:rPr>
          <w:rFonts w:hint="eastAsia" w:ascii="仿宋_GB2312" w:hAnsi="仿宋_GB2312" w:cs="仿宋_GB2312"/>
        </w:rPr>
        <w:t>；</w:t>
      </w:r>
    </w:p>
    <w:p>
      <w:pPr>
        <w:spacing w:line="600" w:lineRule="exact"/>
        <w:ind w:firstLine="640" w:firstLineChars="200"/>
        <w:rPr>
          <w:rFonts w:hint="eastAsia" w:ascii="仿宋_GB2312" w:hAnsi="仿宋_GB2312" w:cs="仿宋_GB2312"/>
        </w:rPr>
      </w:pPr>
      <w:r>
        <w:rPr>
          <w:rFonts w:hint="eastAsia" w:ascii="仿宋_GB2312" w:hAnsi="仿宋_GB2312" w:cs="仿宋_GB2312"/>
        </w:rPr>
        <w:t>M为当月偏差结算差额资金总额；</w:t>
      </w:r>
    </w:p>
    <w:p>
      <w:pPr>
        <w:spacing w:line="600" w:lineRule="exact"/>
        <w:ind w:firstLine="640" w:firstLineChars="200"/>
        <w:rPr>
          <w:rFonts w:hint="eastAsia" w:ascii="仿宋_GB2312" w:hAnsi="仿宋_GB2312" w:cs="仿宋_GB2312"/>
          <w:lang w:eastAsia="zh-CN"/>
        </w:rPr>
      </w:pPr>
      <w:r>
        <w:rPr>
          <w:rFonts w:hint="eastAsia" w:ascii="仿宋_GB2312" w:hAnsi="仿宋_GB2312" w:cs="仿宋_GB2312"/>
        </w:rPr>
        <w:t>M</w:t>
      </w:r>
      <w:r>
        <w:rPr>
          <w:rFonts w:hint="eastAsia" w:ascii="仿宋_GB2312" w:hAnsi="仿宋_GB2312" w:cs="仿宋_GB2312"/>
          <w:vertAlign w:val="subscript"/>
        </w:rPr>
        <w:t>用户</w:t>
      </w:r>
      <w:r>
        <w:rPr>
          <w:rFonts w:hint="eastAsia" w:ascii="仿宋_GB2312" w:hAnsi="仿宋_GB2312" w:cs="仿宋_GB2312"/>
        </w:rPr>
        <w:t>为当月批发用户、售电公司支出的电能量合同费用及偏差结算费用总和</w:t>
      </w:r>
      <w:r>
        <w:rPr>
          <w:rFonts w:hint="eastAsia" w:ascii="仿宋_GB2312" w:hAnsi="仿宋_GB2312" w:cs="仿宋_GB2312"/>
          <w:lang w:eastAsia="zh-CN"/>
        </w:rPr>
        <w:t>；</w:t>
      </w:r>
    </w:p>
    <w:p>
      <w:pPr>
        <w:spacing w:line="600" w:lineRule="exact"/>
        <w:ind w:firstLine="640" w:firstLineChars="200"/>
        <w:rPr>
          <w:rFonts w:hint="eastAsia" w:ascii="仿宋_GB2312" w:hAnsi="仿宋_GB2312" w:cs="仿宋_GB2312"/>
        </w:rPr>
      </w:pPr>
      <w:r>
        <w:rPr>
          <w:rFonts w:hint="eastAsia" w:ascii="仿宋_GB2312" w:hAnsi="仿宋_GB2312" w:cs="仿宋_GB2312"/>
        </w:rPr>
        <w:t>M</w:t>
      </w:r>
      <w:r>
        <w:rPr>
          <w:rFonts w:hint="eastAsia" w:ascii="仿宋_GB2312" w:hAnsi="仿宋_GB2312" w:cs="仿宋_GB2312"/>
          <w:vertAlign w:val="subscript"/>
        </w:rPr>
        <w:t>电网</w:t>
      </w:r>
      <w:r>
        <w:rPr>
          <w:rFonts w:hint="eastAsia" w:ascii="仿宋_GB2312" w:hAnsi="仿宋_GB2312" w:cs="仿宋_GB2312"/>
        </w:rPr>
        <w:t>为北京电网向华北电网支付的直接交易电能量合同费用及偏差结算费用总和。</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（2）分摊基数</w:t>
      </w:r>
      <w:bookmarkStart w:id="4" w:name="_GoBack"/>
      <w:bookmarkEnd w:id="4"/>
    </w:p>
    <w:p>
      <w:pPr>
        <w:spacing w:line="600" w:lineRule="exact"/>
        <w:ind w:firstLine="640" w:firstLineChars="200"/>
        <w:rPr>
          <w:rFonts w:hint="eastAsia" w:ascii="仿宋_GB2312" w:hAnsi="仿宋_GB2312" w:cs="仿宋_GB2312"/>
        </w:rPr>
      </w:pPr>
      <w:r>
        <w:rPr>
          <w:rFonts w:hint="eastAsia" w:ascii="仿宋_GB2312" w:hAnsi="仿宋_GB2312" w:cs="仿宋_GB2312"/>
        </w:rPr>
        <w:t>按照资金分摊原则，根据经营主体的偏差电量和偏差率设定偏差结算差额资金分摊基数，作为各经营主体分摊资金数量的计算条件，计算方法为：</w:t>
      </w:r>
    </w:p>
    <w:p>
      <w:pPr>
        <w:spacing w:line="600" w:lineRule="exact"/>
        <w:ind w:firstLine="640" w:firstLineChars="200"/>
        <w:rPr>
          <w:rFonts w:hint="eastAsia" w:ascii="仿宋_GB2312" w:hAnsi="仿宋_GB2312" w:cs="仿宋_GB2312"/>
        </w:rPr>
      </w:pPr>
      <w:r>
        <w:rPr>
          <w:rFonts w:hint="eastAsia" w:ascii="仿宋_GB2312" w:hAnsi="仿宋_GB2312" w:cs="仿宋_GB2312"/>
        </w:rPr>
        <w:t>当月差额资金总额为正时，F</w:t>
      </w:r>
      <w:r>
        <w:rPr>
          <w:rFonts w:hint="eastAsia" w:ascii="仿宋_GB2312" w:hAnsi="仿宋_GB2312" w:cs="仿宋_GB2312"/>
          <w:vertAlign w:val="subscript"/>
        </w:rPr>
        <w:t>i</w:t>
      </w:r>
      <w:r>
        <w:rPr>
          <w:rFonts w:hint="eastAsia" w:ascii="仿宋_GB2312" w:hAnsi="仿宋_GB2312" w:cs="仿宋_GB2312"/>
        </w:rPr>
        <w:t>=Q</w:t>
      </w:r>
      <w:r>
        <w:rPr>
          <w:rFonts w:hint="eastAsia" w:ascii="仿宋_GB2312" w:hAnsi="仿宋_GB2312" w:cs="仿宋_GB2312"/>
          <w:vertAlign w:val="subscript"/>
        </w:rPr>
        <w:t>i</w:t>
      </w:r>
      <w:r>
        <w:rPr>
          <w:rFonts w:hint="eastAsia" w:ascii="仿宋_GB2312" w:hAnsi="仿宋_GB2312" w:cs="仿宋_GB2312"/>
        </w:rPr>
        <w:t>×（1-X</w:t>
      </w:r>
      <w:r>
        <w:rPr>
          <w:rFonts w:hint="eastAsia" w:ascii="仿宋_GB2312" w:hAnsi="仿宋_GB2312" w:cs="仿宋_GB2312"/>
          <w:vertAlign w:val="subscript"/>
        </w:rPr>
        <w:t>i</w:t>
      </w:r>
      <w:r>
        <w:rPr>
          <w:rFonts w:hint="eastAsia" w:ascii="仿宋_GB2312" w:hAnsi="仿宋_GB2312" w:cs="仿宋_GB2312"/>
        </w:rPr>
        <w:t>）</w:t>
      </w:r>
      <w:r>
        <w:rPr>
          <w:rFonts w:hint="eastAsia" w:ascii="仿宋_GB2312" w:hAnsi="仿宋_GB2312" w:cs="仿宋_GB2312"/>
          <w:vertAlign w:val="superscript"/>
        </w:rPr>
        <w:t>2</w:t>
      </w:r>
      <w:r>
        <w:rPr>
          <w:rFonts w:hint="eastAsia" w:ascii="仿宋_GB2312" w:hAnsi="仿宋_GB2312" w:cs="仿宋_GB2312"/>
        </w:rPr>
        <w:t>；</w:t>
      </w:r>
    </w:p>
    <w:p>
      <w:pPr>
        <w:spacing w:line="600" w:lineRule="exact"/>
        <w:ind w:firstLine="640" w:firstLineChars="200"/>
        <w:rPr>
          <w:rFonts w:hint="eastAsia" w:ascii="仿宋_GB2312" w:hAnsi="仿宋_GB2312" w:cs="仿宋_GB2312"/>
          <w:position w:val="-12"/>
        </w:rPr>
      </w:pPr>
      <w:r>
        <w:rPr>
          <w:rFonts w:hint="eastAsia" w:ascii="仿宋_GB2312" w:hAnsi="仿宋_GB2312" w:cs="仿宋_GB2312"/>
        </w:rPr>
        <w:t>当月差额资金总额为负时，F</w:t>
      </w:r>
      <w:r>
        <w:rPr>
          <w:rFonts w:hint="eastAsia" w:ascii="仿宋_GB2312" w:hAnsi="仿宋_GB2312" w:cs="仿宋_GB2312"/>
          <w:vertAlign w:val="subscript"/>
        </w:rPr>
        <w:t>i</w:t>
      </w:r>
      <w:r>
        <w:rPr>
          <w:rFonts w:hint="eastAsia" w:ascii="仿宋_GB2312" w:hAnsi="仿宋_GB2312" w:cs="仿宋_GB2312"/>
        </w:rPr>
        <w:t>=Q</w:t>
      </w:r>
      <w:r>
        <w:rPr>
          <w:rFonts w:hint="eastAsia" w:ascii="仿宋_GB2312" w:hAnsi="仿宋_GB2312" w:cs="仿宋_GB2312"/>
          <w:vertAlign w:val="subscript"/>
        </w:rPr>
        <w:t>i</w:t>
      </w:r>
      <w:r>
        <w:rPr>
          <w:rFonts w:hint="eastAsia" w:ascii="仿宋_GB2312" w:hAnsi="仿宋_GB2312" w:cs="仿宋_GB2312"/>
        </w:rPr>
        <w:t>×X</w:t>
      </w:r>
      <w:r>
        <w:rPr>
          <w:rFonts w:hint="eastAsia" w:ascii="仿宋_GB2312" w:hAnsi="仿宋_GB2312" w:cs="仿宋_GB2312"/>
          <w:vertAlign w:val="subscript"/>
        </w:rPr>
        <w:t>i</w:t>
      </w:r>
      <w:r>
        <w:rPr>
          <w:rFonts w:hint="eastAsia" w:ascii="仿宋_GB2312" w:hAnsi="仿宋_GB2312" w:cs="仿宋_GB2312"/>
          <w:vertAlign w:val="superscript"/>
        </w:rPr>
        <w:t>2</w:t>
      </w:r>
      <w:r>
        <w:rPr>
          <w:rFonts w:hint="eastAsia" w:ascii="仿宋_GB2312" w:hAnsi="仿宋_GB2312" w:cs="仿宋_GB2312"/>
        </w:rPr>
        <w:t>；</w:t>
      </w:r>
    </w:p>
    <w:p>
      <w:pPr>
        <w:spacing w:line="600" w:lineRule="exact"/>
        <w:ind w:firstLine="616" w:firstLineChars="200"/>
        <w:rPr>
          <w:rFonts w:hint="eastAsia" w:ascii="仿宋_GB2312" w:hAnsi="仿宋_GB2312" w:cs="仿宋_GB2312"/>
          <w:spacing w:val="-6"/>
        </w:rPr>
      </w:pPr>
      <w:r>
        <w:rPr>
          <w:rFonts w:hint="eastAsia" w:ascii="仿宋_GB2312" w:hAnsi="仿宋_GB2312" w:cs="仿宋_GB2312"/>
          <w:spacing w:val="-6"/>
        </w:rPr>
        <w:t>F</w:t>
      </w:r>
      <w:r>
        <w:rPr>
          <w:rFonts w:hint="eastAsia" w:ascii="仿宋_GB2312" w:hAnsi="仿宋_GB2312" w:cs="仿宋_GB2312"/>
          <w:spacing w:val="-6"/>
          <w:vertAlign w:val="subscript"/>
        </w:rPr>
        <w:t>i</w:t>
      </w:r>
      <w:r>
        <w:rPr>
          <w:rFonts w:hint="eastAsia" w:ascii="仿宋_GB2312" w:hAnsi="仿宋_GB2312" w:cs="仿宋_GB2312"/>
          <w:spacing w:val="-6"/>
        </w:rPr>
        <w:t>为第i个批发交易用户当月的偏差结算差额资金分摊基数；</w:t>
      </w:r>
    </w:p>
    <w:p>
      <w:pPr>
        <w:spacing w:line="600" w:lineRule="exact"/>
        <w:ind w:firstLine="640" w:firstLineChars="200"/>
        <w:rPr>
          <w:rFonts w:hint="eastAsia" w:ascii="仿宋_GB2312" w:hAnsi="仿宋_GB2312" w:cs="仿宋_GB2312"/>
        </w:rPr>
      </w:pPr>
      <w:r>
        <w:rPr>
          <w:rFonts w:hint="eastAsia" w:ascii="仿宋_GB2312" w:hAnsi="仿宋_GB2312" w:cs="仿宋_GB2312"/>
        </w:rPr>
        <w:t>Q</w:t>
      </w:r>
      <w:r>
        <w:rPr>
          <w:rFonts w:hint="eastAsia" w:ascii="仿宋_GB2312" w:hAnsi="仿宋_GB2312" w:cs="仿宋_GB2312"/>
          <w:vertAlign w:val="subscript"/>
        </w:rPr>
        <w:t>i</w:t>
      </w:r>
      <w:r>
        <w:rPr>
          <w:rFonts w:hint="eastAsia" w:ascii="仿宋_GB2312" w:hAnsi="仿宋_GB2312" w:cs="仿宋_GB2312"/>
        </w:rPr>
        <w:t>为第i个批发交易用户当月的偏差电量绝对值；</w:t>
      </w:r>
    </w:p>
    <w:p>
      <w:pPr>
        <w:spacing w:line="600" w:lineRule="exact"/>
        <w:ind w:firstLine="640" w:firstLineChars="200"/>
        <w:rPr>
          <w:rFonts w:hint="eastAsia" w:ascii="仿宋_GB2312" w:hAnsi="仿宋_GB2312" w:cs="仿宋_GB2312"/>
        </w:rPr>
      </w:pPr>
      <w:r>
        <w:rPr>
          <w:rFonts w:hint="eastAsia" w:ascii="仿宋_GB2312" w:hAnsi="仿宋_GB2312" w:cs="仿宋_GB2312"/>
        </w:rPr>
        <w:t>X</w:t>
      </w:r>
      <w:r>
        <w:rPr>
          <w:rFonts w:hint="eastAsia" w:ascii="仿宋_GB2312" w:hAnsi="仿宋_GB2312" w:cs="仿宋_GB2312"/>
          <w:vertAlign w:val="subscript"/>
        </w:rPr>
        <w:t>i</w:t>
      </w:r>
      <w:r>
        <w:rPr>
          <w:rFonts w:hint="eastAsia" w:ascii="仿宋_GB2312" w:hAnsi="仿宋_GB2312" w:cs="仿宋_GB2312"/>
        </w:rPr>
        <w:t>为</w:t>
      </w:r>
      <w:bookmarkStart w:id="2" w:name="_Hlk134199808"/>
      <w:r>
        <w:rPr>
          <w:rFonts w:hint="eastAsia" w:ascii="仿宋_GB2312" w:hAnsi="仿宋_GB2312" w:cs="仿宋_GB2312"/>
        </w:rPr>
        <w:t>第i个</w:t>
      </w:r>
      <w:bookmarkStart w:id="3" w:name="_Hlk134199823"/>
      <w:r>
        <w:rPr>
          <w:rFonts w:hint="eastAsia" w:ascii="仿宋_GB2312" w:hAnsi="仿宋_GB2312" w:cs="仿宋_GB2312"/>
        </w:rPr>
        <w:t>批发交易用户</w:t>
      </w:r>
      <w:bookmarkEnd w:id="3"/>
      <w:r>
        <w:rPr>
          <w:rFonts w:hint="eastAsia" w:ascii="仿宋_GB2312" w:hAnsi="仿宋_GB2312" w:cs="仿宋_GB2312"/>
        </w:rPr>
        <w:t>当月的</w:t>
      </w:r>
      <w:bookmarkEnd w:id="2"/>
      <w:r>
        <w:rPr>
          <w:rFonts w:hint="eastAsia" w:ascii="仿宋_GB2312" w:hAnsi="仿宋_GB2312" w:cs="仿宋_GB2312"/>
        </w:rPr>
        <w:t>偏差率绝对值，即第i个批发交易用户当月的偏差电量与合同电量之比的绝对值，合同电量包括年度分月、月度、合同电量转让及绿色电力等各类批发市场合同的电量之和，X</w:t>
      </w:r>
      <w:r>
        <w:rPr>
          <w:rFonts w:hint="eastAsia" w:ascii="仿宋_GB2312" w:hAnsi="仿宋_GB2312" w:cs="仿宋_GB2312"/>
          <w:vertAlign w:val="subscript"/>
        </w:rPr>
        <w:t>i</w:t>
      </w:r>
      <w:r>
        <w:rPr>
          <w:rFonts w:hint="eastAsia" w:ascii="仿宋_GB2312" w:hAnsi="仿宋_GB2312" w:cs="仿宋_GB2312"/>
        </w:rPr>
        <w:t>大于等于1及合同电量为0时，X</w:t>
      </w:r>
      <w:r>
        <w:rPr>
          <w:rFonts w:hint="eastAsia" w:ascii="仿宋_GB2312" w:hAnsi="仿宋_GB2312" w:cs="仿宋_GB2312"/>
          <w:vertAlign w:val="subscript"/>
        </w:rPr>
        <w:t>i</w:t>
      </w:r>
      <w:r>
        <w:rPr>
          <w:rFonts w:hint="eastAsia" w:ascii="仿宋_GB2312" w:hAnsi="仿宋_GB2312" w:cs="仿宋_GB2312"/>
        </w:rPr>
        <w:t>取当月其他偏差率小于1的批发交易用户偏差率的最大值。</w:t>
      </w:r>
    </w:p>
    <w:p>
      <w:pPr>
        <w:spacing w:line="600" w:lineRule="exact"/>
        <w:ind w:firstLine="640" w:firstLineChars="200"/>
        <w:rPr>
          <w:rFonts w:hint="eastAsia" w:ascii="仿宋_GB2312" w:hAnsi="仿宋_GB2312" w:cs="仿宋_GB2312"/>
        </w:rPr>
      </w:pPr>
      <w:r>
        <w:rPr>
          <w:rFonts w:hint="eastAsia" w:ascii="仿宋_GB2312" w:hAnsi="仿宋_GB2312" w:cs="仿宋_GB2312"/>
        </w:rPr>
        <w:t>（3）分摊资金</w:t>
      </w:r>
    </w:p>
    <w:p>
      <w:pPr>
        <w:spacing w:line="600" w:lineRule="exact"/>
        <w:ind w:firstLine="640" w:firstLineChars="200"/>
        <w:rPr>
          <w:rFonts w:hint="eastAsia" w:ascii="仿宋_GB2312" w:hAnsi="仿宋_GB2312" w:cs="仿宋_GB2312"/>
        </w:rPr>
      </w:pPr>
      <w:r>
        <w:rPr>
          <w:rFonts w:hint="eastAsia" w:ascii="仿宋_GB2312" w:hAnsi="仿宋_GB2312" w:cs="仿宋_GB2312"/>
        </w:rPr>
        <w:t>各经营主体分摊的偏差结算差额资金等于当月分摊的偏差结算差额资金总额乘以其分摊基数占全部经营主体分摊基数之和的比例，计算方法为：</w:t>
      </w:r>
    </w:p>
    <w:p>
      <w:pPr>
        <w:spacing w:line="600" w:lineRule="exact"/>
        <w:ind w:firstLine="640" w:firstLineChars="200"/>
        <w:rPr>
          <w:rFonts w:hint="eastAsia" w:ascii="仿宋_GB2312" w:hAnsi="仿宋_GB2312" w:cs="仿宋_GB2312"/>
        </w:rPr>
      </w:pPr>
      <w:r>
        <w:rPr>
          <w:rFonts w:hint="eastAsia" w:ascii="仿宋_GB2312" w:hAnsi="仿宋_GB2312" w:cs="仿宋_GB2312"/>
        </w:rPr>
        <w:t>M</w:t>
      </w:r>
      <w:r>
        <w:rPr>
          <w:rFonts w:hint="eastAsia" w:ascii="仿宋_GB2312" w:hAnsi="仿宋_GB2312" w:cs="仿宋_GB2312"/>
          <w:vertAlign w:val="subscript"/>
        </w:rPr>
        <w:t>i</w:t>
      </w:r>
      <w:r>
        <w:rPr>
          <w:rFonts w:hint="eastAsia" w:ascii="仿宋_GB2312" w:hAnsi="仿宋_GB2312" w:cs="仿宋_GB2312"/>
        </w:rPr>
        <w:t>=M×F</w:t>
      </w:r>
      <w:r>
        <w:rPr>
          <w:rFonts w:hint="eastAsia" w:ascii="仿宋_GB2312" w:hAnsi="仿宋_GB2312" w:cs="仿宋_GB2312"/>
          <w:vertAlign w:val="subscript"/>
        </w:rPr>
        <w:t>i</w:t>
      </w:r>
      <w:r>
        <w:rPr>
          <w:rFonts w:hint="eastAsia" w:ascii="仿宋_GB2312" w:hAnsi="仿宋_GB2312" w:cs="仿宋_GB2312"/>
        </w:rPr>
        <w:t>/F；</w:t>
      </w:r>
    </w:p>
    <w:p>
      <w:pPr>
        <w:spacing w:line="600" w:lineRule="exact"/>
        <w:ind w:firstLine="640" w:firstLineChars="200"/>
        <w:rPr>
          <w:rFonts w:hint="eastAsia" w:ascii="仿宋_GB2312" w:hAnsi="仿宋_GB2312" w:cs="仿宋_GB2312"/>
          <w:position w:val="-10"/>
        </w:rPr>
      </w:pPr>
      <w:r>
        <w:rPr>
          <w:rFonts w:hint="eastAsia" w:ascii="仿宋_GB2312" w:hAnsi="仿宋_GB2312" w:cs="仿宋_GB2312"/>
        </w:rPr>
        <w:t>M</w:t>
      </w:r>
      <w:r>
        <w:rPr>
          <w:rFonts w:hint="eastAsia" w:ascii="仿宋_GB2312" w:hAnsi="仿宋_GB2312" w:cs="仿宋_GB2312"/>
          <w:vertAlign w:val="subscript"/>
        </w:rPr>
        <w:t>i</w:t>
      </w:r>
      <w:r>
        <w:rPr>
          <w:rFonts w:hint="eastAsia" w:ascii="仿宋_GB2312" w:hAnsi="仿宋_GB2312" w:cs="仿宋_GB2312"/>
        </w:rPr>
        <w:t>为第i个批发交易用户当月分摊的偏差结算差额资金；</w:t>
      </w:r>
    </w:p>
    <w:p>
      <w:pPr>
        <w:spacing w:line="600" w:lineRule="exact"/>
        <w:ind w:firstLine="640" w:firstLineChars="200"/>
        <w:rPr>
          <w:rFonts w:hint="eastAsia" w:ascii="仿宋_GB2312" w:hAnsi="仿宋_GB2312" w:cs="仿宋_GB2312"/>
        </w:rPr>
      </w:pPr>
      <w:r>
        <w:rPr>
          <w:rFonts w:hint="eastAsia" w:ascii="仿宋_GB2312" w:hAnsi="仿宋_GB2312" w:cs="仿宋_GB2312"/>
        </w:rPr>
        <w:t>M为当月分摊的偏差结算差额资金总额；</w:t>
      </w:r>
    </w:p>
    <w:p>
      <w:pPr>
        <w:spacing w:line="600" w:lineRule="exact"/>
        <w:ind w:firstLine="655" w:firstLineChars="220"/>
        <w:rPr>
          <w:rFonts w:hint="eastAsia" w:ascii="仿宋_GB2312" w:hAnsi="仿宋_GB2312" w:cs="仿宋_GB2312"/>
          <w:spacing w:val="-11"/>
        </w:rPr>
      </w:pPr>
      <w:r>
        <w:rPr>
          <w:rFonts w:hint="eastAsia" w:ascii="仿宋_GB2312" w:hAnsi="仿宋_GB2312" w:cs="仿宋_GB2312"/>
          <w:spacing w:val="-11"/>
        </w:rPr>
        <w:t>F为全部批发交易用户当月的偏差结算差额资金分摊基数之和。</w:t>
      </w:r>
    </w:p>
    <w:p>
      <w:pPr>
        <w:pStyle w:val="2"/>
        <w:snapToGrid w:val="0"/>
        <w:spacing w:after="0" w:line="600" w:lineRule="exact"/>
        <w:ind w:firstLine="640" w:firstLineChars="200"/>
        <w:rPr>
          <w:rFonts w:hint="eastAsia" w:ascii="仿宋_GB2312" w:hAnsi="仿宋_GB2312" w:cs="仿宋_GB2312"/>
        </w:rPr>
      </w:pPr>
      <w:r>
        <w:rPr>
          <w:rFonts w:hint="eastAsia" w:ascii="仿宋_GB2312" w:hAnsi="仿宋_GB2312" w:cs="仿宋_GB2312"/>
        </w:rPr>
        <w:t>后续根据市场运行情况，适时调整计算方法。</w:t>
      </w:r>
    </w:p>
    <w:p>
      <w:pPr>
        <w:snapToGrid w:val="0"/>
        <w:spacing w:line="600" w:lineRule="exact"/>
        <w:ind w:firstLine="640" w:firstLineChars="200"/>
        <w:rPr>
          <w:rFonts w:hint="eastAsia" w:ascii="楷体_GB2312" w:hAnsi="楷体_GB2312" w:eastAsia="楷体_GB2312" w:cs="楷体_GB2312"/>
        </w:rPr>
      </w:pPr>
      <w:r>
        <w:rPr>
          <w:rFonts w:hint="eastAsia" w:ascii="仿宋" w:hAnsi="仿宋" w:eastAsia="仿宋" w:cs="仿宋"/>
        </w:rPr>
        <w:t>当经营主体发生电费追退补时，不再对历史差额资金进行还原和分配，纳入追补月份差额资金总额进行统一分配。</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（三）偏差免责</w:t>
      </w:r>
    </w:p>
    <w:p>
      <w:pPr>
        <w:pStyle w:val="2"/>
        <w:spacing w:after="0" w:line="600" w:lineRule="exact"/>
        <w:ind w:firstLine="640" w:firstLineChars="200"/>
        <w:rPr>
          <w:rFonts w:hint="eastAsia" w:ascii="仿宋_GB2312" w:hAnsi="仿宋_GB2312" w:cs="仿宋_GB2312"/>
        </w:rPr>
      </w:pPr>
      <w:r>
        <w:rPr>
          <w:rFonts w:hint="eastAsia" w:ascii="仿宋_GB2312" w:hAnsi="仿宋_GB2312" w:cs="仿宋_GB2312"/>
        </w:rPr>
        <w:t>偏差免责申请及办理流程依据市城市管理委《关于北京市电力中长期交易偏差电量免责有关工作的通知》（京管发〔2023〕2号）执行。如遇政策调整，按照新政策执行。</w:t>
      </w:r>
    </w:p>
    <w:p>
      <w:pPr>
        <w:pStyle w:val="2"/>
        <w:spacing w:after="0" w:line="600" w:lineRule="exact"/>
        <w:ind w:firstLine="640" w:firstLineChars="200"/>
        <w:rPr>
          <w:rFonts w:hint="eastAsia" w:ascii="黑体" w:hAnsi="黑体" w:eastAsia="黑体" w:cs="黑体"/>
        </w:rPr>
      </w:pPr>
      <w:r>
        <w:rPr>
          <w:rFonts w:hint="eastAsia" w:ascii="黑体" w:hAnsi="黑体" w:eastAsia="黑体" w:cs="黑体"/>
        </w:rPr>
        <w:t>六、零售交易</w:t>
      </w:r>
    </w:p>
    <w:p>
      <w:pPr>
        <w:pStyle w:val="111"/>
        <w:spacing w:line="600" w:lineRule="exact"/>
        <w:ind w:firstLine="640"/>
        <w:rPr>
          <w:rFonts w:hint="eastAsia" w:ascii="楷体_GB2312" w:hAnsi="楷体_GB2312" w:eastAsia="楷体_GB2312" w:cs="楷体_GB2312"/>
          <w:snapToGrid w:val="0"/>
          <w:kern w:val="32"/>
          <w:sz w:val="32"/>
          <w:szCs w:val="32"/>
        </w:rPr>
      </w:pPr>
      <w:r>
        <w:rPr>
          <w:rFonts w:hint="eastAsia" w:ascii="楷体_GB2312" w:hAnsi="楷体_GB2312" w:eastAsia="楷体_GB2312" w:cs="楷体_GB2312"/>
          <w:snapToGrid w:val="0"/>
          <w:kern w:val="32"/>
          <w:sz w:val="32"/>
          <w:szCs w:val="32"/>
        </w:rPr>
        <w:t>（一）零售代理</w:t>
      </w:r>
    </w:p>
    <w:p>
      <w:pPr>
        <w:pStyle w:val="111"/>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零售用户与售电公司绑定代理关系、签订零售套餐，且电量均需通过该售电公司代理（与绿色电力交易代理关系保持一致），双方代理关系以在电力交易平台上生效的零售套餐为依据。零售用户变更代理关系最小周期为月。</w:t>
      </w:r>
    </w:p>
    <w:p>
      <w:pPr>
        <w:pStyle w:val="111"/>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2.合同期内如遇国家出台电价优惠政策，将特定行业纳入执行居民价格的非居民用户管理时，符合条件的零售用户可选择退市，不执行无理由退市惩罚电价，相应产生的偏差电量纳入偏差免责范围。</w:t>
      </w:r>
    </w:p>
    <w:p>
      <w:pPr>
        <w:pStyle w:val="111"/>
        <w:spacing w:line="600" w:lineRule="exact"/>
        <w:ind w:firstLine="640"/>
        <w:rPr>
          <w:rFonts w:hint="eastAsia" w:ascii="楷体_GB2312" w:hAnsi="楷体_GB2312" w:eastAsia="楷体_GB2312" w:cs="楷体_GB2312"/>
          <w:snapToGrid w:val="0"/>
          <w:kern w:val="32"/>
          <w:sz w:val="32"/>
          <w:szCs w:val="32"/>
        </w:rPr>
      </w:pPr>
      <w:r>
        <w:rPr>
          <w:rFonts w:hint="eastAsia" w:ascii="楷体_GB2312" w:hAnsi="楷体_GB2312" w:eastAsia="楷体_GB2312" w:cs="楷体_GB2312"/>
          <w:snapToGrid w:val="0"/>
          <w:kern w:val="32"/>
          <w:sz w:val="32"/>
          <w:szCs w:val="32"/>
        </w:rPr>
        <w:t>（二）零售价格</w:t>
      </w:r>
    </w:p>
    <w:p>
      <w:pPr>
        <w:spacing w:line="600" w:lineRule="exact"/>
        <w:ind w:firstLine="640" w:firstLineChars="200"/>
        <w:rPr>
          <w:rFonts w:hint="eastAsia" w:ascii="仿宋_GB2312" w:hAnsi="仿宋_GB2312" w:cs="仿宋_GB2312"/>
        </w:rPr>
      </w:pPr>
      <w:r>
        <w:rPr>
          <w:rFonts w:hint="eastAsia" w:ascii="仿宋_GB2312" w:hAnsi="仿宋_GB2312" w:cs="仿宋_GB2312"/>
        </w:rPr>
        <w:t>1.零售合同的电能量价格在“北京燃煤基准价±20%”范围内形成，零售用户与售电公司结算的电能量价格不包含煤电容量电价。</w:t>
      </w:r>
    </w:p>
    <w:p>
      <w:pPr>
        <w:spacing w:line="600" w:lineRule="exact"/>
        <w:ind w:firstLine="640" w:firstLineChars="200"/>
        <w:rPr>
          <w:rFonts w:hint="eastAsia" w:ascii="仿宋_GB2312" w:hAnsi="仿宋_GB2312" w:cs="仿宋_GB2312"/>
        </w:rPr>
      </w:pPr>
      <w:r>
        <w:rPr>
          <w:rFonts w:hint="eastAsia" w:ascii="仿宋_GB2312" w:hAnsi="仿宋_GB2312" w:cs="仿宋_GB2312"/>
        </w:rPr>
        <w:t>2.合同期内如遇国家电价政策调整影响零售交易时，售电公司和零售用户应通过签订补充协议或在合同中增加约束条款等形式落实国家要求。</w:t>
      </w:r>
    </w:p>
    <w:p>
      <w:pPr>
        <w:spacing w:line="60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（三）零售套餐</w:t>
      </w:r>
    </w:p>
    <w:p>
      <w:pPr>
        <w:spacing w:line="600" w:lineRule="exact"/>
        <w:ind w:firstLine="640" w:firstLineChars="200"/>
        <w:rPr>
          <w:rFonts w:hint="eastAsia" w:ascii="仿宋_GB2312" w:hAnsi="仿宋_GB2312" w:cs="仿宋_GB2312"/>
        </w:rPr>
      </w:pPr>
      <w:r>
        <w:rPr>
          <w:rFonts w:hint="eastAsia" w:ascii="仿宋_GB2312" w:hAnsi="仿宋_GB2312" w:cs="仿宋_GB2312"/>
        </w:rPr>
        <w:t>1.零售用户、售电公司签订零售市场购售电合同，分别约定绿色电力交易、非绿色电力交易零售套餐，可采用固定价格模式、联动价格模式、比例分成模式来约定零售合同价格，适时增加其他模式零售结算套餐。</w:t>
      </w:r>
    </w:p>
    <w:p>
      <w:pPr>
        <w:spacing w:line="600" w:lineRule="exact"/>
        <w:ind w:firstLine="640" w:firstLineChars="200"/>
        <w:rPr>
          <w:rFonts w:hint="eastAsia" w:ascii="仿宋_GB2312" w:hAnsi="仿宋_GB2312" w:cs="仿宋_GB2312"/>
        </w:rPr>
      </w:pPr>
      <w:r>
        <w:rPr>
          <w:rFonts w:hint="eastAsia" w:ascii="仿宋_GB2312" w:hAnsi="仿宋_GB2312" w:cs="仿宋_GB2312"/>
        </w:rPr>
        <w:t>2.绿电零售套餐应分别明确电能量价格和绿色电力环境价值。零售用户的绿色电力环境价值按对应绿电批发合同中绿色电力环境价值结算。双方根据需要可约定绿色电力环境价值补偿条款。</w:t>
      </w:r>
    </w:p>
    <w:p>
      <w:pPr>
        <w:spacing w:line="600" w:lineRule="exact"/>
        <w:ind w:firstLine="640" w:firstLineChars="200"/>
        <w:rPr>
          <w:rFonts w:hint="eastAsia" w:ascii="仿宋_GB2312" w:hAnsi="仿宋_GB2312" w:cs="仿宋_GB2312"/>
        </w:rPr>
      </w:pPr>
      <w:r>
        <w:rPr>
          <w:rFonts w:hint="eastAsia" w:ascii="仿宋_GB2312" w:hAnsi="仿宋_GB2312" w:cs="仿宋_GB2312"/>
        </w:rPr>
        <w:t>3.为抵御市场风险，保障购售双方利益，鼓励零售用户、售电公司约定零售价格上下限。</w:t>
      </w:r>
    </w:p>
    <w:p>
      <w:pPr>
        <w:spacing w:line="600" w:lineRule="exact"/>
        <w:ind w:firstLine="640" w:firstLineChars="200"/>
        <w:rPr>
          <w:rFonts w:hint="eastAsia" w:ascii="仿宋_GB2312" w:hAnsi="仿宋_GB2312" w:cs="仿宋_GB2312"/>
        </w:rPr>
      </w:pPr>
      <w:r>
        <w:rPr>
          <w:rFonts w:hint="eastAsia" w:ascii="仿宋_GB2312" w:hAnsi="仿宋_GB2312" w:cs="仿宋_GB2312"/>
        </w:rPr>
        <w:t>4.售电公司依据零售用户实际用电量结算零售收入，以平段电价方式计算零售收入，售电公司售电收益为售电公司零售市场收入减去批发市场支出，售电收益包含售电服务收益，售电服务费不再单列。</w:t>
      </w:r>
    </w:p>
    <w:p>
      <w:pPr>
        <w:pStyle w:val="111"/>
        <w:spacing w:line="600" w:lineRule="exact"/>
        <w:ind w:firstLine="640"/>
        <w:rPr>
          <w:rFonts w:hint="eastAsia" w:ascii="楷体_GB2312" w:hAnsi="楷体_GB2312" w:eastAsia="楷体_GB2312" w:cs="楷体_GB2312"/>
          <w:snapToGrid w:val="0"/>
          <w:kern w:val="32"/>
          <w:sz w:val="32"/>
          <w:szCs w:val="32"/>
        </w:rPr>
      </w:pPr>
      <w:r>
        <w:rPr>
          <w:rFonts w:hint="eastAsia" w:ascii="楷体_GB2312" w:hAnsi="楷体_GB2312" w:eastAsia="楷体_GB2312" w:cs="楷体_GB2312"/>
          <w:snapToGrid w:val="0"/>
          <w:kern w:val="32"/>
          <w:sz w:val="32"/>
          <w:szCs w:val="32"/>
        </w:rPr>
        <w:t>（三）偏差结算</w:t>
      </w:r>
    </w:p>
    <w:p>
      <w:pPr>
        <w:spacing w:line="600" w:lineRule="exact"/>
        <w:ind w:firstLine="640" w:firstLineChars="200"/>
        <w:rPr>
          <w:rFonts w:hint="eastAsia" w:ascii="仿宋_GB2312" w:hAnsi="仿宋_GB2312" w:cs="仿宋_GB2312"/>
        </w:rPr>
      </w:pPr>
      <w:r>
        <w:rPr>
          <w:rFonts w:hint="eastAsia" w:ascii="仿宋_GB2312" w:hAnsi="仿宋_GB2312" w:cs="仿宋_GB2312"/>
        </w:rPr>
        <w:t>1.售电公司与零售用户可协商确定偏差共担比例。零售用户偏差共担费用总额不超过售电公司批发市场偏差电量多支出的购电费用。零售用户的偏差共担费用，按用户偏差电量绝对值折价后纳入零售合同的电能量价格计算。</w:t>
      </w:r>
    </w:p>
    <w:p>
      <w:pPr>
        <w:spacing w:line="600" w:lineRule="exact"/>
        <w:ind w:firstLine="640" w:firstLineChars="200"/>
        <w:rPr>
          <w:rFonts w:hint="eastAsia" w:ascii="仿宋_GB2312" w:hAnsi="仿宋_GB2312" w:cs="仿宋_GB2312"/>
        </w:rPr>
      </w:pPr>
      <w:r>
        <w:rPr>
          <w:rFonts w:hint="eastAsia" w:ascii="仿宋_GB2312" w:hAnsi="仿宋_GB2312" w:cs="仿宋_GB2312"/>
        </w:rPr>
        <w:t>2.零售用户、售电公司每月可协商调整零售合同电量、结算关键参数。</w:t>
      </w:r>
    </w:p>
    <w:p>
      <w:pPr>
        <w:spacing w:line="600" w:lineRule="exact"/>
        <w:ind w:firstLine="640" w:firstLineChars="200"/>
        <w:rPr>
          <w:rFonts w:hint="eastAsia" w:ascii="黑体" w:hAnsi="黑体" w:eastAsia="黑体" w:cs="黑体"/>
        </w:rPr>
      </w:pPr>
      <w:r>
        <w:rPr>
          <w:rFonts w:hint="eastAsia" w:ascii="黑体" w:hAnsi="黑体" w:eastAsia="黑体" w:cs="黑体"/>
        </w:rPr>
        <w:t>七、信息披露</w:t>
      </w:r>
    </w:p>
    <w:p>
      <w:pPr>
        <w:spacing w:line="600" w:lineRule="exact"/>
        <w:ind w:firstLine="640" w:firstLineChars="200"/>
        <w:rPr>
          <w:rFonts w:hint="eastAsia" w:ascii="仿宋_GB2312" w:hAnsi="仿宋_GB2312" w:cs="仿宋_GB2312"/>
        </w:rPr>
      </w:pPr>
      <w:r>
        <w:rPr>
          <w:rFonts w:hint="eastAsia" w:ascii="仿宋_GB2312" w:hAnsi="仿宋_GB2312" w:cs="仿宋_GB2312"/>
        </w:rPr>
        <w:t>（一）鼓励售电公司在电力交易平台发布可签约标准套餐及可签约电量，每家售电公司发布的套餐不少于1种。</w:t>
      </w:r>
    </w:p>
    <w:p>
      <w:pPr>
        <w:spacing w:line="600" w:lineRule="exact"/>
        <w:ind w:firstLine="640" w:firstLineChars="200"/>
        <w:rPr>
          <w:rFonts w:hint="eastAsia" w:ascii="仿宋_GB2312" w:hAnsi="仿宋_GB2312" w:cs="仿宋_GB2312"/>
        </w:rPr>
      </w:pPr>
      <w:r>
        <w:rPr>
          <w:rFonts w:hint="eastAsia" w:ascii="仿宋_GB2312" w:hAnsi="仿宋_GB2312" w:cs="仿宋_GB2312"/>
        </w:rPr>
        <w:t>（二）售电公司、电力用户在参与市场交易前，应按照信息披露基本规则要求完成信息披露。首都电力交易中心向</w:t>
      </w:r>
      <w:r>
        <w:rPr>
          <w:rFonts w:hint="eastAsia"/>
        </w:rPr>
        <w:t>市城市管理委</w:t>
      </w:r>
      <w:r>
        <w:rPr>
          <w:rFonts w:hint="eastAsia" w:ascii="仿宋_GB2312" w:hAnsi="仿宋_GB2312" w:cs="仿宋_GB2312"/>
        </w:rPr>
        <w:t>报送披露情况。</w:t>
      </w:r>
    </w:p>
    <w:p>
      <w:pPr>
        <w:spacing w:line="600" w:lineRule="exact"/>
        <w:ind w:firstLine="640" w:firstLineChars="200"/>
        <w:rPr>
          <w:rFonts w:hint="eastAsia" w:ascii="仿宋_GB2312" w:hAnsi="仿宋_GB2312" w:cs="仿宋_GB2312"/>
        </w:rPr>
      </w:pPr>
      <w:r>
        <w:rPr>
          <w:rFonts w:hint="eastAsia" w:ascii="仿宋_GB2312" w:hAnsi="仿宋_GB2312" w:cs="仿宋_GB2312"/>
        </w:rPr>
        <w:t>（三）按照信息披露基本规则，首都电力交易中心按月披露市场结算总体情况及分类构成情况、零售市场结算均价分布情况等，便于零售用户查询使用。</w:t>
      </w:r>
    </w:p>
    <w:p>
      <w:pPr>
        <w:spacing w:line="600" w:lineRule="exact"/>
        <w:ind w:firstLine="640" w:firstLineChars="200"/>
        <w:rPr>
          <w:rFonts w:hint="eastAsia" w:ascii="仿宋_GB2312" w:hAnsi="仿宋_GB2312" w:cs="仿宋_GB2312"/>
        </w:rPr>
      </w:pPr>
      <w:r>
        <w:rPr>
          <w:rFonts w:hint="eastAsia" w:ascii="仿宋_GB2312" w:hAnsi="仿宋_GB2312" w:cs="仿宋_GB2312"/>
        </w:rPr>
        <w:t>（四）市场交易清分结果向经营主体公示时，如因公示期为节假日致使经营主体未及时确认，差错电量电费通过追退追补方式订正。</w:t>
      </w:r>
    </w:p>
    <w:p>
      <w:pPr>
        <w:spacing w:line="600" w:lineRule="exact"/>
        <w:ind w:firstLine="640" w:firstLineChars="200"/>
        <w:rPr>
          <w:rFonts w:hint="eastAsia" w:ascii="黑体" w:hAnsi="黑体" w:eastAsia="黑体" w:cs="黑体"/>
        </w:rPr>
      </w:pPr>
      <w:r>
        <w:rPr>
          <w:rFonts w:hint="eastAsia" w:ascii="黑体" w:hAnsi="黑体" w:eastAsia="黑体" w:cs="黑体"/>
        </w:rPr>
        <w:t>八、相关工作要求</w:t>
      </w:r>
    </w:p>
    <w:p>
      <w:pPr>
        <w:numPr>
          <w:ilvl w:val="0"/>
          <w:numId w:val="1"/>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电力用户在同一合同周期内仅可与一家售电公司确立零售服务关系。售电公司不能代理发电企业参加交易。</w:t>
      </w:r>
    </w:p>
    <w:p>
      <w:pPr>
        <w:numPr>
          <w:ilvl w:val="0"/>
          <w:numId w:val="1"/>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市场化电力用户（含售电公司、电网代理购电）2025年度中长期合同签约电量应不低于上一年度用电量的80%，并通过后续合同签订，保障电力中长期合同签约电量比例不低于90%。鼓励经营主体签订一年期以上的电力中长期合同。</w:t>
      </w:r>
    </w:p>
    <w:p>
      <w:pPr>
        <w:numPr>
          <w:ilvl w:val="0"/>
          <w:numId w:val="1"/>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参与北京市电力市场化交易的高耗能企业，按照国家有关政策文件执行。</w:t>
      </w:r>
    </w:p>
    <w:p>
      <w:pPr>
        <w:numPr>
          <w:ilvl w:val="0"/>
          <w:numId w:val="1"/>
        </w:numPr>
        <w:spacing w:line="600" w:lineRule="exact"/>
        <w:ind w:firstLine="640" w:firstLineChars="200"/>
        <w:rPr>
          <w:rStyle w:val="113"/>
          <w:rFonts w:hint="eastAsia"/>
          <w:color w:val="000000"/>
        </w:rPr>
      </w:pPr>
      <w:r>
        <w:rPr>
          <w:rStyle w:val="113"/>
          <w:rFonts w:hint="eastAsia" w:ascii="仿宋_GB2312" w:hAnsi="仿宋_GB2312" w:cs="仿宋_GB2312"/>
          <w:color w:val="000000"/>
        </w:rPr>
        <w:t>可再生能源电力消纳按照市发展改革委、市城市管理委《关于印发北京可再生能源电力消纳保障工作方案（试行）的通知》（京发改〔2021〕1524号）相关要求执行。2025年，北京市承担消纳责任的经营主体年度最低消纳责任权重预期性指标暂定为26.36%（非水25.14%），具体消纳责任权重以国家能源局正式发布的约束性指标为准。鼓励承担消纳责任的经营主体通过绿色电力交易、绿证交易等方式完成责任权重。</w:t>
      </w:r>
    </w:p>
    <w:p>
      <w:pPr>
        <w:numPr>
          <w:ilvl w:val="0"/>
          <w:numId w:val="1"/>
        </w:numPr>
        <w:spacing w:line="600" w:lineRule="exact"/>
        <w:ind w:firstLine="640" w:firstLineChars="200"/>
        <w:rPr>
          <w:rStyle w:val="113"/>
          <w:rFonts w:hint="eastAsia" w:ascii="仿宋_GB2312" w:hAnsi="仿宋_GB2312" w:cs="仿宋_GB2312"/>
          <w:color w:val="000000"/>
        </w:rPr>
      </w:pPr>
      <w:r>
        <w:rPr>
          <w:rStyle w:val="113"/>
          <w:rFonts w:hint="eastAsia" w:ascii="仿宋_GB2312" w:hAnsi="仿宋_GB2312" w:cs="仿宋_GB2312"/>
          <w:color w:val="000000"/>
        </w:rPr>
        <w:t>完成市场注册的售电公司，在规定时间内提交符合要求的履约保函或履约保险后，方可参与市场交易。履约保函或履约保险的开具、管理及执行等按照《北京市电力市场履约保障凭证管理工作指引（试行）》执行。</w:t>
      </w:r>
    </w:p>
    <w:p>
      <w:pPr>
        <w:numPr>
          <w:ilvl w:val="0"/>
          <w:numId w:val="1"/>
        </w:numPr>
        <w:spacing w:line="600" w:lineRule="exact"/>
        <w:ind w:firstLine="640" w:firstLineChars="200"/>
        <w:rPr>
          <w:rStyle w:val="113"/>
          <w:rFonts w:hint="eastAsia" w:ascii="仿宋_GB2312" w:hAnsi="宋体" w:cs="Times New Roman"/>
          <w:color w:val="000000"/>
        </w:rPr>
      </w:pPr>
      <w:r>
        <w:rPr>
          <w:rStyle w:val="113"/>
          <w:rFonts w:hint="eastAsia" w:ascii="仿宋_GB2312"/>
          <w:color w:val="000000"/>
        </w:rPr>
        <w:t>北京市电力零售市场购售电合同（2025年示范文本）</w:t>
      </w:r>
      <w:r>
        <w:rPr>
          <w:rStyle w:val="113"/>
          <w:rFonts w:hint="eastAsia" w:ascii="仿宋_GB2312"/>
          <w:color w:val="000000"/>
        </w:rPr>
        <w:t>、北京</w:t>
      </w:r>
      <w:r>
        <w:rPr>
          <w:rStyle w:val="113"/>
          <w:rFonts w:hint="eastAsia" w:ascii="仿宋_GB2312"/>
          <w:color w:val="000000"/>
        </w:rPr>
        <w:t>市</w:t>
      </w:r>
      <w:r>
        <w:rPr>
          <w:rStyle w:val="113"/>
          <w:rFonts w:hint="eastAsia" w:ascii="仿宋_GB2312"/>
          <w:color w:val="000000"/>
        </w:rPr>
        <w:t>市场化直接交易结算指引</w:t>
      </w:r>
      <w:r>
        <w:rPr>
          <w:rStyle w:val="113"/>
          <w:rFonts w:hint="eastAsia" w:ascii="仿宋_GB2312"/>
          <w:color w:val="000000"/>
        </w:rPr>
        <w:t>（2025年）</w:t>
      </w:r>
      <w:r>
        <w:rPr>
          <w:rStyle w:val="113"/>
          <w:rFonts w:hint="eastAsia" w:ascii="仿宋_GB2312"/>
          <w:color w:val="000000"/>
        </w:rPr>
        <w:t>由首都电力交易中心另行发布。</w:t>
      </w:r>
    </w:p>
    <w:p>
      <w:pPr>
        <w:numPr>
          <w:ilvl w:val="0"/>
          <w:numId w:val="1"/>
        </w:numPr>
        <w:spacing w:line="600" w:lineRule="exact"/>
        <w:ind w:firstLine="640" w:firstLineChars="200"/>
        <w:rPr>
          <w:rStyle w:val="113"/>
          <w:rFonts w:hint="eastAsia"/>
          <w:color w:val="000000"/>
        </w:rPr>
      </w:pPr>
      <w:r>
        <w:rPr>
          <w:rStyle w:val="113"/>
          <w:rFonts w:hint="eastAsia"/>
          <w:color w:val="000000"/>
        </w:rPr>
        <w:t>按照国家有关要求，严禁在收取电费中加收其他费用。物业公共部位、共用设施和配套设施的运行维护费用等，应通过物业费、租金或公共收益解决，严禁以电费为基数加收服务类费用。</w:t>
      </w:r>
    </w:p>
    <w:p>
      <w:pPr>
        <w:numPr>
          <w:ilvl w:val="0"/>
          <w:numId w:val="1"/>
        </w:numPr>
        <w:spacing w:line="600" w:lineRule="exact"/>
        <w:ind w:firstLine="640" w:firstLineChars="200"/>
        <w:rPr>
          <w:rStyle w:val="113"/>
          <w:rFonts w:hint="eastAsia"/>
          <w:color w:val="000000"/>
        </w:rPr>
      </w:pPr>
      <w:r>
        <w:rPr>
          <w:rStyle w:val="113"/>
          <w:rFonts w:hint="eastAsia"/>
          <w:color w:val="000000"/>
        </w:rPr>
        <w:t>电力用户因计量装置故障等原因产生电量差错，发生于当年账期的电量，按照交易合同、零售套餐等参数计算相关经营主体退补电费，涉及偏差共担费用调整的，在发生退补的经营主体间进行清算。发生于历年账期的电量，按照电力用户对应月份交易电能量结算价格计算，售电公司相关费用不再追溯</w:t>
      </w:r>
      <w:r>
        <w:rPr>
          <w:rStyle w:val="113"/>
          <w:rFonts w:hint="eastAsia" w:ascii="仿宋_GB2312" w:hAnsi="仿宋_GB2312" w:cs="仿宋_GB2312"/>
          <w:color w:val="000000"/>
        </w:rPr>
        <w:t>。</w:t>
      </w:r>
    </w:p>
    <w:p>
      <w:pPr>
        <w:numPr>
          <w:ilvl w:val="0"/>
          <w:numId w:val="1"/>
        </w:numPr>
        <w:spacing w:line="600" w:lineRule="exact"/>
        <w:ind w:firstLine="640" w:firstLineChars="200"/>
        <w:rPr>
          <w:rStyle w:val="113"/>
          <w:rFonts w:hint="eastAsia"/>
          <w:color w:val="000000"/>
        </w:rPr>
      </w:pPr>
      <w:r>
        <w:rPr>
          <w:rStyle w:val="113"/>
          <w:rFonts w:hint="eastAsia"/>
          <w:color w:val="000000"/>
        </w:rPr>
        <w:t>建立零售套餐风险预警机制，首都电力交易中心应做好市场监测，当电力零售套餐价格超过市场平均预期水平时，对相关经营主体进行风险提示，并及时上报市城市管理委。</w:t>
      </w:r>
    </w:p>
    <w:p>
      <w:pPr>
        <w:numPr>
          <w:ilvl w:val="0"/>
          <w:numId w:val="1"/>
        </w:numPr>
        <w:spacing w:line="600" w:lineRule="exact"/>
        <w:ind w:firstLine="640" w:firstLineChars="200"/>
        <w:rPr>
          <w:rStyle w:val="113"/>
          <w:rFonts w:hint="eastAsia" w:ascii="仿宋_GB2312" w:hAnsi="仿宋_GB2312" w:cs="仿宋_GB2312"/>
          <w:color w:val="000000"/>
        </w:rPr>
      </w:pPr>
      <w:r>
        <w:rPr>
          <w:rStyle w:val="113"/>
          <w:rFonts w:hint="eastAsia"/>
          <w:color w:val="000000"/>
        </w:rPr>
        <w:t>北京电力交易中心、首都电力交易中心共同做好北</w:t>
      </w:r>
      <w:r>
        <w:rPr>
          <w:rStyle w:val="113"/>
          <w:rFonts w:hint="eastAsia" w:ascii="仿宋_GB2312" w:hAnsi="仿宋_GB2312" w:cs="仿宋_GB2312"/>
          <w:color w:val="000000"/>
        </w:rPr>
        <w:t>京市电力市场交易组织工作，进一步</w:t>
      </w:r>
      <w:r>
        <w:rPr>
          <w:rStyle w:val="113"/>
          <w:rFonts w:hint="eastAsia"/>
          <w:color w:val="000000"/>
        </w:rPr>
        <w:t>提升</w:t>
      </w:r>
      <w:r>
        <w:rPr>
          <w:rStyle w:val="113"/>
          <w:rFonts w:hint="eastAsia" w:ascii="仿宋_GB2312" w:hAnsi="仿宋_GB2312" w:cs="仿宋_GB2312"/>
          <w:color w:val="000000"/>
        </w:rPr>
        <w:t>服务质量，优化结算、清算等工作流程，积极开展市场成员培训活动，强化交易信息月报制度，并按照相关规则及时向社会以及经营主体做好信息披露。如经营主体存在违约行为，及时做好记录，定期上报市城市管理委。</w:t>
      </w:r>
    </w:p>
    <w:p>
      <w:pPr>
        <w:numPr>
          <w:ilvl w:val="0"/>
          <w:numId w:val="1"/>
        </w:numPr>
        <w:spacing w:line="600" w:lineRule="exact"/>
        <w:ind w:firstLine="640" w:firstLineChars="200"/>
        <w:rPr>
          <w:rStyle w:val="113"/>
          <w:rFonts w:hint="eastAsia"/>
          <w:color w:val="000000"/>
        </w:rPr>
      </w:pPr>
      <w:r>
        <w:rPr>
          <w:rStyle w:val="113"/>
          <w:rFonts w:hint="eastAsia" w:ascii="仿宋_GB2312" w:hAnsi="仿宋_GB2312" w:cs="仿宋_GB2312"/>
          <w:color w:val="000000"/>
        </w:rPr>
        <w:t>各有关交易主体，在交易过程中严格遵守法律法规和有关规则。不得串通报价、哄抬价格、扰乱市场秩序，不能滥用市场支配地位操纵市场价格，拥有售电公司的发电企业，不得利用“发售一体”优势直接或变相以降低所属售电公司购电成本的方式抢占市场份额，不得对民营售电公司等各类售电主体和电力大用户进行区别对待。有多个发电厂组成的发电企业进行电能量交易，不得集中报价。发电侧、售电侧相关经营主体之间不得通过线上、线下等方式在中长期双边协商交易外统一约定交易价格、电量等申报要素实现特定交易。因违反有关规则、扰乱市场秩序等影响交易正常开展的，依法追究相关单位和经营主体的责任。</w:t>
      </w:r>
    </w:p>
    <w:p>
      <w:pPr>
        <w:numPr>
          <w:ilvl w:val="0"/>
          <w:numId w:val="1"/>
        </w:numPr>
        <w:spacing w:line="600" w:lineRule="exact"/>
        <w:ind w:firstLine="640" w:firstLineChars="200"/>
        <w:rPr>
          <w:rFonts w:hint="eastAsia"/>
        </w:rPr>
      </w:pPr>
      <w:r>
        <w:rPr>
          <w:rStyle w:val="113"/>
          <w:rFonts w:hint="eastAsia"/>
          <w:color w:val="000000"/>
        </w:rPr>
        <w:t>北京市2025年电力市场化交易按照本方案执行，如遇政策调整，由市城市管理委另行发布。</w:t>
      </w:r>
    </w:p>
    <w:sectPr>
      <w:footerReference r:id="rId3" w:type="default"/>
      <w:pgSz w:w="11906" w:h="16838"/>
      <w:pgMar w:top="1984" w:right="1587" w:bottom="2098" w:left="1474" w:header="851" w:footer="1304" w:gutter="0"/>
      <w:cols w:space="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Courier New">
    <w:altName w:val="DejaVu Sans"/>
    <w:panose1 w:val="02070309020205020404"/>
    <w:charset w:val="00"/>
    <w:family w:val="modern"/>
    <w:pitch w:val="default"/>
    <w:sig w:usb0="00000000" w:usb1="00000000" w:usb2="00000009" w:usb3="00000000" w:csb0="000001FF" w:csb1="00000000"/>
  </w:font>
  <w:font w:name="Garamond">
    <w:altName w:val="Noto Serif Bengali"/>
    <w:panose1 w:val="02020404030301010803"/>
    <w:charset w:val="00"/>
    <w:family w:val="roman"/>
    <w:pitch w:val="default"/>
    <w:sig w:usb0="00000000" w:usb1="00000000" w:usb2="00000000" w:usb3="00000000" w:csb0="0000009F" w:csb1="00000000"/>
  </w:font>
  <w:font w:name="Noto Serif Bengali">
    <w:panose1 w:val="02020502040504020204"/>
    <w:charset w:val="00"/>
    <w:family w:val="auto"/>
    <w:pitch w:val="default"/>
    <w:sig w:usb0="0001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CESI黑体-GB13000">
    <w:panose1 w:val="02000500000000000000"/>
    <w:charset w:val="86"/>
    <w:family w:val="auto"/>
    <w:pitch w:val="default"/>
    <w:sig w:usb0="800002BF" w:usb1="38CF7CF8"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cs="宋体"/>
                              <w:sz w:val="21"/>
                              <w:szCs w:val="21"/>
                            </w:rPr>
                          </w:pPr>
                          <w:r>
                            <w:rPr>
                              <w:rFonts w:hint="eastAsia" w:eastAsia="宋体" w:cs="宋体"/>
                              <w:sz w:val="21"/>
                              <w:szCs w:val="21"/>
                            </w:rPr>
                            <w:fldChar w:fldCharType="begin"/>
                          </w:r>
                          <w:r>
                            <w:rPr>
                              <w:rFonts w:hint="eastAsia" w:eastAsia="宋体" w:cs="宋体"/>
                              <w:sz w:val="21"/>
                              <w:szCs w:val="21"/>
                            </w:rPr>
                            <w:instrText xml:space="preserve"> PAGE  \* MERGEFORMAT </w:instrText>
                          </w:r>
                          <w:r>
                            <w:rPr>
                              <w:rFonts w:hint="eastAsia" w:eastAsia="宋体" w:cs="宋体"/>
                              <w:sz w:val="21"/>
                              <w:szCs w:val="21"/>
                            </w:rPr>
                            <w:fldChar w:fldCharType="separate"/>
                          </w:r>
                          <w:r>
                            <w:rPr>
                              <w:rFonts w:hint="eastAsia" w:eastAsia="宋体" w:cs="宋体"/>
                              <w:sz w:val="21"/>
                              <w:szCs w:val="21"/>
                            </w:rPr>
                            <w:t>2</w:t>
                          </w:r>
                          <w:r>
                            <w:rPr>
                              <w:rFonts w:hint="eastAsia"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snapToGrid w:val="0"/>
                      <w:rPr>
                        <w:rFonts w:hint="eastAsia" w:eastAsia="宋体" w:cs="宋体"/>
                        <w:sz w:val="21"/>
                        <w:szCs w:val="21"/>
                      </w:rPr>
                    </w:pPr>
                    <w:r>
                      <w:rPr>
                        <w:rFonts w:hint="eastAsia" w:eastAsia="宋体" w:cs="宋体"/>
                        <w:sz w:val="21"/>
                        <w:szCs w:val="21"/>
                      </w:rPr>
                      <w:fldChar w:fldCharType="begin"/>
                    </w:r>
                    <w:r>
                      <w:rPr>
                        <w:rFonts w:hint="eastAsia" w:eastAsia="宋体" w:cs="宋体"/>
                        <w:sz w:val="21"/>
                        <w:szCs w:val="21"/>
                      </w:rPr>
                      <w:instrText xml:space="preserve"> PAGE  \* MERGEFORMAT </w:instrText>
                    </w:r>
                    <w:r>
                      <w:rPr>
                        <w:rFonts w:hint="eastAsia" w:eastAsia="宋体" w:cs="宋体"/>
                        <w:sz w:val="21"/>
                        <w:szCs w:val="21"/>
                      </w:rPr>
                      <w:fldChar w:fldCharType="separate"/>
                    </w:r>
                    <w:r>
                      <w:rPr>
                        <w:rFonts w:hint="eastAsia" w:eastAsia="宋体" w:cs="宋体"/>
                        <w:sz w:val="21"/>
                        <w:szCs w:val="21"/>
                      </w:rPr>
                      <w:t>2</w:t>
                    </w:r>
                    <w:r>
                      <w:rPr>
                        <w:rFonts w:hint="eastAsia"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C5B49"/>
    <w:multiLevelType w:val="singleLevel"/>
    <w:tmpl w:val="637C5B4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6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DNmMjBmZjExNTQyMzAzZjQ3ZjU2YTJjZDliMDU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289"/>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2AA9"/>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B3"/>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DE9"/>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3C5A"/>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4E26"/>
    <w:rsid w:val="00135DD1"/>
    <w:rsid w:val="00136586"/>
    <w:rsid w:val="001368A0"/>
    <w:rsid w:val="0014029E"/>
    <w:rsid w:val="00141CC6"/>
    <w:rsid w:val="001421F5"/>
    <w:rsid w:val="0014299A"/>
    <w:rsid w:val="00144478"/>
    <w:rsid w:val="00144A04"/>
    <w:rsid w:val="001455FB"/>
    <w:rsid w:val="0014652F"/>
    <w:rsid w:val="00146DE8"/>
    <w:rsid w:val="00147566"/>
    <w:rsid w:val="0014775D"/>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0B2F"/>
    <w:rsid w:val="00161241"/>
    <w:rsid w:val="00161284"/>
    <w:rsid w:val="00161851"/>
    <w:rsid w:val="0016251E"/>
    <w:rsid w:val="00162EB8"/>
    <w:rsid w:val="00164357"/>
    <w:rsid w:val="001646A1"/>
    <w:rsid w:val="00164988"/>
    <w:rsid w:val="00165688"/>
    <w:rsid w:val="00166654"/>
    <w:rsid w:val="001667B1"/>
    <w:rsid w:val="00166A95"/>
    <w:rsid w:val="00167376"/>
    <w:rsid w:val="001675D6"/>
    <w:rsid w:val="0017147F"/>
    <w:rsid w:val="00171840"/>
    <w:rsid w:val="001718AD"/>
    <w:rsid w:val="00172A27"/>
    <w:rsid w:val="00172D66"/>
    <w:rsid w:val="00173690"/>
    <w:rsid w:val="00174A0B"/>
    <w:rsid w:val="001753F3"/>
    <w:rsid w:val="00175558"/>
    <w:rsid w:val="001755C0"/>
    <w:rsid w:val="0017584C"/>
    <w:rsid w:val="00176EF8"/>
    <w:rsid w:val="001771DB"/>
    <w:rsid w:val="001774B2"/>
    <w:rsid w:val="001801E7"/>
    <w:rsid w:val="001817B5"/>
    <w:rsid w:val="00182158"/>
    <w:rsid w:val="00182DBE"/>
    <w:rsid w:val="001837D3"/>
    <w:rsid w:val="001839FC"/>
    <w:rsid w:val="00184214"/>
    <w:rsid w:val="00184F49"/>
    <w:rsid w:val="00185164"/>
    <w:rsid w:val="001866D6"/>
    <w:rsid w:val="00187BEF"/>
    <w:rsid w:val="001927B1"/>
    <w:rsid w:val="00192C3E"/>
    <w:rsid w:val="00192CBE"/>
    <w:rsid w:val="00192DC0"/>
    <w:rsid w:val="00193B65"/>
    <w:rsid w:val="00193D60"/>
    <w:rsid w:val="00194B69"/>
    <w:rsid w:val="00194BFC"/>
    <w:rsid w:val="00195A78"/>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23C"/>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0D7F"/>
    <w:rsid w:val="001F1580"/>
    <w:rsid w:val="001F21CA"/>
    <w:rsid w:val="001F2B65"/>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36D8"/>
    <w:rsid w:val="0021585F"/>
    <w:rsid w:val="002179B1"/>
    <w:rsid w:val="0022298E"/>
    <w:rsid w:val="00223659"/>
    <w:rsid w:val="00223E36"/>
    <w:rsid w:val="00227CC6"/>
    <w:rsid w:val="00227D89"/>
    <w:rsid w:val="00230B9E"/>
    <w:rsid w:val="002317E6"/>
    <w:rsid w:val="00233039"/>
    <w:rsid w:val="00233CA5"/>
    <w:rsid w:val="00233F81"/>
    <w:rsid w:val="00234054"/>
    <w:rsid w:val="00235942"/>
    <w:rsid w:val="00237429"/>
    <w:rsid w:val="0024054C"/>
    <w:rsid w:val="00241516"/>
    <w:rsid w:val="00242966"/>
    <w:rsid w:val="002439F4"/>
    <w:rsid w:val="00243C32"/>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6C8E"/>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3A5"/>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0D"/>
    <w:rsid w:val="002C2A34"/>
    <w:rsid w:val="002C3ED3"/>
    <w:rsid w:val="002C77D2"/>
    <w:rsid w:val="002D00D8"/>
    <w:rsid w:val="002D27B8"/>
    <w:rsid w:val="002D291D"/>
    <w:rsid w:val="002D2E70"/>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5DC8"/>
    <w:rsid w:val="002F631D"/>
    <w:rsid w:val="002F6403"/>
    <w:rsid w:val="003005AF"/>
    <w:rsid w:val="00300C29"/>
    <w:rsid w:val="00302BE6"/>
    <w:rsid w:val="00303680"/>
    <w:rsid w:val="00303E2A"/>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7E3"/>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12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EA8"/>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3A42"/>
    <w:rsid w:val="00424FB9"/>
    <w:rsid w:val="004310C9"/>
    <w:rsid w:val="0043110A"/>
    <w:rsid w:val="0043184D"/>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A6F"/>
    <w:rsid w:val="00454BE9"/>
    <w:rsid w:val="0045585D"/>
    <w:rsid w:val="00456E13"/>
    <w:rsid w:val="00460CEB"/>
    <w:rsid w:val="0046107E"/>
    <w:rsid w:val="00461DCB"/>
    <w:rsid w:val="004621D3"/>
    <w:rsid w:val="00462D5A"/>
    <w:rsid w:val="00463BDC"/>
    <w:rsid w:val="00464316"/>
    <w:rsid w:val="00464585"/>
    <w:rsid w:val="0046536F"/>
    <w:rsid w:val="00465F63"/>
    <w:rsid w:val="004660A5"/>
    <w:rsid w:val="0046622A"/>
    <w:rsid w:val="00466468"/>
    <w:rsid w:val="00470300"/>
    <w:rsid w:val="00471DEB"/>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5E1C"/>
    <w:rsid w:val="00486235"/>
    <w:rsid w:val="00487259"/>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8D8"/>
    <w:rsid w:val="004E3E51"/>
    <w:rsid w:val="004E44DA"/>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46D7"/>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1F9E"/>
    <w:rsid w:val="005824AC"/>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6E64"/>
    <w:rsid w:val="00596F91"/>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5FE"/>
    <w:rsid w:val="005C4CFF"/>
    <w:rsid w:val="005C5410"/>
    <w:rsid w:val="005C6009"/>
    <w:rsid w:val="005C641F"/>
    <w:rsid w:val="005C719C"/>
    <w:rsid w:val="005C7D37"/>
    <w:rsid w:val="005D0C8F"/>
    <w:rsid w:val="005D1A17"/>
    <w:rsid w:val="005D27A0"/>
    <w:rsid w:val="005D488A"/>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6EB6"/>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C0E"/>
    <w:rsid w:val="00631F36"/>
    <w:rsid w:val="00632E52"/>
    <w:rsid w:val="0063306F"/>
    <w:rsid w:val="00633F9A"/>
    <w:rsid w:val="00634328"/>
    <w:rsid w:val="00635520"/>
    <w:rsid w:val="00635EDB"/>
    <w:rsid w:val="006370A1"/>
    <w:rsid w:val="006377DD"/>
    <w:rsid w:val="006407B0"/>
    <w:rsid w:val="00641B89"/>
    <w:rsid w:val="00641ECC"/>
    <w:rsid w:val="006440ED"/>
    <w:rsid w:val="00644B65"/>
    <w:rsid w:val="006455BC"/>
    <w:rsid w:val="006456D1"/>
    <w:rsid w:val="0064637F"/>
    <w:rsid w:val="00647337"/>
    <w:rsid w:val="0064785E"/>
    <w:rsid w:val="006479C4"/>
    <w:rsid w:val="006517CE"/>
    <w:rsid w:val="00651D08"/>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6E1"/>
    <w:rsid w:val="00673AE6"/>
    <w:rsid w:val="00673F59"/>
    <w:rsid w:val="0067425B"/>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57D5"/>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171"/>
    <w:rsid w:val="006E39BE"/>
    <w:rsid w:val="006E4B6A"/>
    <w:rsid w:val="006E4EC4"/>
    <w:rsid w:val="006E5A19"/>
    <w:rsid w:val="006F0235"/>
    <w:rsid w:val="006F0823"/>
    <w:rsid w:val="006F0DBA"/>
    <w:rsid w:val="006F1536"/>
    <w:rsid w:val="006F23F2"/>
    <w:rsid w:val="006F2948"/>
    <w:rsid w:val="006F2C2E"/>
    <w:rsid w:val="006F2FB4"/>
    <w:rsid w:val="006F334A"/>
    <w:rsid w:val="006F3547"/>
    <w:rsid w:val="006F3A13"/>
    <w:rsid w:val="006F4828"/>
    <w:rsid w:val="006F618E"/>
    <w:rsid w:val="006F61EA"/>
    <w:rsid w:val="006F6599"/>
    <w:rsid w:val="006F66F2"/>
    <w:rsid w:val="006F7F1D"/>
    <w:rsid w:val="00700145"/>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1D48"/>
    <w:rsid w:val="007526DD"/>
    <w:rsid w:val="00752871"/>
    <w:rsid w:val="00752A3E"/>
    <w:rsid w:val="00753852"/>
    <w:rsid w:val="00755D9E"/>
    <w:rsid w:val="00756369"/>
    <w:rsid w:val="00757164"/>
    <w:rsid w:val="00757964"/>
    <w:rsid w:val="007579D8"/>
    <w:rsid w:val="00760FEF"/>
    <w:rsid w:val="007615A8"/>
    <w:rsid w:val="007638E3"/>
    <w:rsid w:val="00763C26"/>
    <w:rsid w:val="00763EC2"/>
    <w:rsid w:val="00764DF3"/>
    <w:rsid w:val="00765009"/>
    <w:rsid w:val="007655D2"/>
    <w:rsid w:val="007658B9"/>
    <w:rsid w:val="00767566"/>
    <w:rsid w:val="00767974"/>
    <w:rsid w:val="007733D9"/>
    <w:rsid w:val="00773E0C"/>
    <w:rsid w:val="00775489"/>
    <w:rsid w:val="00775BFE"/>
    <w:rsid w:val="007770C9"/>
    <w:rsid w:val="00777E3F"/>
    <w:rsid w:val="00780024"/>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4CEC"/>
    <w:rsid w:val="007956AB"/>
    <w:rsid w:val="00795E34"/>
    <w:rsid w:val="00796A51"/>
    <w:rsid w:val="00796F0C"/>
    <w:rsid w:val="007978FA"/>
    <w:rsid w:val="007A0624"/>
    <w:rsid w:val="007A0A31"/>
    <w:rsid w:val="007A0C7F"/>
    <w:rsid w:val="007A2A58"/>
    <w:rsid w:val="007A2BFA"/>
    <w:rsid w:val="007A3B65"/>
    <w:rsid w:val="007A3C96"/>
    <w:rsid w:val="007A3DBB"/>
    <w:rsid w:val="007A6892"/>
    <w:rsid w:val="007A7414"/>
    <w:rsid w:val="007A7461"/>
    <w:rsid w:val="007B0646"/>
    <w:rsid w:val="007B116B"/>
    <w:rsid w:val="007B1F9D"/>
    <w:rsid w:val="007B23A4"/>
    <w:rsid w:val="007B33FD"/>
    <w:rsid w:val="007B35B8"/>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5079"/>
    <w:rsid w:val="007F6049"/>
    <w:rsid w:val="007F7092"/>
    <w:rsid w:val="007F72D3"/>
    <w:rsid w:val="007F7E91"/>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7B2"/>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6800"/>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87FDC"/>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02"/>
    <w:rsid w:val="008C71D7"/>
    <w:rsid w:val="008C7BA3"/>
    <w:rsid w:val="008C7D37"/>
    <w:rsid w:val="008D0B28"/>
    <w:rsid w:val="008D1798"/>
    <w:rsid w:val="008D2305"/>
    <w:rsid w:val="008D293A"/>
    <w:rsid w:val="008D31A7"/>
    <w:rsid w:val="008D3BD5"/>
    <w:rsid w:val="008D4149"/>
    <w:rsid w:val="008D50BE"/>
    <w:rsid w:val="008D5793"/>
    <w:rsid w:val="008D5C3C"/>
    <w:rsid w:val="008D6813"/>
    <w:rsid w:val="008D6829"/>
    <w:rsid w:val="008D7123"/>
    <w:rsid w:val="008D7174"/>
    <w:rsid w:val="008D7447"/>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09C6"/>
    <w:rsid w:val="00911046"/>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22D"/>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AD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A09"/>
    <w:rsid w:val="009B5FFE"/>
    <w:rsid w:val="009B6528"/>
    <w:rsid w:val="009B78E3"/>
    <w:rsid w:val="009B7B21"/>
    <w:rsid w:val="009C0171"/>
    <w:rsid w:val="009C225A"/>
    <w:rsid w:val="009C2516"/>
    <w:rsid w:val="009C33E6"/>
    <w:rsid w:val="009C4B9A"/>
    <w:rsid w:val="009C5B84"/>
    <w:rsid w:val="009C6915"/>
    <w:rsid w:val="009C694E"/>
    <w:rsid w:val="009C70BE"/>
    <w:rsid w:val="009C7DF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333E"/>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78E"/>
    <w:rsid w:val="00A337E9"/>
    <w:rsid w:val="00A33F52"/>
    <w:rsid w:val="00A357FF"/>
    <w:rsid w:val="00A37FC9"/>
    <w:rsid w:val="00A404AF"/>
    <w:rsid w:val="00A410A9"/>
    <w:rsid w:val="00A419F0"/>
    <w:rsid w:val="00A41B78"/>
    <w:rsid w:val="00A41EA5"/>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6D1"/>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561"/>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E40"/>
    <w:rsid w:val="00AD0F44"/>
    <w:rsid w:val="00AD1B79"/>
    <w:rsid w:val="00AD3A0B"/>
    <w:rsid w:val="00AD4A9E"/>
    <w:rsid w:val="00AD5A56"/>
    <w:rsid w:val="00AD621C"/>
    <w:rsid w:val="00AD6E04"/>
    <w:rsid w:val="00AE01D2"/>
    <w:rsid w:val="00AE1765"/>
    <w:rsid w:val="00AE5BB4"/>
    <w:rsid w:val="00AE6177"/>
    <w:rsid w:val="00AE7812"/>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481"/>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24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1ECF"/>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D7F53"/>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4F29"/>
    <w:rsid w:val="00BF64A7"/>
    <w:rsid w:val="00C00480"/>
    <w:rsid w:val="00C0063E"/>
    <w:rsid w:val="00C01616"/>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771C4"/>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23BA"/>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B798D"/>
    <w:rsid w:val="00CC0A71"/>
    <w:rsid w:val="00CC0AED"/>
    <w:rsid w:val="00CC1BB7"/>
    <w:rsid w:val="00CD0574"/>
    <w:rsid w:val="00CD0907"/>
    <w:rsid w:val="00CD0AE5"/>
    <w:rsid w:val="00CD10A2"/>
    <w:rsid w:val="00CD1C9B"/>
    <w:rsid w:val="00CD3160"/>
    <w:rsid w:val="00CD39E4"/>
    <w:rsid w:val="00CD5135"/>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9CF"/>
    <w:rsid w:val="00D05D6B"/>
    <w:rsid w:val="00D06586"/>
    <w:rsid w:val="00D06BF7"/>
    <w:rsid w:val="00D07273"/>
    <w:rsid w:val="00D075AC"/>
    <w:rsid w:val="00D1009D"/>
    <w:rsid w:val="00D10526"/>
    <w:rsid w:val="00D1198A"/>
    <w:rsid w:val="00D11EEC"/>
    <w:rsid w:val="00D12296"/>
    <w:rsid w:val="00D12497"/>
    <w:rsid w:val="00D13B74"/>
    <w:rsid w:val="00D149C4"/>
    <w:rsid w:val="00D165F9"/>
    <w:rsid w:val="00D2061C"/>
    <w:rsid w:val="00D20B07"/>
    <w:rsid w:val="00D21AA0"/>
    <w:rsid w:val="00D21D86"/>
    <w:rsid w:val="00D2270F"/>
    <w:rsid w:val="00D22827"/>
    <w:rsid w:val="00D2314F"/>
    <w:rsid w:val="00D273FA"/>
    <w:rsid w:val="00D27B0F"/>
    <w:rsid w:val="00D30131"/>
    <w:rsid w:val="00D306D6"/>
    <w:rsid w:val="00D34535"/>
    <w:rsid w:val="00D35481"/>
    <w:rsid w:val="00D4006B"/>
    <w:rsid w:val="00D40D2A"/>
    <w:rsid w:val="00D40DC7"/>
    <w:rsid w:val="00D40E9A"/>
    <w:rsid w:val="00D4130B"/>
    <w:rsid w:val="00D4144A"/>
    <w:rsid w:val="00D416BE"/>
    <w:rsid w:val="00D434EE"/>
    <w:rsid w:val="00D44488"/>
    <w:rsid w:val="00D450A2"/>
    <w:rsid w:val="00D4545A"/>
    <w:rsid w:val="00D45D61"/>
    <w:rsid w:val="00D46975"/>
    <w:rsid w:val="00D46C58"/>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0C"/>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1F83"/>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30E2"/>
    <w:rsid w:val="00E4440E"/>
    <w:rsid w:val="00E4671F"/>
    <w:rsid w:val="00E5009E"/>
    <w:rsid w:val="00E50467"/>
    <w:rsid w:val="00E50BDA"/>
    <w:rsid w:val="00E53960"/>
    <w:rsid w:val="00E539A5"/>
    <w:rsid w:val="00E53B49"/>
    <w:rsid w:val="00E54EF7"/>
    <w:rsid w:val="00E56547"/>
    <w:rsid w:val="00E56D44"/>
    <w:rsid w:val="00E572C9"/>
    <w:rsid w:val="00E601FE"/>
    <w:rsid w:val="00E60A9F"/>
    <w:rsid w:val="00E60E16"/>
    <w:rsid w:val="00E60E34"/>
    <w:rsid w:val="00E6127D"/>
    <w:rsid w:val="00E63476"/>
    <w:rsid w:val="00E63C31"/>
    <w:rsid w:val="00E64012"/>
    <w:rsid w:val="00E6470D"/>
    <w:rsid w:val="00E65319"/>
    <w:rsid w:val="00E67AE1"/>
    <w:rsid w:val="00E67D24"/>
    <w:rsid w:val="00E70CE5"/>
    <w:rsid w:val="00E71BDE"/>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2EB4"/>
    <w:rsid w:val="00E934BE"/>
    <w:rsid w:val="00E934F3"/>
    <w:rsid w:val="00E9543D"/>
    <w:rsid w:val="00E9686F"/>
    <w:rsid w:val="00E971E7"/>
    <w:rsid w:val="00E973EB"/>
    <w:rsid w:val="00E9764D"/>
    <w:rsid w:val="00E97A66"/>
    <w:rsid w:val="00E97FE1"/>
    <w:rsid w:val="00EA0186"/>
    <w:rsid w:val="00EA02C5"/>
    <w:rsid w:val="00EA13FF"/>
    <w:rsid w:val="00EA44B9"/>
    <w:rsid w:val="00EA6670"/>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1E5B"/>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4C5E"/>
    <w:rsid w:val="00F263CC"/>
    <w:rsid w:val="00F26F29"/>
    <w:rsid w:val="00F3086B"/>
    <w:rsid w:val="00F314E4"/>
    <w:rsid w:val="00F315EB"/>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28A1"/>
    <w:rsid w:val="00F530D5"/>
    <w:rsid w:val="00F53C70"/>
    <w:rsid w:val="00F53E0D"/>
    <w:rsid w:val="00F548B1"/>
    <w:rsid w:val="00F549E4"/>
    <w:rsid w:val="00F5541D"/>
    <w:rsid w:val="00F55A1E"/>
    <w:rsid w:val="00F567A7"/>
    <w:rsid w:val="00F56ACC"/>
    <w:rsid w:val="00F62812"/>
    <w:rsid w:val="00F6361C"/>
    <w:rsid w:val="00F63D69"/>
    <w:rsid w:val="00F63FC2"/>
    <w:rsid w:val="00F640C2"/>
    <w:rsid w:val="00F64581"/>
    <w:rsid w:val="00F66853"/>
    <w:rsid w:val="00F703F8"/>
    <w:rsid w:val="00F705A5"/>
    <w:rsid w:val="00F71502"/>
    <w:rsid w:val="00F7183F"/>
    <w:rsid w:val="00F71C81"/>
    <w:rsid w:val="00F723AC"/>
    <w:rsid w:val="00F72768"/>
    <w:rsid w:val="00F77612"/>
    <w:rsid w:val="00F8018D"/>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64"/>
    <w:rsid w:val="00FA5ED6"/>
    <w:rsid w:val="00FA664A"/>
    <w:rsid w:val="00FA7039"/>
    <w:rsid w:val="00FA7A34"/>
    <w:rsid w:val="00FB001B"/>
    <w:rsid w:val="00FB0603"/>
    <w:rsid w:val="00FB153E"/>
    <w:rsid w:val="00FB6262"/>
    <w:rsid w:val="00FB6D9D"/>
    <w:rsid w:val="00FB7FED"/>
    <w:rsid w:val="00FC01FF"/>
    <w:rsid w:val="00FC164F"/>
    <w:rsid w:val="00FC206F"/>
    <w:rsid w:val="00FC2F8D"/>
    <w:rsid w:val="00FC5833"/>
    <w:rsid w:val="00FC66A9"/>
    <w:rsid w:val="00FC76E6"/>
    <w:rsid w:val="00FC783C"/>
    <w:rsid w:val="00FD0CE2"/>
    <w:rsid w:val="00FD150B"/>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5D8D"/>
    <w:rsid w:val="00FE696A"/>
    <w:rsid w:val="00FE7F36"/>
    <w:rsid w:val="00FF3A17"/>
    <w:rsid w:val="00FF4B59"/>
    <w:rsid w:val="00FF4D7D"/>
    <w:rsid w:val="00FF785C"/>
    <w:rsid w:val="01791CD3"/>
    <w:rsid w:val="01C502E0"/>
    <w:rsid w:val="0205793E"/>
    <w:rsid w:val="023764B2"/>
    <w:rsid w:val="02533F80"/>
    <w:rsid w:val="03944676"/>
    <w:rsid w:val="03D114CB"/>
    <w:rsid w:val="03F21BCC"/>
    <w:rsid w:val="0433251E"/>
    <w:rsid w:val="047B0B3A"/>
    <w:rsid w:val="04EB0EE2"/>
    <w:rsid w:val="063C29C9"/>
    <w:rsid w:val="06832477"/>
    <w:rsid w:val="06856661"/>
    <w:rsid w:val="073B62FE"/>
    <w:rsid w:val="078966FD"/>
    <w:rsid w:val="07BD4336"/>
    <w:rsid w:val="08A01674"/>
    <w:rsid w:val="0920039A"/>
    <w:rsid w:val="095E54F2"/>
    <w:rsid w:val="09FF1157"/>
    <w:rsid w:val="0A015D01"/>
    <w:rsid w:val="0A4C255E"/>
    <w:rsid w:val="0A4F1CC6"/>
    <w:rsid w:val="0A7F56D8"/>
    <w:rsid w:val="0A854839"/>
    <w:rsid w:val="0ACA0AE6"/>
    <w:rsid w:val="0AD94570"/>
    <w:rsid w:val="0AEB48B5"/>
    <w:rsid w:val="0BAE1B1C"/>
    <w:rsid w:val="0C0E7A39"/>
    <w:rsid w:val="0D1F336B"/>
    <w:rsid w:val="0DD6300D"/>
    <w:rsid w:val="0DDB4FA9"/>
    <w:rsid w:val="0DE03378"/>
    <w:rsid w:val="0E2B2918"/>
    <w:rsid w:val="0E7D4BEE"/>
    <w:rsid w:val="0E9A33AE"/>
    <w:rsid w:val="0EE408D5"/>
    <w:rsid w:val="0EF71738"/>
    <w:rsid w:val="0F655FB1"/>
    <w:rsid w:val="0FB209E9"/>
    <w:rsid w:val="0FCD31DE"/>
    <w:rsid w:val="100C2663"/>
    <w:rsid w:val="100D7D1E"/>
    <w:rsid w:val="107F782F"/>
    <w:rsid w:val="11094D4C"/>
    <w:rsid w:val="111C3487"/>
    <w:rsid w:val="117B3ACB"/>
    <w:rsid w:val="11B147AE"/>
    <w:rsid w:val="11F052D6"/>
    <w:rsid w:val="122A59BD"/>
    <w:rsid w:val="12761244"/>
    <w:rsid w:val="12A76E20"/>
    <w:rsid w:val="12B20277"/>
    <w:rsid w:val="147C4B0B"/>
    <w:rsid w:val="14BE5F44"/>
    <w:rsid w:val="15194B44"/>
    <w:rsid w:val="1546345F"/>
    <w:rsid w:val="15891CCA"/>
    <w:rsid w:val="15C55D50"/>
    <w:rsid w:val="15CC6A3A"/>
    <w:rsid w:val="15E907B0"/>
    <w:rsid w:val="15FD3A42"/>
    <w:rsid w:val="163F73D8"/>
    <w:rsid w:val="17373E4C"/>
    <w:rsid w:val="17EEF9BF"/>
    <w:rsid w:val="18CD0120"/>
    <w:rsid w:val="19010B5E"/>
    <w:rsid w:val="193B6702"/>
    <w:rsid w:val="199865BF"/>
    <w:rsid w:val="1A321375"/>
    <w:rsid w:val="1AE6371B"/>
    <w:rsid w:val="1AEE8575"/>
    <w:rsid w:val="1B125BAC"/>
    <w:rsid w:val="1B150798"/>
    <w:rsid w:val="1B287E1F"/>
    <w:rsid w:val="1BDF427D"/>
    <w:rsid w:val="1C11583C"/>
    <w:rsid w:val="1C212338"/>
    <w:rsid w:val="1C634634"/>
    <w:rsid w:val="1C803DCB"/>
    <w:rsid w:val="1CA064D4"/>
    <w:rsid w:val="1CB60B01"/>
    <w:rsid w:val="1D0F0676"/>
    <w:rsid w:val="1D68505D"/>
    <w:rsid w:val="1DDF7107"/>
    <w:rsid w:val="1DF613D9"/>
    <w:rsid w:val="1E0D352E"/>
    <w:rsid w:val="1E1835F3"/>
    <w:rsid w:val="1E8E66B7"/>
    <w:rsid w:val="1EB5526B"/>
    <w:rsid w:val="1EF354FD"/>
    <w:rsid w:val="1F2703FC"/>
    <w:rsid w:val="1FB902AF"/>
    <w:rsid w:val="1FDB18A8"/>
    <w:rsid w:val="1FDF7FCD"/>
    <w:rsid w:val="1FF35677"/>
    <w:rsid w:val="207A470F"/>
    <w:rsid w:val="210B463E"/>
    <w:rsid w:val="21104AD5"/>
    <w:rsid w:val="212E710B"/>
    <w:rsid w:val="217106AC"/>
    <w:rsid w:val="21943D46"/>
    <w:rsid w:val="21D043CE"/>
    <w:rsid w:val="21F5556B"/>
    <w:rsid w:val="2288155B"/>
    <w:rsid w:val="22F94293"/>
    <w:rsid w:val="246B6A3F"/>
    <w:rsid w:val="255B6AC9"/>
    <w:rsid w:val="25DC07E7"/>
    <w:rsid w:val="267D6303"/>
    <w:rsid w:val="267E36E0"/>
    <w:rsid w:val="277D4073"/>
    <w:rsid w:val="27824BF7"/>
    <w:rsid w:val="278D7DFF"/>
    <w:rsid w:val="27A75FE0"/>
    <w:rsid w:val="27F7B3D6"/>
    <w:rsid w:val="28685886"/>
    <w:rsid w:val="289C1037"/>
    <w:rsid w:val="28B05A59"/>
    <w:rsid w:val="28B97D6A"/>
    <w:rsid w:val="28F10DEC"/>
    <w:rsid w:val="29572F1C"/>
    <w:rsid w:val="29D12225"/>
    <w:rsid w:val="2A3D0E7D"/>
    <w:rsid w:val="2A675B61"/>
    <w:rsid w:val="2A9F4381"/>
    <w:rsid w:val="2AD35F6A"/>
    <w:rsid w:val="2B337D29"/>
    <w:rsid w:val="2B746879"/>
    <w:rsid w:val="2BC4E4FA"/>
    <w:rsid w:val="2BDFA08F"/>
    <w:rsid w:val="2BE17618"/>
    <w:rsid w:val="2C7C3FCF"/>
    <w:rsid w:val="2C8972E8"/>
    <w:rsid w:val="2D126703"/>
    <w:rsid w:val="2D653220"/>
    <w:rsid w:val="2D7E4089"/>
    <w:rsid w:val="2D7F3696"/>
    <w:rsid w:val="2D9178FC"/>
    <w:rsid w:val="2E0C4867"/>
    <w:rsid w:val="2E460B24"/>
    <w:rsid w:val="2EAEC9F1"/>
    <w:rsid w:val="2F1321AD"/>
    <w:rsid w:val="2F257996"/>
    <w:rsid w:val="2F5F1AD0"/>
    <w:rsid w:val="2F79B7FF"/>
    <w:rsid w:val="2F8A7425"/>
    <w:rsid w:val="2FB11BF0"/>
    <w:rsid w:val="30C85830"/>
    <w:rsid w:val="30F50996"/>
    <w:rsid w:val="30FC548F"/>
    <w:rsid w:val="31286E31"/>
    <w:rsid w:val="32C21E80"/>
    <w:rsid w:val="32CC4585"/>
    <w:rsid w:val="32D833CC"/>
    <w:rsid w:val="32FF0045"/>
    <w:rsid w:val="33222F79"/>
    <w:rsid w:val="33446C47"/>
    <w:rsid w:val="337D6FDA"/>
    <w:rsid w:val="337E48D0"/>
    <w:rsid w:val="338D7B37"/>
    <w:rsid w:val="33D632D4"/>
    <w:rsid w:val="33ED121E"/>
    <w:rsid w:val="341337CB"/>
    <w:rsid w:val="347E7F55"/>
    <w:rsid w:val="34983880"/>
    <w:rsid w:val="34D33B5B"/>
    <w:rsid w:val="35DEB453"/>
    <w:rsid w:val="35F452AD"/>
    <w:rsid w:val="35FDA9A0"/>
    <w:rsid w:val="36057C4F"/>
    <w:rsid w:val="369D7621"/>
    <w:rsid w:val="36D13079"/>
    <w:rsid w:val="36EFD636"/>
    <w:rsid w:val="36F42249"/>
    <w:rsid w:val="370B5D0C"/>
    <w:rsid w:val="372DF4E4"/>
    <w:rsid w:val="373B347C"/>
    <w:rsid w:val="37540AA2"/>
    <w:rsid w:val="38073074"/>
    <w:rsid w:val="383A64FE"/>
    <w:rsid w:val="38E87BC9"/>
    <w:rsid w:val="392320EF"/>
    <w:rsid w:val="3953468E"/>
    <w:rsid w:val="3997BC09"/>
    <w:rsid w:val="39FBDF40"/>
    <w:rsid w:val="3A296FBE"/>
    <w:rsid w:val="3A49346A"/>
    <w:rsid w:val="3AB63421"/>
    <w:rsid w:val="3AF7C7FE"/>
    <w:rsid w:val="3B3C48E8"/>
    <w:rsid w:val="3B7C21DC"/>
    <w:rsid w:val="3B9E1077"/>
    <w:rsid w:val="3BAF13BF"/>
    <w:rsid w:val="3BB64A76"/>
    <w:rsid w:val="3BE65550"/>
    <w:rsid w:val="3BF533B1"/>
    <w:rsid w:val="3BF64AAD"/>
    <w:rsid w:val="3BFFEA80"/>
    <w:rsid w:val="3C02752B"/>
    <w:rsid w:val="3C271159"/>
    <w:rsid w:val="3C9D1F87"/>
    <w:rsid w:val="3CEA23BD"/>
    <w:rsid w:val="3D366A4A"/>
    <w:rsid w:val="3D4476E5"/>
    <w:rsid w:val="3D49013B"/>
    <w:rsid w:val="3D6E79D2"/>
    <w:rsid w:val="3D7D2179"/>
    <w:rsid w:val="3DB70AD3"/>
    <w:rsid w:val="3DDD6D33"/>
    <w:rsid w:val="3DFD8960"/>
    <w:rsid w:val="3E0D90E0"/>
    <w:rsid w:val="3E4FDD81"/>
    <w:rsid w:val="3F2FF45A"/>
    <w:rsid w:val="3F4EFA06"/>
    <w:rsid w:val="3F6FB961"/>
    <w:rsid w:val="3F7AE3C0"/>
    <w:rsid w:val="3F841762"/>
    <w:rsid w:val="3FB9CFD9"/>
    <w:rsid w:val="3FDD800F"/>
    <w:rsid w:val="3FDF0E39"/>
    <w:rsid w:val="3FE0CCD5"/>
    <w:rsid w:val="3FE2218B"/>
    <w:rsid w:val="3FF74EEE"/>
    <w:rsid w:val="3FFA062E"/>
    <w:rsid w:val="3FFF356A"/>
    <w:rsid w:val="3FFF4E45"/>
    <w:rsid w:val="3FFF89BB"/>
    <w:rsid w:val="40360E64"/>
    <w:rsid w:val="408C4C8F"/>
    <w:rsid w:val="413B40E9"/>
    <w:rsid w:val="414E51F3"/>
    <w:rsid w:val="41B10AC2"/>
    <w:rsid w:val="41D95413"/>
    <w:rsid w:val="4259386D"/>
    <w:rsid w:val="431866C6"/>
    <w:rsid w:val="434D3B25"/>
    <w:rsid w:val="438F73C5"/>
    <w:rsid w:val="43C5EFCC"/>
    <w:rsid w:val="43D44955"/>
    <w:rsid w:val="44585D35"/>
    <w:rsid w:val="445B21D4"/>
    <w:rsid w:val="44FA1861"/>
    <w:rsid w:val="45453B9B"/>
    <w:rsid w:val="466E52B3"/>
    <w:rsid w:val="46CA7E9E"/>
    <w:rsid w:val="46F65E21"/>
    <w:rsid w:val="4744128D"/>
    <w:rsid w:val="47504770"/>
    <w:rsid w:val="47921C09"/>
    <w:rsid w:val="47D479C8"/>
    <w:rsid w:val="47EE1D62"/>
    <w:rsid w:val="47F1197B"/>
    <w:rsid w:val="48E56A2C"/>
    <w:rsid w:val="495E4CB3"/>
    <w:rsid w:val="497B4A43"/>
    <w:rsid w:val="498E1E37"/>
    <w:rsid w:val="49EFCEA3"/>
    <w:rsid w:val="4A064368"/>
    <w:rsid w:val="4A2F5D4E"/>
    <w:rsid w:val="4AA05FC0"/>
    <w:rsid w:val="4AA20354"/>
    <w:rsid w:val="4ADB22A1"/>
    <w:rsid w:val="4AEC34B5"/>
    <w:rsid w:val="4B5005B9"/>
    <w:rsid w:val="4BFFDA48"/>
    <w:rsid w:val="4C1414C8"/>
    <w:rsid w:val="4C2067BE"/>
    <w:rsid w:val="4CB5461B"/>
    <w:rsid w:val="4CBC5762"/>
    <w:rsid w:val="4D100E7F"/>
    <w:rsid w:val="4D1F38CE"/>
    <w:rsid w:val="4DB766CD"/>
    <w:rsid w:val="4DB8CA2B"/>
    <w:rsid w:val="4E4D5452"/>
    <w:rsid w:val="4E8778D4"/>
    <w:rsid w:val="4EAF389A"/>
    <w:rsid w:val="4F5A5B74"/>
    <w:rsid w:val="4F671238"/>
    <w:rsid w:val="4FB31116"/>
    <w:rsid w:val="4FE53972"/>
    <w:rsid w:val="503C68AA"/>
    <w:rsid w:val="50CE02B2"/>
    <w:rsid w:val="50E04BBA"/>
    <w:rsid w:val="50F95C4E"/>
    <w:rsid w:val="51086BB6"/>
    <w:rsid w:val="51326EB6"/>
    <w:rsid w:val="514D6B2E"/>
    <w:rsid w:val="516E5206"/>
    <w:rsid w:val="51EB103B"/>
    <w:rsid w:val="527926DA"/>
    <w:rsid w:val="52FB52AE"/>
    <w:rsid w:val="5358751C"/>
    <w:rsid w:val="53740B45"/>
    <w:rsid w:val="53C83586"/>
    <w:rsid w:val="548E6E95"/>
    <w:rsid w:val="54915733"/>
    <w:rsid w:val="54DE1417"/>
    <w:rsid w:val="5549276B"/>
    <w:rsid w:val="554F368F"/>
    <w:rsid w:val="556B45C1"/>
    <w:rsid w:val="55FF452A"/>
    <w:rsid w:val="56104FC2"/>
    <w:rsid w:val="56262319"/>
    <w:rsid w:val="56513061"/>
    <w:rsid w:val="569B2BBD"/>
    <w:rsid w:val="569C760E"/>
    <w:rsid w:val="569F7CC5"/>
    <w:rsid w:val="57250B4B"/>
    <w:rsid w:val="57571CC6"/>
    <w:rsid w:val="576E2CC0"/>
    <w:rsid w:val="578A4B45"/>
    <w:rsid w:val="57C3BC9D"/>
    <w:rsid w:val="57FE5A6A"/>
    <w:rsid w:val="57FFABDC"/>
    <w:rsid w:val="58234BB9"/>
    <w:rsid w:val="584B08BD"/>
    <w:rsid w:val="58A67FE8"/>
    <w:rsid w:val="591FD123"/>
    <w:rsid w:val="596C0CB3"/>
    <w:rsid w:val="5A222771"/>
    <w:rsid w:val="5AD46575"/>
    <w:rsid w:val="5B146098"/>
    <w:rsid w:val="5B4A0DDA"/>
    <w:rsid w:val="5BC3325E"/>
    <w:rsid w:val="5BF1578E"/>
    <w:rsid w:val="5C193A65"/>
    <w:rsid w:val="5CF2576A"/>
    <w:rsid w:val="5CFFBE88"/>
    <w:rsid w:val="5DB911BC"/>
    <w:rsid w:val="5DE6657A"/>
    <w:rsid w:val="5DF5819D"/>
    <w:rsid w:val="5E7C376C"/>
    <w:rsid w:val="5E8D6361"/>
    <w:rsid w:val="5EA837C9"/>
    <w:rsid w:val="5EC02968"/>
    <w:rsid w:val="5EF71B2E"/>
    <w:rsid w:val="5F0E45BB"/>
    <w:rsid w:val="5F3DC737"/>
    <w:rsid w:val="5F5F5F0E"/>
    <w:rsid w:val="5F606F7D"/>
    <w:rsid w:val="5F7A91EA"/>
    <w:rsid w:val="5F8624F1"/>
    <w:rsid w:val="5F8D37B7"/>
    <w:rsid w:val="5F9B53A1"/>
    <w:rsid w:val="5FC50B3D"/>
    <w:rsid w:val="5FDB1D92"/>
    <w:rsid w:val="5FEA2932"/>
    <w:rsid w:val="5FEDC342"/>
    <w:rsid w:val="5FF23595"/>
    <w:rsid w:val="5FF35171"/>
    <w:rsid w:val="5FF60412"/>
    <w:rsid w:val="5FF65026"/>
    <w:rsid w:val="5FFFAC80"/>
    <w:rsid w:val="60124C12"/>
    <w:rsid w:val="60393A72"/>
    <w:rsid w:val="603A516E"/>
    <w:rsid w:val="60754B42"/>
    <w:rsid w:val="60B30F76"/>
    <w:rsid w:val="60C237D0"/>
    <w:rsid w:val="60C931D4"/>
    <w:rsid w:val="61572DAE"/>
    <w:rsid w:val="61AC78CC"/>
    <w:rsid w:val="620307DD"/>
    <w:rsid w:val="62176D39"/>
    <w:rsid w:val="62343ED9"/>
    <w:rsid w:val="62467BC8"/>
    <w:rsid w:val="63311331"/>
    <w:rsid w:val="63532FF1"/>
    <w:rsid w:val="63903516"/>
    <w:rsid w:val="63FC06B4"/>
    <w:rsid w:val="6444055B"/>
    <w:rsid w:val="644E7E74"/>
    <w:rsid w:val="647057FB"/>
    <w:rsid w:val="6478757A"/>
    <w:rsid w:val="647975EC"/>
    <w:rsid w:val="64A954DC"/>
    <w:rsid w:val="6502744D"/>
    <w:rsid w:val="65064292"/>
    <w:rsid w:val="650937C9"/>
    <w:rsid w:val="653E7284"/>
    <w:rsid w:val="65464BB6"/>
    <w:rsid w:val="65D97BA7"/>
    <w:rsid w:val="66010196"/>
    <w:rsid w:val="663A1AF8"/>
    <w:rsid w:val="66D03EF3"/>
    <w:rsid w:val="67480B1F"/>
    <w:rsid w:val="67596562"/>
    <w:rsid w:val="67AA3B19"/>
    <w:rsid w:val="67AB656F"/>
    <w:rsid w:val="67C15479"/>
    <w:rsid w:val="67CE48E7"/>
    <w:rsid w:val="67DA7FEE"/>
    <w:rsid w:val="67F32B26"/>
    <w:rsid w:val="69165C6D"/>
    <w:rsid w:val="693B6DFD"/>
    <w:rsid w:val="69551473"/>
    <w:rsid w:val="69627389"/>
    <w:rsid w:val="696D0284"/>
    <w:rsid w:val="6B0A723D"/>
    <w:rsid w:val="6B6E2CBD"/>
    <w:rsid w:val="6B777F18"/>
    <w:rsid w:val="6B79A76F"/>
    <w:rsid w:val="6BBE0DBA"/>
    <w:rsid w:val="6BBF2186"/>
    <w:rsid w:val="6BD12F95"/>
    <w:rsid w:val="6BDD5CD8"/>
    <w:rsid w:val="6BF1475D"/>
    <w:rsid w:val="6C075DAC"/>
    <w:rsid w:val="6C325657"/>
    <w:rsid w:val="6C6B2312"/>
    <w:rsid w:val="6CB46AE8"/>
    <w:rsid w:val="6CB60ACE"/>
    <w:rsid w:val="6CF94851"/>
    <w:rsid w:val="6D3C221B"/>
    <w:rsid w:val="6D7ECAAD"/>
    <w:rsid w:val="6DE7CE4B"/>
    <w:rsid w:val="6DF565CB"/>
    <w:rsid w:val="6DFED50D"/>
    <w:rsid w:val="6E453429"/>
    <w:rsid w:val="6E5A7A01"/>
    <w:rsid w:val="6EFFB660"/>
    <w:rsid w:val="6F294684"/>
    <w:rsid w:val="6F6F8BEC"/>
    <w:rsid w:val="6FF7860B"/>
    <w:rsid w:val="6FF7992D"/>
    <w:rsid w:val="6FFF247A"/>
    <w:rsid w:val="70611F6D"/>
    <w:rsid w:val="714675D6"/>
    <w:rsid w:val="715F666C"/>
    <w:rsid w:val="7167914E"/>
    <w:rsid w:val="7177133C"/>
    <w:rsid w:val="71CB4D56"/>
    <w:rsid w:val="71CD44E8"/>
    <w:rsid w:val="71EA0DE7"/>
    <w:rsid w:val="72166513"/>
    <w:rsid w:val="72606A84"/>
    <w:rsid w:val="72BB6DAD"/>
    <w:rsid w:val="72C305F0"/>
    <w:rsid w:val="7314021C"/>
    <w:rsid w:val="73221EA9"/>
    <w:rsid w:val="733A4EA6"/>
    <w:rsid w:val="737C9016"/>
    <w:rsid w:val="73A579AE"/>
    <w:rsid w:val="73B42CFD"/>
    <w:rsid w:val="73BDD73B"/>
    <w:rsid w:val="73C34AAB"/>
    <w:rsid w:val="73CFFE02"/>
    <w:rsid w:val="73FF6DDB"/>
    <w:rsid w:val="740B41CC"/>
    <w:rsid w:val="74B310ED"/>
    <w:rsid w:val="74C86784"/>
    <w:rsid w:val="74C96B93"/>
    <w:rsid w:val="74D1261A"/>
    <w:rsid w:val="754C32EF"/>
    <w:rsid w:val="75616B80"/>
    <w:rsid w:val="758B6266"/>
    <w:rsid w:val="75F93477"/>
    <w:rsid w:val="761A6DB5"/>
    <w:rsid w:val="7670288E"/>
    <w:rsid w:val="767F5CD0"/>
    <w:rsid w:val="76DA085C"/>
    <w:rsid w:val="76FC257D"/>
    <w:rsid w:val="770C1377"/>
    <w:rsid w:val="775EF835"/>
    <w:rsid w:val="776F4ECF"/>
    <w:rsid w:val="777F12DD"/>
    <w:rsid w:val="77D38755"/>
    <w:rsid w:val="77DC18A8"/>
    <w:rsid w:val="77EB6883"/>
    <w:rsid w:val="77F75118"/>
    <w:rsid w:val="77FA470C"/>
    <w:rsid w:val="781F6771"/>
    <w:rsid w:val="78255199"/>
    <w:rsid w:val="786700B7"/>
    <w:rsid w:val="786B0AB7"/>
    <w:rsid w:val="78733EB0"/>
    <w:rsid w:val="788C3F57"/>
    <w:rsid w:val="78921B99"/>
    <w:rsid w:val="791B3704"/>
    <w:rsid w:val="791E388B"/>
    <w:rsid w:val="79594C61"/>
    <w:rsid w:val="795D00B8"/>
    <w:rsid w:val="796B643A"/>
    <w:rsid w:val="798D76BC"/>
    <w:rsid w:val="79E00940"/>
    <w:rsid w:val="79E87DBE"/>
    <w:rsid w:val="79F9DA57"/>
    <w:rsid w:val="7A1C6403"/>
    <w:rsid w:val="7A7988CF"/>
    <w:rsid w:val="7A8A2F5E"/>
    <w:rsid w:val="7AAE7A61"/>
    <w:rsid w:val="7AC95D67"/>
    <w:rsid w:val="7AE72BEC"/>
    <w:rsid w:val="7AF34313"/>
    <w:rsid w:val="7AF5498E"/>
    <w:rsid w:val="7AF76CC1"/>
    <w:rsid w:val="7B424F78"/>
    <w:rsid w:val="7B5BAF94"/>
    <w:rsid w:val="7B762783"/>
    <w:rsid w:val="7BCE2005"/>
    <w:rsid w:val="7BEA2C24"/>
    <w:rsid w:val="7BF97A4A"/>
    <w:rsid w:val="7BFF0BDB"/>
    <w:rsid w:val="7BFF47BD"/>
    <w:rsid w:val="7C1E72C4"/>
    <w:rsid w:val="7C5B42CF"/>
    <w:rsid w:val="7C5C2F75"/>
    <w:rsid w:val="7CF4E9C8"/>
    <w:rsid w:val="7D5176F5"/>
    <w:rsid w:val="7D824051"/>
    <w:rsid w:val="7D9667B8"/>
    <w:rsid w:val="7D9D3854"/>
    <w:rsid w:val="7DB3162D"/>
    <w:rsid w:val="7DBF71B5"/>
    <w:rsid w:val="7DE46888"/>
    <w:rsid w:val="7DFA1D19"/>
    <w:rsid w:val="7DFB2714"/>
    <w:rsid w:val="7E2B5206"/>
    <w:rsid w:val="7E341237"/>
    <w:rsid w:val="7E5D670A"/>
    <w:rsid w:val="7E9B601A"/>
    <w:rsid w:val="7E9E710D"/>
    <w:rsid w:val="7EB5E7B0"/>
    <w:rsid w:val="7EBFF3D7"/>
    <w:rsid w:val="7EE24A62"/>
    <w:rsid w:val="7EED353C"/>
    <w:rsid w:val="7F3BA972"/>
    <w:rsid w:val="7F4DD6AD"/>
    <w:rsid w:val="7F565496"/>
    <w:rsid w:val="7F6D63DB"/>
    <w:rsid w:val="7F71A189"/>
    <w:rsid w:val="7F759C5B"/>
    <w:rsid w:val="7F7E0EE6"/>
    <w:rsid w:val="7F9D4FA1"/>
    <w:rsid w:val="7FAB3839"/>
    <w:rsid w:val="7FAB3D96"/>
    <w:rsid w:val="7FAFFCE2"/>
    <w:rsid w:val="7FB64187"/>
    <w:rsid w:val="7FBA455F"/>
    <w:rsid w:val="7FBEBD3B"/>
    <w:rsid w:val="7FBF1EB0"/>
    <w:rsid w:val="7FCF42A1"/>
    <w:rsid w:val="7FCF5FC9"/>
    <w:rsid w:val="7FDF3874"/>
    <w:rsid w:val="7FE7E89E"/>
    <w:rsid w:val="7FEEB066"/>
    <w:rsid w:val="7FEF5B90"/>
    <w:rsid w:val="7FF7EBBA"/>
    <w:rsid w:val="7FF9BFD1"/>
    <w:rsid w:val="7FFA3120"/>
    <w:rsid w:val="7FFB1E89"/>
    <w:rsid w:val="7FFDD19D"/>
    <w:rsid w:val="7FFF6D36"/>
    <w:rsid w:val="7FFF93C9"/>
    <w:rsid w:val="84EFBA69"/>
    <w:rsid w:val="8AEF76BF"/>
    <w:rsid w:val="8B57D699"/>
    <w:rsid w:val="8BFFC82F"/>
    <w:rsid w:val="8CEFDA45"/>
    <w:rsid w:val="8DD4566B"/>
    <w:rsid w:val="92FA315A"/>
    <w:rsid w:val="937B6F8D"/>
    <w:rsid w:val="95FAE282"/>
    <w:rsid w:val="96F60ECB"/>
    <w:rsid w:val="9AFB791E"/>
    <w:rsid w:val="9D7E851D"/>
    <w:rsid w:val="9EB31FE7"/>
    <w:rsid w:val="9EF39A63"/>
    <w:rsid w:val="9F2F0417"/>
    <w:rsid w:val="9F7D7693"/>
    <w:rsid w:val="9FF3D805"/>
    <w:rsid w:val="A7794EE5"/>
    <w:rsid w:val="A7BE59F9"/>
    <w:rsid w:val="AB91D909"/>
    <w:rsid w:val="ABFE4FD6"/>
    <w:rsid w:val="ADDBF4A8"/>
    <w:rsid w:val="B2E50FF9"/>
    <w:rsid w:val="B2F4132A"/>
    <w:rsid w:val="B6FE6A5A"/>
    <w:rsid w:val="B7632ADA"/>
    <w:rsid w:val="B77F763B"/>
    <w:rsid w:val="B77FFBBF"/>
    <w:rsid w:val="B7FFED75"/>
    <w:rsid w:val="B95B8AC3"/>
    <w:rsid w:val="B9AFDCF4"/>
    <w:rsid w:val="BABE0302"/>
    <w:rsid w:val="BBB713F8"/>
    <w:rsid w:val="BBDE0A00"/>
    <w:rsid w:val="BBE89E9D"/>
    <w:rsid w:val="BBF6860C"/>
    <w:rsid w:val="BBFFA7EF"/>
    <w:rsid w:val="BD67CC89"/>
    <w:rsid w:val="BDBF4B1D"/>
    <w:rsid w:val="BDFDF24F"/>
    <w:rsid w:val="BE9AA65E"/>
    <w:rsid w:val="BF769558"/>
    <w:rsid w:val="BF7F0AF0"/>
    <w:rsid w:val="BF962978"/>
    <w:rsid w:val="BFBE1C76"/>
    <w:rsid w:val="BFC8FBC7"/>
    <w:rsid w:val="BFF16AF4"/>
    <w:rsid w:val="BFF3429E"/>
    <w:rsid w:val="BFFB5F82"/>
    <w:rsid w:val="BFFD6490"/>
    <w:rsid w:val="BFFF8812"/>
    <w:rsid w:val="C6C7844C"/>
    <w:rsid w:val="C8FF2700"/>
    <w:rsid w:val="CB3F1175"/>
    <w:rsid w:val="CCEAF677"/>
    <w:rsid w:val="CFBD5B7F"/>
    <w:rsid w:val="CFEF5BAB"/>
    <w:rsid w:val="D07F2DF6"/>
    <w:rsid w:val="D5D382EE"/>
    <w:rsid w:val="D6F90AFD"/>
    <w:rsid w:val="D7BF231F"/>
    <w:rsid w:val="D7DEC0DD"/>
    <w:rsid w:val="D7DF7C12"/>
    <w:rsid w:val="DAFDF0E0"/>
    <w:rsid w:val="DBED9BDA"/>
    <w:rsid w:val="DD314086"/>
    <w:rsid w:val="DD7F0086"/>
    <w:rsid w:val="DDED440F"/>
    <w:rsid w:val="DDF74E82"/>
    <w:rsid w:val="DEBD2D84"/>
    <w:rsid w:val="DEFF1367"/>
    <w:rsid w:val="DF5750D5"/>
    <w:rsid w:val="DF5B7A9D"/>
    <w:rsid w:val="DFDF685B"/>
    <w:rsid w:val="DFEDFEDA"/>
    <w:rsid w:val="DFEF6434"/>
    <w:rsid w:val="DFF88CD7"/>
    <w:rsid w:val="DFFAAECC"/>
    <w:rsid w:val="DFFB3215"/>
    <w:rsid w:val="DFFB8B7A"/>
    <w:rsid w:val="DFFF15F0"/>
    <w:rsid w:val="E7D2B630"/>
    <w:rsid w:val="E7DBF087"/>
    <w:rsid w:val="E7F77AFC"/>
    <w:rsid w:val="E7FF6F89"/>
    <w:rsid w:val="E97B7166"/>
    <w:rsid w:val="EAB1C343"/>
    <w:rsid w:val="EBD7E3F0"/>
    <w:rsid w:val="EBDFC361"/>
    <w:rsid w:val="EC9F5989"/>
    <w:rsid w:val="ECCF85EC"/>
    <w:rsid w:val="EED7A001"/>
    <w:rsid w:val="EEDF0300"/>
    <w:rsid w:val="EF7FD19E"/>
    <w:rsid w:val="EFAD1FF4"/>
    <w:rsid w:val="EFB437D5"/>
    <w:rsid w:val="EFCE6DD2"/>
    <w:rsid w:val="EFE75DF5"/>
    <w:rsid w:val="EFEFAA88"/>
    <w:rsid w:val="EFEFFD5E"/>
    <w:rsid w:val="EFF143F9"/>
    <w:rsid w:val="EFF72413"/>
    <w:rsid w:val="EFF7FA2D"/>
    <w:rsid w:val="EFF938A8"/>
    <w:rsid w:val="EFFBA383"/>
    <w:rsid w:val="F1AD6C41"/>
    <w:rsid w:val="F27C5B8C"/>
    <w:rsid w:val="F3BE4C61"/>
    <w:rsid w:val="F3DF75B3"/>
    <w:rsid w:val="F57FFADB"/>
    <w:rsid w:val="F5FDA7D9"/>
    <w:rsid w:val="F6FC0824"/>
    <w:rsid w:val="F7BAED10"/>
    <w:rsid w:val="F7D79C11"/>
    <w:rsid w:val="F7DF87A2"/>
    <w:rsid w:val="F7DFBB3C"/>
    <w:rsid w:val="F7EB09F8"/>
    <w:rsid w:val="F7F5FE29"/>
    <w:rsid w:val="F7FE2C09"/>
    <w:rsid w:val="F7FF9315"/>
    <w:rsid w:val="F90F8F7C"/>
    <w:rsid w:val="F97FDD2B"/>
    <w:rsid w:val="F9AB903F"/>
    <w:rsid w:val="F9BFAF22"/>
    <w:rsid w:val="F9FF4599"/>
    <w:rsid w:val="FA6F5E89"/>
    <w:rsid w:val="FABC319B"/>
    <w:rsid w:val="FAFFA69D"/>
    <w:rsid w:val="FB56B0C2"/>
    <w:rsid w:val="FB81453C"/>
    <w:rsid w:val="FB96F91F"/>
    <w:rsid w:val="FD3785CC"/>
    <w:rsid w:val="FD7B0087"/>
    <w:rsid w:val="FDBD2CFA"/>
    <w:rsid w:val="FDBF4BC4"/>
    <w:rsid w:val="FDFD23B3"/>
    <w:rsid w:val="FE4D6CDE"/>
    <w:rsid w:val="FE62708A"/>
    <w:rsid w:val="FE8FD1F9"/>
    <w:rsid w:val="FECDD73C"/>
    <w:rsid w:val="FEDD5D85"/>
    <w:rsid w:val="FEEE2160"/>
    <w:rsid w:val="FEEF0B76"/>
    <w:rsid w:val="FEF573FA"/>
    <w:rsid w:val="FEF7226B"/>
    <w:rsid w:val="FEF97E2C"/>
    <w:rsid w:val="FF4363BD"/>
    <w:rsid w:val="FF6A1EAC"/>
    <w:rsid w:val="FF795FD4"/>
    <w:rsid w:val="FF7BCA5A"/>
    <w:rsid w:val="FF7FA287"/>
    <w:rsid w:val="FF7FFAB1"/>
    <w:rsid w:val="FF9E5115"/>
    <w:rsid w:val="FFAF1D2E"/>
    <w:rsid w:val="FFB4DABA"/>
    <w:rsid w:val="FFBF9976"/>
    <w:rsid w:val="FFD5D403"/>
    <w:rsid w:val="FFD7658D"/>
    <w:rsid w:val="FFDB4044"/>
    <w:rsid w:val="FFDF00DE"/>
    <w:rsid w:val="FFDF3120"/>
    <w:rsid w:val="FFDF4D62"/>
    <w:rsid w:val="FFDF8C57"/>
    <w:rsid w:val="FFE7DECB"/>
    <w:rsid w:val="FFE8271B"/>
    <w:rsid w:val="FFEB05CE"/>
    <w:rsid w:val="FFEFE519"/>
    <w:rsid w:val="FFF3430A"/>
    <w:rsid w:val="FFF5AF3A"/>
    <w:rsid w:val="FFF6915B"/>
    <w:rsid w:val="FFFD9234"/>
    <w:rsid w:val="FFFF01CB"/>
    <w:rsid w:val="FFFF7066"/>
    <w:rsid w:val="FFFFC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99"/>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qFormat/>
    <w:uiPriority w:val="0"/>
    <w:pPr>
      <w:shd w:val="clear" w:color="auto" w:fill="000080"/>
    </w:pPr>
  </w:style>
  <w:style w:type="paragraph" w:styleId="10">
    <w:name w:val="annotation text"/>
    <w:basedOn w:val="1"/>
    <w:link w:val="115"/>
    <w:qFormat/>
    <w:uiPriority w:val="0"/>
    <w:pPr>
      <w:jc w:val="left"/>
    </w:pPr>
    <w:rPr>
      <w:rFonts w:ascii="Times New Roman" w:hAnsi="Times New Roman" w:eastAsia="宋体"/>
      <w:snapToGrid/>
      <w:kern w:val="2"/>
      <w:sz w:val="21"/>
      <w:szCs w:val="20"/>
    </w:rPr>
  </w:style>
  <w:style w:type="paragraph" w:styleId="11">
    <w:name w:val="Body Text Indent"/>
    <w:basedOn w:val="1"/>
    <w:link w:val="42"/>
    <w:qFormat/>
    <w:uiPriority w:val="0"/>
    <w:pPr>
      <w:ind w:left="570" w:hanging="30"/>
    </w:pPr>
    <w:rPr>
      <w:rFonts w:ascii="Times New Roman" w:hAnsi="Times New Roman" w:eastAsia="宋体"/>
      <w:snapToGrid/>
      <w:kern w:val="2"/>
      <w:sz w:val="28"/>
      <w:szCs w:val="20"/>
    </w:rPr>
  </w:style>
  <w:style w:type="paragraph" w:styleId="12">
    <w:name w:val="Block Text"/>
    <w:basedOn w:val="1"/>
    <w:qFormat/>
    <w:uiPriority w:val="0"/>
    <w:pPr>
      <w:ind w:left="-718" w:leftChars="-342" w:right="-512" w:rightChars="-244"/>
      <w:jc w:val="center"/>
    </w:pPr>
    <w:rPr>
      <w:rFonts w:ascii="仿宋_GB2312"/>
      <w:snapToGrid/>
      <w:kern w:val="2"/>
      <w:sz w:val="44"/>
    </w:rPr>
  </w:style>
  <w:style w:type="paragraph" w:styleId="13">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4">
    <w:name w:val="Plain Text"/>
    <w:basedOn w:val="1"/>
    <w:link w:val="43"/>
    <w:qFormat/>
    <w:uiPriority w:val="0"/>
    <w:rPr>
      <w:rFonts w:hAnsi="Courier New" w:eastAsia="宋体" w:cs="Courier New"/>
      <w:kern w:val="2"/>
      <w:sz w:val="21"/>
      <w:szCs w:val="21"/>
    </w:rPr>
  </w:style>
  <w:style w:type="paragraph" w:styleId="15">
    <w:name w:val="Date"/>
    <w:basedOn w:val="1"/>
    <w:next w:val="1"/>
    <w:link w:val="44"/>
    <w:qFormat/>
    <w:uiPriority w:val="0"/>
    <w:pPr>
      <w:ind w:left="100" w:leftChars="2500"/>
    </w:pPr>
  </w:style>
  <w:style w:type="paragraph" w:styleId="16">
    <w:name w:val="Body Text Indent 2"/>
    <w:basedOn w:val="1"/>
    <w:qFormat/>
    <w:uiPriority w:val="0"/>
    <w:pPr>
      <w:spacing w:after="120" w:line="480" w:lineRule="auto"/>
      <w:ind w:left="420" w:leftChars="200"/>
    </w:pPr>
    <w:rPr>
      <w:rFonts w:ascii="Times New Roman" w:hAnsi="Times New Roman"/>
      <w:snapToGrid/>
      <w:kern w:val="2"/>
      <w:szCs w:val="24"/>
    </w:rPr>
  </w:style>
  <w:style w:type="paragraph" w:styleId="17">
    <w:name w:val="Balloon Text"/>
    <w:basedOn w:val="1"/>
    <w:qFormat/>
    <w:uiPriority w:val="0"/>
    <w:rPr>
      <w:sz w:val="18"/>
      <w:szCs w:val="18"/>
    </w:rPr>
  </w:style>
  <w:style w:type="paragraph" w:styleId="18">
    <w:name w:val="footer"/>
    <w:basedOn w:val="1"/>
    <w:next w:val="1"/>
    <w:link w:val="45"/>
    <w:qFormat/>
    <w:uiPriority w:val="0"/>
    <w:pPr>
      <w:tabs>
        <w:tab w:val="center" w:pos="4153"/>
        <w:tab w:val="right" w:pos="8306"/>
      </w:tabs>
      <w:snapToGrid w:val="0"/>
      <w:jc w:val="left"/>
    </w:pPr>
    <w:rPr>
      <w:sz w:val="18"/>
      <w:szCs w:val="18"/>
    </w:rPr>
  </w:style>
  <w:style w:type="paragraph" w:styleId="19">
    <w:name w:val="envelope return"/>
    <w:basedOn w:val="1"/>
    <w:qFormat/>
    <w:uiPriority w:val="0"/>
    <w:pPr>
      <w:widowControl/>
      <w:jc w:val="left"/>
    </w:pPr>
    <w:rPr>
      <w:rFonts w:ascii="Garamond" w:hAnsi="Garamond" w:eastAsia="宋体"/>
      <w:snapToGrid/>
      <w:kern w:val="0"/>
      <w:sz w:val="24"/>
      <w:szCs w:val="20"/>
      <w:lang w:val="fr-CH" w:eastAsia="en-US"/>
    </w:rPr>
  </w:style>
  <w:style w:type="paragraph" w:styleId="20">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2">
    <w:name w:val="List"/>
    <w:basedOn w:val="2"/>
    <w:qFormat/>
    <w:uiPriority w:val="0"/>
    <w:pPr>
      <w:suppressAutoHyphens/>
      <w:spacing w:after="0" w:line="0" w:lineRule="atLeast"/>
      <w:jc w:val="center"/>
    </w:pPr>
    <w:rPr>
      <w:rFonts w:ascii="方正小标宋简体" w:hAnsi="方正小标宋简体" w:eastAsia="方正小标宋简体"/>
      <w:snapToGrid/>
      <w:kern w:val="1"/>
      <w:sz w:val="44"/>
      <w:szCs w:val="24"/>
    </w:rPr>
  </w:style>
  <w:style w:type="paragraph" w:styleId="23">
    <w:name w:val="footnote text"/>
    <w:basedOn w:val="1"/>
    <w:qFormat/>
    <w:uiPriority w:val="0"/>
    <w:pPr>
      <w:snapToGrid w:val="0"/>
      <w:jc w:val="left"/>
    </w:pPr>
    <w:rPr>
      <w:sz w:val="18"/>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qFormat/>
    <w:uiPriority w:val="0"/>
    <w:pPr>
      <w:spacing w:after="120" w:line="480" w:lineRule="auto"/>
    </w:pPr>
    <w:rPr>
      <w:rFonts w:ascii="Times New Roman" w:hAnsi="Times New Roman" w:eastAsia="宋体"/>
      <w:snapToGrid/>
      <w:kern w:val="2"/>
      <w:sz w:val="21"/>
      <w:szCs w:val="24"/>
    </w:rPr>
  </w:style>
  <w:style w:type="paragraph" w:styleId="27">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qFormat/>
    <w:uiPriority w:val="0"/>
    <w:pPr>
      <w:widowControl/>
      <w:spacing w:before="100" w:beforeAutospacing="1"/>
      <w:jc w:val="center"/>
    </w:pPr>
    <w:rPr>
      <w:rFonts w:eastAsia="宋体"/>
      <w:snapToGrid/>
      <w:kern w:val="0"/>
      <w:sz w:val="24"/>
      <w:szCs w:val="24"/>
    </w:rPr>
  </w:style>
  <w:style w:type="paragraph" w:styleId="29">
    <w:name w:val="Title"/>
    <w:basedOn w:val="1"/>
    <w:link w:val="48"/>
    <w:qFormat/>
    <w:uiPriority w:val="0"/>
    <w:pPr>
      <w:spacing w:line="216" w:lineRule="auto"/>
      <w:jc w:val="center"/>
      <w:outlineLvl w:val="0"/>
    </w:pPr>
    <w:rPr>
      <w:rFonts w:ascii="方正小标宋简体" w:hAnsi="Arial" w:eastAsia="方正小标宋简体" w:cs="Arial"/>
      <w:bCs/>
      <w:kern w:val="44"/>
      <w:sz w:val="44"/>
      <w:szCs w:val="44"/>
    </w:rPr>
  </w:style>
  <w:style w:type="paragraph" w:styleId="30">
    <w:name w:val="annotation subject"/>
    <w:basedOn w:val="10"/>
    <w:next w:val="10"/>
    <w:link w:val="116"/>
    <w:qFormat/>
    <w:uiPriority w:val="0"/>
    <w:rPr>
      <w:rFonts w:ascii="宋体" w:hAnsi="宋体" w:eastAsia="仿宋_GB2312"/>
      <w:b/>
      <w:bCs/>
      <w:snapToGrid w:val="0"/>
      <w:kern w:val="32"/>
      <w:sz w:val="32"/>
      <w:szCs w:val="3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800080"/>
      <w:u w:val="single"/>
    </w:rPr>
  </w:style>
  <w:style w:type="character" w:styleId="37">
    <w:name w:val="Hyperlink"/>
    <w:basedOn w:val="33"/>
    <w:qFormat/>
    <w:uiPriority w:val="0"/>
    <w:rPr>
      <w:color w:val="0000FF"/>
      <w:u w:val="single"/>
    </w:rPr>
  </w:style>
  <w:style w:type="character" w:styleId="38">
    <w:name w:val="annotation reference"/>
    <w:basedOn w:val="33"/>
    <w:qFormat/>
    <w:uiPriority w:val="0"/>
    <w:rPr>
      <w:sz w:val="21"/>
      <w:szCs w:val="21"/>
    </w:rPr>
  </w:style>
  <w:style w:type="character" w:styleId="39">
    <w:name w:val="footnote reference"/>
    <w:basedOn w:val="33"/>
    <w:qFormat/>
    <w:uiPriority w:val="0"/>
    <w:rPr>
      <w:vertAlign w:val="superscript"/>
    </w:rPr>
  </w:style>
  <w:style w:type="paragraph" w:customStyle="1" w:styleId="40">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1">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42">
    <w:name w:val="正文文本缩进 字符"/>
    <w:basedOn w:val="33"/>
    <w:link w:val="11"/>
    <w:qFormat/>
    <w:uiPriority w:val="0"/>
    <w:rPr>
      <w:rFonts w:eastAsia="宋体"/>
      <w:kern w:val="2"/>
      <w:sz w:val="28"/>
      <w:lang w:val="en-US" w:eastAsia="zh-CN" w:bidi="ar-SA"/>
    </w:rPr>
  </w:style>
  <w:style w:type="character" w:customStyle="1" w:styleId="43">
    <w:name w:val="纯文本 字符"/>
    <w:basedOn w:val="33"/>
    <w:link w:val="14"/>
    <w:qFormat/>
    <w:uiPriority w:val="0"/>
    <w:rPr>
      <w:rFonts w:ascii="宋体" w:hAnsi="Courier New" w:eastAsia="宋体" w:cs="Courier New"/>
      <w:kern w:val="2"/>
      <w:sz w:val="21"/>
      <w:szCs w:val="21"/>
      <w:lang w:val="en-US" w:eastAsia="zh-CN" w:bidi="ar-SA"/>
    </w:rPr>
  </w:style>
  <w:style w:type="character" w:customStyle="1" w:styleId="44">
    <w:name w:val="日期 字符"/>
    <w:basedOn w:val="33"/>
    <w:link w:val="15"/>
    <w:semiHidden/>
    <w:qFormat/>
    <w:locked/>
    <w:uiPriority w:val="0"/>
    <w:rPr>
      <w:rFonts w:ascii="宋体" w:hAnsi="宋体" w:eastAsia="仿宋_GB2312"/>
      <w:snapToGrid w:val="0"/>
      <w:kern w:val="32"/>
      <w:sz w:val="32"/>
      <w:szCs w:val="32"/>
      <w:lang w:val="en-US" w:eastAsia="zh-CN" w:bidi="ar-SA"/>
    </w:rPr>
  </w:style>
  <w:style w:type="character" w:customStyle="1" w:styleId="45">
    <w:name w:val="页脚 字符"/>
    <w:basedOn w:val="33"/>
    <w:link w:val="18"/>
    <w:semiHidden/>
    <w:qFormat/>
    <w:locked/>
    <w:uiPriority w:val="0"/>
    <w:rPr>
      <w:rFonts w:ascii="宋体" w:hAnsi="宋体" w:eastAsia="仿宋_GB2312"/>
      <w:snapToGrid w:val="0"/>
      <w:kern w:val="32"/>
      <w:sz w:val="18"/>
      <w:szCs w:val="18"/>
      <w:lang w:val="en-US" w:eastAsia="zh-CN" w:bidi="ar-SA"/>
    </w:rPr>
  </w:style>
  <w:style w:type="character" w:customStyle="1" w:styleId="46">
    <w:name w:val="页眉 字符"/>
    <w:basedOn w:val="33"/>
    <w:link w:val="20"/>
    <w:semiHidden/>
    <w:qFormat/>
    <w:locked/>
    <w:uiPriority w:val="0"/>
    <w:rPr>
      <w:rFonts w:ascii="宋体" w:hAnsi="宋体" w:eastAsia="仿宋_GB2312"/>
      <w:snapToGrid w:val="0"/>
      <w:kern w:val="32"/>
      <w:sz w:val="18"/>
      <w:szCs w:val="18"/>
      <w:lang w:val="en-US" w:eastAsia="zh-CN" w:bidi="ar-SA"/>
    </w:rPr>
  </w:style>
  <w:style w:type="character" w:customStyle="1" w:styleId="47">
    <w:name w:val="HTML 预设格式 字符"/>
    <w:link w:val="27"/>
    <w:qFormat/>
    <w:locked/>
    <w:uiPriority w:val="0"/>
    <w:rPr>
      <w:rFonts w:ascii="宋体" w:hAnsi="宋体" w:eastAsia="宋体"/>
      <w:sz w:val="24"/>
      <w:szCs w:val="24"/>
      <w:lang w:val="en-US" w:eastAsia="zh-CN" w:bidi="ar-SA"/>
    </w:rPr>
  </w:style>
  <w:style w:type="character" w:customStyle="1" w:styleId="48">
    <w:name w:val="标题 字符"/>
    <w:basedOn w:val="33"/>
    <w:link w:val="29"/>
    <w:qFormat/>
    <w:locked/>
    <w:uiPriority w:val="0"/>
    <w:rPr>
      <w:rFonts w:ascii="方正小标宋简体" w:hAnsi="Arial" w:eastAsia="方正小标宋简体" w:cs="Arial"/>
      <w:bCs/>
      <w:snapToGrid w:val="0"/>
      <w:kern w:val="44"/>
      <w:sz w:val="44"/>
      <w:szCs w:val="44"/>
      <w:lang w:val="en-US" w:eastAsia="zh-CN" w:bidi="ar-SA"/>
    </w:rPr>
  </w:style>
  <w:style w:type="character" w:customStyle="1" w:styleId="49">
    <w:name w:val="heise_12c"/>
    <w:basedOn w:val="33"/>
    <w:qFormat/>
    <w:uiPriority w:val="0"/>
  </w:style>
  <w:style w:type="character" w:customStyle="1" w:styleId="50">
    <w:name w:val="content1"/>
    <w:basedOn w:val="33"/>
    <w:qFormat/>
    <w:uiPriority w:val="0"/>
    <w:rPr>
      <w:sz w:val="21"/>
      <w:szCs w:val="21"/>
    </w:rPr>
  </w:style>
  <w:style w:type="character" w:customStyle="1" w:styleId="51">
    <w:name w:val="Plain Text Char"/>
    <w:basedOn w:val="33"/>
    <w:qFormat/>
    <w:uiPriority w:val="0"/>
    <w:rPr>
      <w:rFonts w:ascii="宋体" w:hAnsi="Courier New" w:eastAsia="宋体" w:cs="Courier New"/>
      <w:sz w:val="21"/>
      <w:szCs w:val="21"/>
    </w:rPr>
  </w:style>
  <w:style w:type="character" w:customStyle="1" w:styleId="52">
    <w:name w:val="apple-style-span"/>
    <w:basedOn w:val="33"/>
    <w:qFormat/>
    <w:uiPriority w:val="0"/>
  </w:style>
  <w:style w:type="character" w:customStyle="1" w:styleId="53">
    <w:name w:val="oalinshistyle21"/>
    <w:basedOn w:val="33"/>
    <w:qFormat/>
    <w:uiPriority w:val="0"/>
    <w:rPr>
      <w:rFonts w:hint="default" w:ascii="Arial" w:hAnsi="Arial" w:cs="Arial"/>
      <w:sz w:val="27"/>
      <w:szCs w:val="27"/>
    </w:rPr>
  </w:style>
  <w:style w:type="character" w:customStyle="1" w:styleId="54">
    <w:name w:val="bz_12"/>
    <w:basedOn w:val="33"/>
    <w:qFormat/>
    <w:uiPriority w:val="0"/>
  </w:style>
  <w:style w:type="character" w:customStyle="1" w:styleId="55">
    <w:name w:val="font1"/>
    <w:basedOn w:val="33"/>
    <w:qFormat/>
    <w:uiPriority w:val="0"/>
    <w:rPr>
      <w:sz w:val="18"/>
      <w:szCs w:val="18"/>
    </w:rPr>
  </w:style>
  <w:style w:type="character" w:customStyle="1" w:styleId="56">
    <w:name w:val="样式1 Char Char"/>
    <w:basedOn w:val="33"/>
    <w:link w:val="57"/>
    <w:qFormat/>
    <w:uiPriority w:val="0"/>
    <w:rPr>
      <w:rFonts w:ascii="方正小标宋简体" w:hAnsi="Calibri" w:eastAsia="方正小标宋简体"/>
      <w:kern w:val="2"/>
      <w:sz w:val="44"/>
      <w:szCs w:val="44"/>
      <w:lang w:val="en-US" w:eastAsia="zh-CN" w:bidi="ar-SA"/>
    </w:rPr>
  </w:style>
  <w:style w:type="paragraph" w:customStyle="1" w:styleId="57">
    <w:name w:val="样式1"/>
    <w:basedOn w:val="1"/>
    <w:link w:val="56"/>
    <w:qFormat/>
    <w:uiPriority w:val="0"/>
    <w:pPr>
      <w:jc w:val="center"/>
    </w:pPr>
    <w:rPr>
      <w:rFonts w:ascii="方正小标宋简体" w:hAnsi="Calibri" w:eastAsia="方正小标宋简体"/>
      <w:kern w:val="2"/>
      <w:sz w:val="44"/>
      <w:szCs w:val="44"/>
    </w:rPr>
  </w:style>
  <w:style w:type="paragraph" w:customStyle="1" w:styleId="58">
    <w:name w:val="List Paragraph1"/>
    <w:basedOn w:val="1"/>
    <w:qFormat/>
    <w:uiPriority w:val="0"/>
    <w:pPr>
      <w:ind w:firstLine="420" w:firstLineChars="200"/>
    </w:pPr>
    <w:rPr>
      <w:rFonts w:ascii="Calibri" w:hAnsi="Calibri" w:eastAsia="宋体" w:cs="Calibri"/>
      <w:snapToGrid/>
      <w:kern w:val="2"/>
      <w:sz w:val="21"/>
      <w:szCs w:val="21"/>
    </w:rPr>
  </w:style>
  <w:style w:type="paragraph" w:customStyle="1" w:styleId="59">
    <w:name w:val="Char1 Char Char Char"/>
    <w:basedOn w:val="1"/>
    <w:qFormat/>
    <w:uiPriority w:val="0"/>
  </w:style>
  <w:style w:type="paragraph" w:customStyle="1" w:styleId="6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1"/>
    <w:basedOn w:val="1"/>
    <w:qFormat/>
    <w:uiPriority w:val="0"/>
    <w:rPr>
      <w:rFonts w:ascii="Tahoma" w:hAnsi="Tahoma" w:eastAsia="宋体"/>
      <w:snapToGrid/>
      <w:kern w:val="2"/>
      <w:sz w:val="24"/>
      <w:szCs w:val="20"/>
    </w:rPr>
  </w:style>
  <w:style w:type="paragraph" w:customStyle="1" w:styleId="62">
    <w:name w:val="样式 正文缩进正文（首行缩进两字）正文（首行缩进两字） Char Char Char Char Char Char Char..."/>
    <w:basedOn w:val="7"/>
    <w:qFormat/>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6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snapToGrid/>
      <w:kern w:val="0"/>
      <w:sz w:val="24"/>
      <w:szCs w:val="20"/>
      <w:lang w:eastAsia="en-US"/>
    </w:rPr>
  </w:style>
  <w:style w:type="paragraph" w:customStyle="1" w:styleId="64">
    <w:name w:val="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65">
    <w:name w:val="规划正文"/>
    <w:basedOn w:val="1"/>
    <w:qFormat/>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66">
    <w:name w:val="样式 三号 首行缩进:  1.13 厘米 行距: 多倍行距 1.25 字行"/>
    <w:basedOn w:val="1"/>
    <w:qFormat/>
    <w:uiPriority w:val="0"/>
    <w:pPr>
      <w:adjustRightInd w:val="0"/>
      <w:snapToGrid w:val="0"/>
      <w:spacing w:line="360" w:lineRule="auto"/>
      <w:ind w:firstLine="200" w:firstLineChars="200"/>
    </w:pPr>
    <w:rPr>
      <w:rFonts w:ascii="Times New Roman" w:hAnsi="Times New Roman"/>
      <w:snapToGrid/>
      <w:kern w:val="2"/>
    </w:rPr>
  </w:style>
  <w:style w:type="paragraph" w:customStyle="1" w:styleId="67">
    <w:name w:val="Char Char2 Char"/>
    <w:basedOn w:val="1"/>
    <w:qFormat/>
    <w:uiPriority w:val="0"/>
    <w:rPr>
      <w:rFonts w:eastAsia="宋体" w:cs="Courier New"/>
      <w:snapToGrid/>
      <w:kern w:val="2"/>
    </w:rPr>
  </w:style>
  <w:style w:type="paragraph" w:customStyle="1" w:styleId="68">
    <w:name w:val="封面副标题"/>
    <w:qFormat/>
    <w:uiPriority w:val="0"/>
    <w:pPr>
      <w:adjustRightInd w:val="0"/>
      <w:snapToGrid w:val="0"/>
      <w:spacing w:before="156" w:beforeLines="50" w:line="360" w:lineRule="auto"/>
      <w:jc w:val="center"/>
    </w:pPr>
    <w:rPr>
      <w:rFonts w:ascii="Times New Roman" w:hAnsi="Times New Roman" w:eastAsia="黑体" w:cs="Times New Roman"/>
      <w:b/>
      <w:snapToGrid w:val="0"/>
      <w:spacing w:val="20"/>
      <w:sz w:val="52"/>
      <w:lang w:val="en-US" w:eastAsia="zh-CN" w:bidi="ar-SA"/>
    </w:rPr>
  </w:style>
  <w:style w:type="paragraph" w:customStyle="1" w:styleId="69">
    <w:name w:val="ddddd"/>
    <w:basedOn w:val="1"/>
    <w:qFormat/>
    <w:uiPriority w:val="0"/>
    <w:pPr>
      <w:pageBreakBefore/>
    </w:pPr>
    <w:rPr>
      <w:rFonts w:ascii="Times New Roman" w:hAnsi="Times New Roman" w:eastAsia="宋体"/>
      <w:snapToGrid/>
      <w:kern w:val="2"/>
      <w:sz w:val="21"/>
      <w:szCs w:val="20"/>
    </w:rPr>
  </w:style>
  <w:style w:type="paragraph" w:customStyle="1" w:styleId="70">
    <w:name w:val="默认段落字体 Para Char Char Char Char Char Char Char"/>
    <w:basedOn w:val="9"/>
    <w:qFormat/>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7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Char Char1"/>
    <w:basedOn w:val="9"/>
    <w:qFormat/>
    <w:uiPriority w:val="0"/>
    <w:rPr>
      <w:rFonts w:ascii="Tahoma" w:hAnsi="Tahoma" w:eastAsia="宋体"/>
      <w:snapToGrid/>
      <w:kern w:val="2"/>
      <w:sz w:val="24"/>
      <w:szCs w:val="24"/>
    </w:rPr>
  </w:style>
  <w:style w:type="paragraph" w:customStyle="1" w:styleId="73">
    <w:name w:val="Char Char Char Char"/>
    <w:basedOn w:val="1"/>
    <w:qFormat/>
    <w:uiPriority w:val="0"/>
    <w:rPr>
      <w:rFonts w:ascii="Times New Roman" w:hAnsi="Times New Roman" w:eastAsia="宋体"/>
      <w:snapToGrid/>
      <w:kern w:val="2"/>
      <w:sz w:val="21"/>
      <w:szCs w:val="24"/>
    </w:rPr>
  </w:style>
  <w:style w:type="paragraph" w:customStyle="1" w:styleId="74">
    <w:name w:val="首信标准正文"/>
    <w:basedOn w:val="1"/>
    <w:qFormat/>
    <w:uiPriority w:val="0"/>
    <w:pPr>
      <w:spacing w:line="360" w:lineRule="auto"/>
    </w:pPr>
    <w:rPr>
      <w:rFonts w:ascii="Tahoma" w:hAnsi="Tahoma" w:eastAsia="宋体"/>
      <w:snapToGrid/>
      <w:kern w:val="2"/>
      <w:sz w:val="24"/>
      <w:szCs w:val="20"/>
    </w:rPr>
  </w:style>
  <w:style w:type="paragraph" w:customStyle="1" w:styleId="75">
    <w:name w:val="默认段落字体 Para Char Char Char2 Char Char Char Char Char Char Char Char Char Char"/>
    <w:basedOn w:val="1"/>
    <w:qFormat/>
    <w:uiPriority w:val="0"/>
    <w:rPr>
      <w:rFonts w:eastAsia="宋体" w:cs="Courier New"/>
      <w:snapToGrid/>
      <w:kern w:val="2"/>
    </w:rPr>
  </w:style>
  <w:style w:type="paragraph" w:customStyle="1" w:styleId="76">
    <w:name w:val="Char"/>
    <w:basedOn w:val="1"/>
    <w:qFormat/>
    <w:uiPriority w:val="0"/>
    <w:pPr>
      <w:widowControl/>
      <w:spacing w:after="160" w:line="240" w:lineRule="exact"/>
      <w:jc w:val="left"/>
    </w:pPr>
    <w:rPr>
      <w:rFonts w:ascii="Verdana" w:hAnsi="Verdana"/>
      <w:snapToGrid/>
      <w:kern w:val="0"/>
      <w:sz w:val="24"/>
      <w:szCs w:val="20"/>
      <w:lang w:eastAsia="en-US"/>
    </w:rPr>
  </w:style>
  <w:style w:type="paragraph" w:customStyle="1" w:styleId="77">
    <w:name w:val="Char Char Char Char Char Char Char Char Char Char"/>
    <w:basedOn w:val="1"/>
    <w:qFormat/>
    <w:uiPriority w:val="0"/>
    <w:rPr>
      <w:rFonts w:ascii="Tahoma" w:hAnsi="Tahoma" w:eastAsia="宋体"/>
      <w:snapToGrid/>
      <w:kern w:val="2"/>
      <w:sz w:val="24"/>
      <w:szCs w:val="20"/>
    </w:rPr>
  </w:style>
  <w:style w:type="paragraph" w:customStyle="1" w:styleId="78">
    <w:name w:val="cjk"/>
    <w:basedOn w:val="1"/>
    <w:qFormat/>
    <w:uiPriority w:val="0"/>
    <w:pPr>
      <w:widowControl/>
      <w:spacing w:before="100" w:beforeAutospacing="1"/>
      <w:jc w:val="center"/>
    </w:pPr>
    <w:rPr>
      <w:rFonts w:eastAsia="宋体"/>
      <w:b/>
      <w:bCs/>
      <w:snapToGrid/>
      <w:kern w:val="0"/>
    </w:rPr>
  </w:style>
  <w:style w:type="paragraph" w:customStyle="1" w:styleId="79">
    <w:name w:val="Char Char Char Char1"/>
    <w:basedOn w:val="1"/>
    <w:qFormat/>
    <w:uiPriority w:val="0"/>
    <w:pPr>
      <w:adjustRightInd w:val="0"/>
      <w:spacing w:line="360" w:lineRule="auto"/>
    </w:pPr>
    <w:rPr>
      <w:rFonts w:ascii="Times New Roman" w:hAnsi="Times New Roman" w:eastAsia="宋体"/>
      <w:snapToGrid/>
      <w:kern w:val="0"/>
      <w:sz w:val="24"/>
      <w:szCs w:val="20"/>
    </w:rPr>
  </w:style>
  <w:style w:type="paragraph" w:customStyle="1" w:styleId="80">
    <w:name w:val="列表段落1"/>
    <w:basedOn w:val="1"/>
    <w:qFormat/>
    <w:uiPriority w:val="0"/>
    <w:pPr>
      <w:ind w:firstLine="420" w:firstLineChars="200"/>
    </w:pPr>
    <w:rPr>
      <w:rFonts w:ascii="Calibri" w:hAnsi="Calibri" w:eastAsia="宋体"/>
      <w:snapToGrid/>
      <w:kern w:val="2"/>
      <w:sz w:val="21"/>
      <w:szCs w:val="22"/>
    </w:rPr>
  </w:style>
  <w:style w:type="paragraph" w:customStyle="1" w:styleId="81">
    <w:name w:val="正文（基准，首行不缩进）"/>
    <w:qFormat/>
    <w:uiPriority w:val="0"/>
    <w:pPr>
      <w:widowControl w:val="0"/>
      <w:autoSpaceDE w:val="0"/>
      <w:autoSpaceDN w:val="0"/>
      <w:adjustRightInd w:val="0"/>
      <w:jc w:val="both"/>
    </w:pPr>
    <w:rPr>
      <w:rFonts w:ascii="Times New Roman" w:hAnsi="Times New Roman" w:eastAsia="宋体" w:cs="Times New Roman"/>
      <w:sz w:val="21"/>
      <w:lang w:val="en-US" w:eastAsia="zh-CN" w:bidi="ar-SA"/>
    </w:rPr>
  </w:style>
  <w:style w:type="paragraph" w:customStyle="1" w:styleId="82">
    <w:name w:val="WW-正文文字缩进 2"/>
    <w:basedOn w:val="1"/>
    <w:qFormat/>
    <w:uiPriority w:val="0"/>
    <w:pPr>
      <w:suppressAutoHyphens/>
      <w:spacing w:line="276" w:lineRule="auto"/>
      <w:ind w:firstLine="630"/>
    </w:pPr>
    <w:rPr>
      <w:rFonts w:ascii="楷体_GB2312" w:hAnsi="楷体_GB2312" w:eastAsia="宋体"/>
      <w:snapToGrid/>
      <w:kern w:val="1"/>
      <w:szCs w:val="20"/>
    </w:rPr>
  </w:style>
  <w:style w:type="paragraph" w:customStyle="1" w:styleId="83">
    <w:name w:val="Char11"/>
    <w:basedOn w:val="1"/>
    <w:qFormat/>
    <w:uiPriority w:val="0"/>
    <w:rPr>
      <w:rFonts w:eastAsia="宋体" w:cs="Courier New"/>
      <w:snapToGrid/>
      <w:kern w:val="2"/>
    </w:rPr>
  </w:style>
  <w:style w:type="paragraph" w:customStyle="1" w:styleId="84">
    <w:name w:val="Char Char Char Char Char Char"/>
    <w:basedOn w:val="1"/>
    <w:qFormat/>
    <w:uiPriority w:val="0"/>
    <w:pPr>
      <w:widowControl/>
      <w:spacing w:after="160" w:line="240" w:lineRule="exact"/>
      <w:jc w:val="left"/>
    </w:pPr>
    <w:rPr>
      <w:rFonts w:ascii="Arial" w:hAnsi="Arial" w:eastAsia="Times New Roman" w:cs="Verdana"/>
      <w:b/>
      <w:snapToGrid/>
      <w:kern w:val="0"/>
      <w:sz w:val="24"/>
      <w:szCs w:val="20"/>
      <w:lang w:eastAsia="en-US"/>
    </w:rPr>
  </w:style>
  <w:style w:type="paragraph" w:customStyle="1" w:styleId="85">
    <w:name w:val="Char Char Char Char Char Char Char Char Char Char Char Char Char"/>
    <w:basedOn w:val="1"/>
    <w:qFormat/>
    <w:uiPriority w:val="0"/>
    <w:rPr>
      <w:rFonts w:ascii="Tahoma" w:hAnsi="Tahoma" w:eastAsia="宋体"/>
      <w:snapToGrid/>
      <w:kern w:val="2"/>
      <w:sz w:val="24"/>
      <w:szCs w:val="20"/>
    </w:rPr>
  </w:style>
  <w:style w:type="paragraph" w:customStyle="1" w:styleId="86">
    <w:name w:val="Char2 Char Char Char Char Char Char"/>
    <w:basedOn w:val="1"/>
    <w:qFormat/>
    <w:uiPriority w:val="0"/>
    <w:pPr>
      <w:snapToGrid w:val="0"/>
      <w:spacing w:line="360" w:lineRule="auto"/>
      <w:ind w:firstLine="200" w:firstLineChars="200"/>
    </w:pPr>
    <w:rPr>
      <w:rFonts w:ascii="Times New Roman" w:hAnsi="Times New Roman"/>
      <w:snapToGrid/>
      <w:kern w:val="2"/>
      <w:sz w:val="24"/>
      <w:szCs w:val="24"/>
    </w:rPr>
  </w:style>
  <w:style w:type="paragraph" w:customStyle="1" w:styleId="87">
    <w:name w:val="Char Char Char Char Char Char Char"/>
    <w:basedOn w:val="1"/>
    <w:qFormat/>
    <w:uiPriority w:val="0"/>
    <w:rPr>
      <w:rFonts w:eastAsia="宋体" w:cs="Courier New"/>
      <w:snapToGrid/>
      <w:kern w:val="2"/>
    </w:rPr>
  </w:style>
  <w:style w:type="paragraph" w:customStyle="1" w:styleId="88">
    <w:name w:val="Char Char Char Char Char Char Char Char Char Char Char Char Char Char Char Char"/>
    <w:basedOn w:val="1"/>
    <w:qFormat/>
    <w:uiPriority w:val="0"/>
    <w:pPr>
      <w:jc w:val="center"/>
    </w:pPr>
    <w:rPr>
      <w:rFonts w:ascii="Tahoma" w:hAnsi="Tahoma" w:eastAsia="宋体"/>
      <w:snapToGrid/>
      <w:kern w:val="2"/>
      <w:sz w:val="24"/>
      <w:szCs w:val="20"/>
    </w:rPr>
  </w:style>
  <w:style w:type="paragraph" w:customStyle="1" w:styleId="89">
    <w:name w:val="Char1"/>
    <w:basedOn w:val="1"/>
    <w:qFormat/>
    <w:uiPriority w:val="0"/>
    <w:rPr>
      <w:rFonts w:ascii="Tahoma" w:hAnsi="Tahoma" w:eastAsia="宋体"/>
      <w:snapToGrid/>
      <w:kern w:val="2"/>
      <w:sz w:val="24"/>
      <w:szCs w:val="20"/>
    </w:rPr>
  </w:style>
  <w:style w:type="paragraph" w:customStyle="1" w:styleId="90">
    <w:name w:val="默认段落字体 Para Char Char Char Char"/>
    <w:basedOn w:val="1"/>
    <w:qFormat/>
    <w:uiPriority w:val="0"/>
    <w:rPr>
      <w:rFonts w:ascii="Times New Roman" w:hAnsi="Times New Roman" w:eastAsia="宋体"/>
      <w:snapToGrid/>
      <w:kern w:val="2"/>
      <w:sz w:val="21"/>
      <w:szCs w:val="24"/>
    </w:rPr>
  </w:style>
  <w:style w:type="paragraph" w:customStyle="1" w:styleId="91">
    <w:name w:val="msolistparagraph"/>
    <w:basedOn w:val="1"/>
    <w:qFormat/>
    <w:uiPriority w:val="0"/>
    <w:pPr>
      <w:widowControl/>
      <w:spacing w:before="100" w:beforeAutospacing="1" w:after="100" w:afterAutospacing="1"/>
      <w:jc w:val="left"/>
    </w:pPr>
    <w:rPr>
      <w:rFonts w:eastAsia="宋体" w:cs="宋体"/>
      <w:snapToGrid/>
      <w:kern w:val="0"/>
      <w:sz w:val="24"/>
      <w:szCs w:val="24"/>
    </w:rPr>
  </w:style>
  <w:style w:type="character" w:customStyle="1" w:styleId="92">
    <w:name w:val="content"/>
    <w:basedOn w:val="33"/>
    <w:qFormat/>
    <w:uiPriority w:val="0"/>
  </w:style>
  <w:style w:type="paragraph" w:customStyle="1" w:styleId="93">
    <w:name w:val="主题词"/>
    <w:basedOn w:val="1"/>
    <w:qFormat/>
    <w:uiPriority w:val="0"/>
    <w:pPr>
      <w:jc w:val="left"/>
    </w:pPr>
    <w:rPr>
      <w:rFonts w:ascii="Times New Roman" w:hAnsi="Times New Roman" w:eastAsia="宋体"/>
      <w:snapToGrid/>
      <w:kern w:val="2"/>
      <w:szCs w:val="20"/>
    </w:rPr>
  </w:style>
  <w:style w:type="paragraph" w:customStyle="1" w:styleId="94">
    <w:name w:val="我的正文"/>
    <w:basedOn w:val="1"/>
    <w:qFormat/>
    <w:uiPriority w:val="0"/>
    <w:pPr>
      <w:ind w:firstLine="200" w:firstLineChars="200"/>
    </w:pPr>
    <w:rPr>
      <w:rFonts w:ascii="Calibri" w:hAnsi="Calibri" w:eastAsia="宋体"/>
      <w:snapToGrid/>
      <w:kern w:val="2"/>
      <w:sz w:val="24"/>
      <w:szCs w:val="22"/>
    </w:rPr>
  </w:style>
  <w:style w:type="paragraph" w:customStyle="1" w:styleId="9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6">
    <w:name w:val="msonormalcxspmiddle"/>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97">
    <w:name w:val="!BECC正文"/>
    <w:basedOn w:val="1"/>
    <w:link w:val="98"/>
    <w:qFormat/>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98">
    <w:name w:val="!BECC正文 Char"/>
    <w:link w:val="97"/>
    <w:qFormat/>
    <w:uiPriority w:val="0"/>
    <w:rPr>
      <w:rFonts w:eastAsia="宋体"/>
      <w:sz w:val="24"/>
      <w:szCs w:val="24"/>
      <w:lang w:bidi="ar-SA"/>
    </w:rPr>
  </w:style>
  <w:style w:type="paragraph" w:customStyle="1" w:styleId="99">
    <w:name w:val="WW-日期"/>
    <w:basedOn w:val="1"/>
    <w:next w:val="1"/>
    <w:qFormat/>
    <w:uiPriority w:val="0"/>
    <w:pPr>
      <w:suppressAutoHyphens/>
    </w:pPr>
    <w:rPr>
      <w:rFonts w:ascii="仿宋_GB2312" w:hAnsi="仿宋_GB2312"/>
      <w:snapToGrid/>
      <w:kern w:val="1"/>
      <w:szCs w:val="24"/>
    </w:rPr>
  </w:style>
  <w:style w:type="paragraph" w:customStyle="1" w:styleId="100">
    <w:name w:val="正文 New"/>
    <w:qFormat/>
    <w:uiPriority w:val="0"/>
    <w:pPr>
      <w:widowControl w:val="0"/>
      <w:jc w:val="both"/>
    </w:pPr>
    <w:rPr>
      <w:rFonts w:ascii="Times New Roman" w:hAnsi="Times New Roman" w:eastAsia="楷体_GB2312" w:cs="Times New Roman"/>
      <w:kern w:val="2"/>
      <w:sz w:val="32"/>
      <w:lang w:val="en-US" w:eastAsia="zh-CN" w:bidi="ar-SA"/>
    </w:rPr>
  </w:style>
  <w:style w:type="paragraph" w:customStyle="1" w:styleId="101">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02">
    <w:name w:val="正文 New New New New New New New New New New New New New New New New New New New New New New New New New New"/>
    <w:qFormat/>
    <w:uiPriority w:val="0"/>
    <w:pPr>
      <w:widowControl w:val="0"/>
      <w:snapToGrid w:val="0"/>
      <w:jc w:val="both"/>
    </w:pPr>
    <w:rPr>
      <w:rFonts w:ascii="宋体" w:hAnsi="宋体" w:eastAsia="仿宋_GB2312" w:cs="Times New Roman"/>
      <w:kern w:val="32"/>
      <w:sz w:val="32"/>
      <w:szCs w:val="32"/>
      <w:lang w:val="en-US" w:eastAsia="zh-CN" w:bidi="ar-SA"/>
    </w:rPr>
  </w:style>
  <w:style w:type="paragraph" w:customStyle="1" w:styleId="103">
    <w:name w:val="正文 New New New"/>
    <w:qFormat/>
    <w:uiPriority w:val="0"/>
    <w:pPr>
      <w:widowControl w:val="0"/>
      <w:jc w:val="both"/>
    </w:pPr>
    <w:rPr>
      <w:rFonts w:ascii="宋体" w:hAnsi="宋体" w:eastAsia="楷体_GB2312" w:cs="Times New Roman"/>
      <w:kern w:val="2"/>
      <w:sz w:val="32"/>
      <w:lang w:val="en-US" w:eastAsia="zh-CN" w:bidi="ar-SA"/>
    </w:rPr>
  </w:style>
  <w:style w:type="character" w:customStyle="1" w:styleId="104">
    <w:name w:val="标题 1 Char New"/>
    <w:basedOn w:val="33"/>
    <w:link w:val="105"/>
    <w:qFormat/>
    <w:locked/>
    <w:uiPriority w:val="0"/>
    <w:rPr>
      <w:rFonts w:ascii="宋体" w:hAnsi="宋体"/>
      <w:b/>
      <w:kern w:val="36"/>
      <w:sz w:val="48"/>
      <w:lang w:bidi="ar-SA"/>
    </w:rPr>
  </w:style>
  <w:style w:type="paragraph" w:customStyle="1" w:styleId="105">
    <w:name w:val="标题 11"/>
    <w:basedOn w:val="1"/>
    <w:link w:val="104"/>
    <w:qFormat/>
    <w:uiPriority w:val="0"/>
    <w:pPr>
      <w:spacing w:before="100" w:beforeAutospacing="1" w:after="100" w:afterAutospacing="1" w:line="336" w:lineRule="auto"/>
      <w:outlineLvl w:val="0"/>
    </w:pPr>
    <w:rPr>
      <w:rFonts w:eastAsia="Times New Roman"/>
      <w:b/>
      <w:snapToGrid/>
      <w:kern w:val="36"/>
      <w:sz w:val="48"/>
      <w:szCs w:val="20"/>
    </w:rPr>
  </w:style>
  <w:style w:type="character" w:customStyle="1" w:styleId="106">
    <w:name w:val="段 Char"/>
    <w:link w:val="107"/>
    <w:qFormat/>
    <w:uiPriority w:val="0"/>
    <w:rPr>
      <w:rFonts w:ascii="宋体" w:eastAsia="Times New Roman"/>
      <w:sz w:val="21"/>
      <w:lang w:val="en-US" w:eastAsia="zh-CN" w:bidi="ar-SA"/>
    </w:rPr>
  </w:style>
  <w:style w:type="paragraph" w:customStyle="1" w:styleId="107">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108">
    <w:name w:val="Char Char Char Char Char Char Char1"/>
    <w:basedOn w:val="1"/>
    <w:qFormat/>
    <w:uiPriority w:val="0"/>
    <w:rPr>
      <w:rFonts w:ascii="Tahoma" w:hAnsi="Tahoma" w:eastAsia="宋体"/>
      <w:snapToGrid/>
      <w:kern w:val="2"/>
      <w:sz w:val="24"/>
      <w:szCs w:val="20"/>
    </w:rPr>
  </w:style>
  <w:style w:type="paragraph" w:customStyle="1" w:styleId="109">
    <w:name w:val="列出段落1"/>
    <w:basedOn w:val="1"/>
    <w:qFormat/>
    <w:uiPriority w:val="34"/>
    <w:pPr>
      <w:ind w:firstLine="420" w:firstLineChars="200"/>
    </w:pPr>
    <w:rPr>
      <w:rFonts w:ascii="Calibri" w:hAnsi="Calibri" w:eastAsia="宋体"/>
      <w:snapToGrid/>
      <w:kern w:val="2"/>
      <w:sz w:val="21"/>
      <w:szCs w:val="22"/>
    </w:rPr>
  </w:style>
  <w:style w:type="paragraph" w:customStyle="1" w:styleId="110">
    <w:name w:val="修订1"/>
    <w:hidden/>
    <w:semiHidden/>
    <w:qFormat/>
    <w:uiPriority w:val="99"/>
    <w:rPr>
      <w:rFonts w:ascii="宋体" w:hAnsi="宋体" w:eastAsia="仿宋_GB2312" w:cs="Times New Roman"/>
      <w:snapToGrid w:val="0"/>
      <w:kern w:val="32"/>
      <w:sz w:val="32"/>
      <w:szCs w:val="32"/>
      <w:lang w:val="en-US" w:eastAsia="zh-CN" w:bidi="ar-SA"/>
    </w:rPr>
  </w:style>
  <w:style w:type="paragraph" w:customStyle="1" w:styleId="111">
    <w:name w:val="_Style 5"/>
    <w:basedOn w:val="1"/>
    <w:qFormat/>
    <w:uiPriority w:val="0"/>
    <w:pPr>
      <w:ind w:firstLine="420" w:firstLineChars="200"/>
    </w:pPr>
    <w:rPr>
      <w:rFonts w:ascii="Calibri" w:hAnsi="Calibri" w:eastAsia="宋体" w:cs="Calibri"/>
      <w:snapToGrid/>
      <w:kern w:val="2"/>
      <w:sz w:val="21"/>
      <w:szCs w:val="21"/>
    </w:rPr>
  </w:style>
  <w:style w:type="character" w:customStyle="1" w:styleId="112">
    <w:name w:val="15"/>
    <w:basedOn w:val="33"/>
    <w:qFormat/>
    <w:uiPriority w:val="0"/>
    <w:rPr>
      <w:rFonts w:hint="default" w:ascii="Times New Roman" w:hAnsi="Times New Roman" w:cs="Times New Roman"/>
    </w:rPr>
  </w:style>
  <w:style w:type="character" w:customStyle="1" w:styleId="113">
    <w:name w:val="NormalCharacter"/>
    <w:link w:val="114"/>
    <w:qFormat/>
    <w:uiPriority w:val="0"/>
  </w:style>
  <w:style w:type="paragraph" w:customStyle="1" w:styleId="114">
    <w:name w:val="UserStyle_19"/>
    <w:basedOn w:val="1"/>
    <w:link w:val="113"/>
    <w:qFormat/>
    <w:uiPriority w:val="0"/>
    <w:pPr>
      <w:textAlignment w:val="baseline"/>
    </w:pPr>
  </w:style>
  <w:style w:type="character" w:customStyle="1" w:styleId="115">
    <w:name w:val="批注文字 字符"/>
    <w:basedOn w:val="33"/>
    <w:link w:val="10"/>
    <w:qFormat/>
    <w:uiPriority w:val="0"/>
    <w:rPr>
      <w:kern w:val="2"/>
      <w:sz w:val="21"/>
    </w:rPr>
  </w:style>
  <w:style w:type="character" w:customStyle="1" w:styleId="116">
    <w:name w:val="批注主题 字符"/>
    <w:basedOn w:val="115"/>
    <w:link w:val="30"/>
    <w:qFormat/>
    <w:uiPriority w:val="0"/>
    <w:rPr>
      <w:rFonts w:ascii="宋体" w:hAnsi="宋体" w:eastAsia="仿宋_GB2312"/>
      <w:b/>
      <w:bCs/>
      <w:snapToGrid w:val="0"/>
      <w:kern w:val="32"/>
      <w:sz w:val="32"/>
      <w:szCs w:val="32"/>
    </w:rPr>
  </w:style>
  <w:style w:type="paragraph" w:customStyle="1" w:styleId="117">
    <w:name w:val="修订2"/>
    <w:hidden/>
    <w:unhideWhenUsed/>
    <w:qFormat/>
    <w:uiPriority w:val="99"/>
    <w:rPr>
      <w:rFonts w:ascii="宋体" w:hAnsi="宋体" w:eastAsia="仿宋_GB2312" w:cs="Times New Roman"/>
      <w:snapToGrid w:val="0"/>
      <w:kern w:val="32"/>
      <w:sz w:val="32"/>
      <w:szCs w:val="32"/>
      <w:lang w:val="en-US" w:eastAsia="zh-CN" w:bidi="ar-SA"/>
    </w:rPr>
  </w:style>
  <w:style w:type="paragraph" w:customStyle="1" w:styleId="1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19">
    <w:name w:val="公文正文"/>
    <w:basedOn w:val="1"/>
    <w:qFormat/>
    <w:uiPriority w:val="0"/>
    <w:pPr>
      <w:adjustRightInd w:val="0"/>
      <w:snapToGrid w:val="0"/>
      <w:spacing w:line="560" w:lineRule="exact"/>
      <w:ind w:firstLine="560" w:firstLineChars="200"/>
    </w:pPr>
  </w:style>
  <w:style w:type="paragraph" w:customStyle="1" w:styleId="120">
    <w:name w:val="修订3"/>
    <w:hidden/>
    <w:unhideWhenUsed/>
    <w:qFormat/>
    <w:uiPriority w:val="99"/>
    <w:rPr>
      <w:rFonts w:ascii="宋体" w:hAnsi="宋体" w:eastAsia="仿宋_GB2312" w:cs="Times New Roman"/>
      <w:snapToGrid w:val="0"/>
      <w:kern w:val="32"/>
      <w:sz w:val="32"/>
      <w:szCs w:val="32"/>
      <w:lang w:val="en-US" w:eastAsia="zh-CN" w:bidi="ar-SA"/>
    </w:rPr>
  </w:style>
  <w:style w:type="paragraph" w:customStyle="1" w:styleId="121">
    <w:name w:val="Revision"/>
    <w:hidden/>
    <w:unhideWhenUsed/>
    <w:qFormat/>
    <w:uiPriority w:val="99"/>
    <w:rPr>
      <w:rFonts w:ascii="宋体" w:hAnsi="宋体" w:eastAsia="仿宋_GB2312" w:cs="Times New Roman"/>
      <w:snapToGrid w:val="0"/>
      <w:kern w:val="3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14</Pages>
  <Words>958</Words>
  <Characters>5467</Characters>
  <Lines>45</Lines>
  <Paragraphs>12</Paragraphs>
  <TotalTime>0</TotalTime>
  <ScaleCrop>false</ScaleCrop>
  <LinksUpToDate>false</LinksUpToDate>
  <CharactersWithSpaces>6413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2019-06-11T16:38:00Z</dcterms:created>
  <dc:creator>zy</dc:creator>
  <cp:lastModifiedBy> </cp:lastModifiedBy>
  <cp:lastPrinted>2023-11-06T06:48:00Z</cp:lastPrinted>
  <dcterms:modified xsi:type="dcterms:W3CDTF">2024-11-20T11:17:06Z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448A0283D3676306CE664365DA26581F</vt:lpwstr>
  </property>
</Properties>
</file>