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FC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关于《北京国际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商事仲裁中心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建设条例》（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草案征求意见稿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）的说明</w:t>
      </w:r>
    </w:p>
    <w:p w14:paraId="102C04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 w:val="0"/>
          <w:sz w:val="32"/>
          <w:szCs w:val="32"/>
          <w:highlight w:val="none"/>
          <w:lang w:eastAsia="zh-CN"/>
        </w:rPr>
      </w:pPr>
    </w:p>
    <w:p w14:paraId="2B8E8C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 w:val="0"/>
          <w:sz w:val="32"/>
          <w:szCs w:val="32"/>
          <w:highlight w:val="none"/>
          <w:lang w:eastAsia="zh-CN"/>
        </w:rPr>
        <w:t>一、立法</w:t>
      </w:r>
      <w:r>
        <w:rPr>
          <w:rFonts w:hint="eastAsia" w:ascii="黑体" w:hAnsi="黑体" w:eastAsia="黑体" w:cs="黑体"/>
          <w:bCs w:val="0"/>
          <w:color w:val="auto"/>
          <w:sz w:val="32"/>
          <w:szCs w:val="32"/>
          <w:highlight w:val="none"/>
          <w:lang w:eastAsia="zh-CN"/>
        </w:rPr>
        <w:t>背景</w:t>
      </w:r>
    </w:p>
    <w:p w14:paraId="49F83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仲裁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是国际通行的纠纷解决方式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。近年来，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仲裁事业蓬勃发展，逐步成为具有高度公信力和国际影响力的仲裁地。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2022年7月，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中央全面依法治国委员会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在北京等地试点建设国际商事仲裁中心。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为贯彻落实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中央决策部署，服务首都高质量发展，营造市场化、法治化、国际化一流营商环境，本市启动了《北京国际商事仲裁中心建设条例》立法工作。</w:t>
      </w:r>
    </w:p>
    <w:p w14:paraId="34BF0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内容</w:t>
      </w:r>
    </w:p>
    <w:p w14:paraId="06584F6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草案征求意见稿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采用“小切口”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立法方式，不分章节，共三十四条，约4500字，主要内容如下：</w:t>
      </w:r>
    </w:p>
    <w:p w14:paraId="528047E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（一）明确建设目标，优化政策保障和发展环境</w:t>
      </w:r>
    </w:p>
    <w:p w14:paraId="592B09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6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国际商事仲裁中心的建设目标，规定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市司法行政部门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和区人民政府在国际商事仲裁中心建设中的相关职责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人民法院统一司法审查标准，加强与仲裁机构的沟通衔接，支持仲裁案件调查取证，强化司法支持保障。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便利人才、出入境、金融等服务举措，优化对境内外仲裁当事人和仲裁从业人员的服务保障。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加强仲裁文化建设和仲裁理念推广和宣传推介，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培养社会仲裁意识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第三条、第二十三至二十五条、第二十七至三十一条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 w14:paraId="595FD4E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（二）促进在京仲裁机构协同聚力</w:t>
      </w:r>
    </w:p>
    <w:p w14:paraId="15062AE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与在京中央机关、企业事业单位的沟通联系，争取法律和政策支持，促进仲裁作用发挥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支持在京仲裁机构自主发展，提供特色化、高质量仲裁服务；鼓励机构间交往协作、信息共享，合力推进国际商事仲裁中心建设。（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第五条、第六条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12C4020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（三）打造国际一流仲裁机构</w:t>
      </w:r>
    </w:p>
    <w:p w14:paraId="448DACE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建立健全法人治理结构，完善仲裁收费制度和仲裁员报酬制度。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支持和引领仲裁机构在仲裁员名册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，仲裁规则，内部管理制度等方面的创新和完善，促进仲裁机构提升服务质量和国际竞争力。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鼓励在京仲裁机构加强专业化品牌化建设，加强智慧仲裁建设，多层次多方面的建设一流仲裁机构。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第七至十二条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4D46ED4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（四）促进仲裁领域高水平对外开放</w:t>
      </w:r>
    </w:p>
    <w:p w14:paraId="2E694C3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支持在京仲裁机构聘用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境外专业人士担任机构决策和管理人员、仲裁员、仲裁秘书，提高仲裁机构和从业人员的国际化水平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支持境外知名仲裁机构及争议解决机构在本市设立业务机构，办理涉外仲裁业务；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支持在京仲裁机构在境外设立分支机构或者办事机构，拓展国际仲裁业务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支持在京仲裁机构提供国际商事仲裁服务。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支持在京仲裁机构加强国内国际交流合作，提升北京仲裁影响力。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第七条第三款、第十三条、第十四条、第三十条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 w14:paraId="3748C06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（五）接轨国际通行仲裁理念</w:t>
      </w:r>
    </w:p>
    <w:p w14:paraId="51092B2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</w:rPr>
        <w:t>对标国际通行规则，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引入仲裁地概念。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三特定”仲裁、仲裁临时措施、</w:t>
      </w:r>
      <w:r>
        <w:rPr>
          <w:rFonts w:hint="default" w:ascii="仿宋_GB2312" w:hAnsi="仿宋_GB2312" w:eastAsia="仿宋_GB2312" w:cs="仿宋_GB2312"/>
          <w:sz w:val="32"/>
          <w:szCs w:val="40"/>
        </w:rPr>
        <w:t>名册外仲裁员等仲裁机制创新作出探索性规定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对仲裁员信息披露和利益冲突审查制度，快速简易案件办理程序，案件分类处理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指引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和裁决摘要公开等进行了规定，引领机构</w:t>
      </w:r>
      <w:r>
        <w:rPr>
          <w:rFonts w:hint="eastAsia" w:ascii="仿宋_GB2312" w:hAnsi="仿宋_GB2312" w:eastAsia="仿宋_GB2312" w:cs="仿宋_GB2312"/>
          <w:sz w:val="32"/>
          <w:szCs w:val="40"/>
        </w:rPr>
        <w:t>主动对接、积极吸纳国际通行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仲裁规则。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支持在京仲裁机构运用仲裁等多种争端解决机制和国际实践，防范化解我国企业国外投资争议，支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持体育仲裁事业发展。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第八条、第十一条、第十五至十九条、第三十三条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</w:p>
    <w:p w14:paraId="67993EE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（六）打造全链条商事争议解决生态圈</w:t>
      </w:r>
    </w:p>
    <w:p w14:paraId="32D4AA9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建立国际商事仲裁中心实体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聚合全球优质商事争议解决资源提供国际化、便利化、一站式的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争议解决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专业服务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加强多元争议解决方式的衔接协调，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鼓励在京仲裁机构以多元方式解决争议；支持仲裁机构设立商事调解组织，发挥商事调解在商事争议解决中的作用，助力国际商事仲裁中心建设。（第四条、第二十至二十二条）</w:t>
      </w:r>
    </w:p>
    <w:p w14:paraId="03A25BB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（七）加强人才培养和行业自律</w:t>
      </w:r>
    </w:p>
    <w:p w14:paraId="2FE92AF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Lines="0" w:afterLines="0" w:line="6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建立仲裁秘书分级分类管理和职级晋升、考核评价体系，推进仲裁秘书职称评审，支持仲裁庭聘任仲裁秘书协助办理仲裁案件。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加强人才培养，推进仲裁人才梯队建设，健全涉外仲裁人才培养机制，为中心建设提供智力支持。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加强行业自律管理，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维护仲裁行业发展秩序，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服务仲裁机构和仲裁从业人员。（第九条、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第二十六条、第三十二条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</w:p>
    <w:p w14:paraId="20C9D4BC">
      <w:pPr>
        <w:pStyle w:val="3"/>
        <w:rPr>
          <w:highlight w:val="none"/>
        </w:rPr>
      </w:pPr>
    </w:p>
    <w:p w14:paraId="64004044">
      <w:pPr>
        <w:pStyle w:val="3"/>
        <w:rPr>
          <w:highlight w:val="none"/>
        </w:rPr>
      </w:pPr>
    </w:p>
    <w:p w14:paraId="16AE3CD2">
      <w:pPr>
        <w:widowControl/>
        <w:spacing w:line="560" w:lineRule="exact"/>
        <w:ind w:firstLine="274" w:firstLineChars="98"/>
        <w:textAlignment w:val="auto"/>
        <w:rPr>
          <w:rFonts w:hint="eastAsia" w:ascii="仿宋_GB2312" w:hAnsi="仿宋_GB2312" w:eastAsia="仿宋_GB2312"/>
          <w:sz w:val="28"/>
          <w:highlight w:val="none"/>
        </w:rPr>
      </w:pPr>
    </w:p>
    <w:p w14:paraId="0CDAE708"/>
    <w:p w14:paraId="5722EB6E">
      <w:pPr>
        <w:pStyle w:val="7"/>
      </w:pPr>
    </w:p>
    <w:p w14:paraId="1BA5D88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D1F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041BA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041BA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045A7E4A"/>
    <w:rsid w:val="045A7E4A"/>
    <w:rsid w:val="35C53258"/>
    <w:rsid w:val="3BD7460D"/>
    <w:rsid w:val="7F7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336" w:lineRule="auto"/>
      <w:ind w:firstLine="856" w:firstLineChars="200"/>
      <w:outlineLvl w:val="2"/>
    </w:pPr>
    <w:rPr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1529</Words>
  <Characters>1535</Characters>
  <Lines>0</Lines>
  <Paragraphs>0</Paragraphs>
  <TotalTime>1</TotalTime>
  <ScaleCrop>false</ScaleCrop>
  <LinksUpToDate>false</LinksUpToDate>
  <CharactersWithSpaces>1535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2024-09-19T01:57:00Z</dcterms:created>
  <dc:creator>cherry</dc:creator>
  <cp:lastModifiedBy>孙彤</cp:lastModifiedBy>
  <dcterms:modified xsi:type="dcterms:W3CDTF">2024-09-25T03:23:40Z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3505509060D74C44AA0014AF21F5A3AB_12</vt:lpwstr>
  </property>
</Properties>
</file>