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rPr>
      </w:pPr>
      <w:r>
        <w:rPr>
          <w:rFonts w:hint="eastAsia" w:ascii="方正小标宋简体" w:eastAsia="方正小标宋简体"/>
        </w:rPr>
        <w:t>《北京市公安局关于印发北京市物业管理条例行政处罚裁量基准的通知</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rPr>
      </w:pPr>
      <w:bookmarkStart w:id="0" w:name="_GoBack"/>
      <w:bookmarkEnd w:id="0"/>
      <w:r>
        <w:rPr>
          <w:rFonts w:hint="eastAsia" w:ascii="方正小标宋简体" w:eastAsia="方正小标宋简体"/>
        </w:rPr>
        <w:t>（征求意见稿）》的起草说明</w:t>
      </w:r>
    </w:p>
    <w:p>
      <w:pPr>
        <w:pStyle w:val="10"/>
        <w:keepNext w:val="0"/>
        <w:keepLines w:val="0"/>
        <w:pageBreakBefore w:val="0"/>
        <w:widowControl w:val="0"/>
        <w:tabs>
          <w:tab w:val="left" w:pos="8931"/>
        </w:tabs>
        <w:kinsoku/>
        <w:wordWrap/>
        <w:overflowPunct/>
        <w:topLinePunct w:val="0"/>
        <w:autoSpaceDE/>
        <w:autoSpaceDN/>
        <w:bidi w:val="0"/>
        <w:adjustRightInd/>
        <w:snapToGrid/>
        <w:spacing w:line="560" w:lineRule="exact"/>
        <w:ind w:left="0" w:leftChars="0" w:right="84" w:firstLine="0" w:firstLineChars="0"/>
        <w:jc w:val="both"/>
        <w:textAlignment w:val="auto"/>
        <w:rPr>
          <w:rFonts w:hint="eastAsia" w:ascii="仿宋_GB2312" w:hAnsi="黑体" w:eastAsia="仿宋_GB2312" w:cs="仿宋_GB2312"/>
          <w:sz w:val="32"/>
          <w:szCs w:val="32"/>
          <w:shd w:val="clear" w:color="auto" w:fill="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645" w:leftChars="0"/>
        <w:textAlignment w:val="auto"/>
        <w:rPr>
          <w:rFonts w:hint="eastAsia" w:ascii="黑体" w:eastAsia="黑体"/>
          <w:kern w:val="0"/>
          <w:sz w:val="32"/>
          <w:szCs w:val="32"/>
          <w:lang w:val="en-US" w:eastAsia="zh-CN"/>
        </w:rPr>
      </w:pPr>
      <w:r>
        <w:rPr>
          <w:rFonts w:hint="eastAsia" w:ascii="黑体" w:eastAsia="黑体"/>
          <w:kern w:val="0"/>
          <w:sz w:val="32"/>
          <w:szCs w:val="32"/>
          <w:lang w:val="en-US" w:eastAsia="zh-CN"/>
        </w:rPr>
        <w:t>一、制定依据</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依据国务院办公厅《关于进一步规范行政裁量权基准制定和管理工作的意见》（国办发〔2022〕27号）</w:t>
      </w:r>
      <w:r>
        <w:rPr>
          <w:rFonts w:hint="eastAsia" w:ascii="仿宋_GB2312"/>
          <w:sz w:val="32"/>
          <w:szCs w:val="32"/>
          <w:lang w:val="en-US" w:eastAsia="zh-CN"/>
        </w:rPr>
        <w:t>、</w:t>
      </w:r>
      <w:r>
        <w:rPr>
          <w:rFonts w:hint="eastAsia" w:ascii="仿宋_GB2312" w:hAnsi="仿宋_GB2312" w:eastAsia="仿宋_GB2312" w:cs="仿宋_GB2312"/>
          <w:b w:val="0"/>
          <w:bCs w:val="0"/>
          <w:i w:val="0"/>
          <w:caps w:val="0"/>
          <w:color w:val="000000"/>
          <w:spacing w:val="0"/>
          <w:sz w:val="32"/>
          <w:szCs w:val="32"/>
          <w:lang w:val="en-US" w:eastAsia="zh-CN"/>
        </w:rPr>
        <w:t>《关于规范实施行政处罚裁量基准制度的若干指导意见》</w:t>
      </w:r>
      <w:r>
        <w:rPr>
          <w:rFonts w:hint="eastAsia" w:ascii="仿宋_GB2312" w:eastAsia="仿宋_GB2312"/>
          <w:sz w:val="32"/>
          <w:szCs w:val="32"/>
          <w:lang w:val="en-US" w:eastAsia="zh-CN"/>
        </w:rPr>
        <w:t>（京政法制发［2015］16号）、《北京市物业管理条例》、最高法院《关于依法妥善审理高空抛物、坠物案件的意见》）（法发【2019】25号）等相关法规、司法解释、文件的规定，制定了行政处罚裁量基准。</w:t>
      </w:r>
    </w:p>
    <w:p>
      <w:pPr>
        <w:pStyle w:val="10"/>
        <w:keepNext w:val="0"/>
        <w:keepLines w:val="0"/>
        <w:pageBreakBefore w:val="0"/>
        <w:widowControl w:val="0"/>
        <w:numPr>
          <w:ilvl w:val="0"/>
          <w:numId w:val="0"/>
        </w:numPr>
        <w:tabs>
          <w:tab w:val="left" w:pos="8931"/>
        </w:tabs>
        <w:kinsoku/>
        <w:wordWrap/>
        <w:overflowPunct/>
        <w:topLinePunct w:val="0"/>
        <w:autoSpaceDE/>
        <w:autoSpaceDN/>
        <w:bidi w:val="0"/>
        <w:adjustRightInd/>
        <w:snapToGrid/>
        <w:spacing w:line="560" w:lineRule="exact"/>
        <w:ind w:right="84" w:rightChars="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 xml:space="preserve">    二、起草必要性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明确行政处罚裁量基准，是贯彻落实《中华人民共和国行政处罚法》要求，加强执法监督，规范行政执法行为的制度保障；是从源头上预防和减少行政执法随意性，促进依法行政的必要举措，对促进行政主体严格规范公正文明执法具有十分重要的意义。对规范我局依法依规行使行政处罚，提高行政执法质量，细化处罚执行标准，维护人民群众、企业等切身利益具有重要意义。</w:t>
      </w:r>
    </w:p>
    <w:p>
      <w:pPr>
        <w:pStyle w:val="10"/>
        <w:keepNext w:val="0"/>
        <w:keepLines w:val="0"/>
        <w:pageBreakBefore w:val="0"/>
        <w:widowControl w:val="0"/>
        <w:numPr>
          <w:ilvl w:val="0"/>
          <w:numId w:val="0"/>
        </w:numPr>
        <w:tabs>
          <w:tab w:val="left" w:pos="8931"/>
        </w:tabs>
        <w:kinsoku/>
        <w:wordWrap/>
        <w:overflowPunct/>
        <w:topLinePunct w:val="0"/>
        <w:autoSpaceDE/>
        <w:autoSpaceDN/>
        <w:bidi w:val="0"/>
        <w:adjustRightInd/>
        <w:snapToGrid/>
        <w:spacing w:line="560" w:lineRule="exact"/>
        <w:ind w:right="84" w:rightChars="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 xml:space="preserve">    三、主要内容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caps w:val="0"/>
          <w:color w:val="000000"/>
          <w:spacing w:val="0"/>
          <w:kern w:val="2"/>
          <w:sz w:val="32"/>
          <w:szCs w:val="32"/>
          <w:lang w:val="en-US" w:eastAsia="zh-CN" w:bidi="ar-SA"/>
        </w:rPr>
      </w:pPr>
      <w:r>
        <w:rPr>
          <w:rFonts w:hint="eastAsia" w:ascii="仿宋_GB2312" w:hAnsi="仿宋_GB2312" w:eastAsia="仿宋_GB2312" w:cs="仿宋_GB2312"/>
          <w:b w:val="0"/>
          <w:bCs w:val="0"/>
          <w:i w:val="0"/>
          <w:caps w:val="0"/>
          <w:color w:val="000000"/>
          <w:spacing w:val="0"/>
          <w:kern w:val="2"/>
          <w:sz w:val="32"/>
          <w:szCs w:val="32"/>
          <w:lang w:val="en-US" w:eastAsia="zh-CN" w:bidi="ar-SA"/>
        </w:rPr>
        <w:t xml:space="preserve">    为贯彻落实市局关于加强行政规范性文件管理要求和《以行政规范性文件形式制发行政处罚裁量基准的通知》精神，治安总队针对《北京市物业管理条例》第九十八条第（七）项“从建筑物中抛掷物品”的行政处罚制定了裁量基准；环食药旅总队针对《北京市物业管理条例》第九十八条第（八）项“</w:t>
      </w:r>
      <w:r>
        <w:rPr>
          <w:rFonts w:hint="eastAsia" w:ascii="仿宋_GB2312" w:hAnsi="仿宋_GB2312" w:eastAsia="仿宋_GB2312" w:cs="仿宋_GB2312"/>
          <w:b w:val="0"/>
          <w:bCs w:val="0"/>
          <w:i w:val="0"/>
          <w:caps w:val="0"/>
          <w:color w:val="000000"/>
          <w:spacing w:val="0"/>
          <w:sz w:val="32"/>
          <w:szCs w:val="32"/>
          <w:lang w:val="en-US" w:eastAsia="zh-CN"/>
        </w:rPr>
        <w:t>制造超标噪音</w:t>
      </w:r>
      <w:r>
        <w:rPr>
          <w:rFonts w:hint="eastAsia" w:ascii="仿宋_GB2312" w:hAnsi="仿宋_GB2312" w:eastAsia="仿宋_GB2312" w:cs="仿宋_GB2312"/>
          <w:b w:val="0"/>
          <w:bCs w:val="0"/>
          <w:i w:val="0"/>
          <w:caps w:val="0"/>
          <w:color w:val="000000"/>
          <w:spacing w:val="0"/>
          <w:kern w:val="2"/>
          <w:sz w:val="32"/>
          <w:szCs w:val="32"/>
          <w:lang w:val="en-US" w:eastAsia="zh-CN" w:bidi="ar-SA"/>
        </w:rPr>
        <w:t>”的行政处罚制定了裁量基准。</w:t>
      </w:r>
    </w:p>
    <w:p>
      <w:pPr>
        <w:keepNext w:val="0"/>
        <w:keepLines w:val="0"/>
        <w:pageBreakBefore w:val="0"/>
        <w:kinsoku/>
        <w:overflowPunct/>
        <w:topLinePunct w:val="0"/>
        <w:autoSpaceDE/>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caps w:val="0"/>
          <w:color w:val="000000"/>
          <w:spacing w:val="0"/>
          <w:kern w:val="2"/>
          <w:sz w:val="32"/>
          <w:szCs w:val="32"/>
          <w:lang w:val="en-US" w:eastAsia="zh-CN" w:bidi="ar-SA"/>
        </w:rPr>
        <w:t>《北京市物业管理条例》于2020年3月27日北京市第十五届人民代表大会常务委员会第二十次会议通过，根据2024年3月29日北京市第十六届人民代表大会常务委员会第九次会议通过的《关于修改〈北京市机动车停车条例〉等二部地方性法规的决定》修正。治安总队结合实际执法工作，对《条例》中涉及公安机关行政处罚职权的第九十八条“物业管理区域内有下列行为之一的，由有关主管部门按照下列规定予以查处：（七）违反本条例第七十八条第二款第（七）项规定的，由公安机关给予警告，处500元以上5000元以下的罚款”，制定《违反&lt;北京市物业管理条例&gt;处罚裁量基准》，</w:t>
      </w:r>
      <w:r>
        <w:rPr>
          <w:rFonts w:hint="eastAsia" w:ascii="仿宋_GB2312" w:hAnsi="仿宋_GB2312" w:eastAsia="仿宋_GB2312" w:cs="仿宋_GB2312"/>
          <w:color w:val="auto"/>
          <w:sz w:val="32"/>
          <w:szCs w:val="32"/>
          <w:highlight w:val="none"/>
          <w:lang w:val="en-US" w:eastAsia="zh-CN"/>
        </w:rPr>
        <w:t>按照造成不同违法情节划分为“一般情况，给予警告，处500元以上3000元以下的罚款”、“具有以下情节较重情形尚不够刑事处罚或者治安处罚的：1.多次实施；2.经劝阻仍继续实施；3.受过刑事处罚或者行政处罚后又实施；4.在人员密集场所实施；5.其他情节较重情形的，给予警告，处3000元以上5000元以下的罚款”二个基础裁量阶次。</w:t>
      </w:r>
    </w:p>
    <w:p>
      <w:pPr>
        <w:pStyle w:val="4"/>
        <w:keepNext w:val="0"/>
        <w:keepLines w:val="0"/>
        <w:widowControl/>
        <w:suppressLineNumbers w:val="0"/>
        <w:shd w:val="clear" w:fill="FFFAFA"/>
        <w:spacing w:before="0" w:beforeAutospacing="0" w:after="0" w:afterAutospacing="0"/>
        <w:ind w:left="0" w:firstLine="0"/>
        <w:jc w:val="both"/>
        <w:rPr>
          <w:rFonts w:hint="eastAsia" w:ascii="仿宋_GB2312" w:hAnsi="仿宋_GB2312" w:eastAsia="仿宋_GB2312" w:cs="仿宋_GB2312"/>
          <w:b w:val="0"/>
          <w:bCs w:val="0"/>
          <w:i w:val="0"/>
          <w:caps w:val="0"/>
          <w:color w:val="000000"/>
          <w:spacing w:val="0"/>
          <w:kern w:val="2"/>
          <w:sz w:val="32"/>
          <w:szCs w:val="32"/>
          <w:lang w:val="en-US" w:eastAsia="zh-CN" w:bidi="ar-SA"/>
        </w:rPr>
      </w:pPr>
      <w:r>
        <w:rPr>
          <w:rFonts w:hint="eastAsia" w:ascii="仿宋_GB2312" w:hAnsi="仿宋_GB2312" w:eastAsia="仿宋_GB2312" w:cs="仿宋_GB2312"/>
          <w:b w:val="0"/>
          <w:bCs w:val="0"/>
          <w:i w:val="0"/>
          <w:caps w:val="0"/>
          <w:color w:val="000000"/>
          <w:spacing w:val="0"/>
          <w:kern w:val="2"/>
          <w:sz w:val="32"/>
          <w:szCs w:val="32"/>
          <w:lang w:val="en-US" w:eastAsia="zh-CN" w:bidi="ar-SA"/>
        </w:rPr>
        <w:t>环食药旅总队结合实际执法工作，对《条例》中涉及公安机关行政处罚职权的第九十八条“物业管理区域内有下列行为之一的，由有关主管部门按照下列规定予以查处：（八）违反本条例第七十八条第二款第（七）项规定的，由公安机关责令改正，拒不改正的，处200以上500以下的罚款”，制定《违反&lt;北京市物业管理条例&gt;处罚裁量基准》，按照“一般情况下，责令改正”、“拒不改正的，处200以上500以下的罚款”二大类阶次进行裁量分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lang w:val="en-US" w:eastAsia="zh-CN"/>
        </w:rPr>
        <w:t xml:space="preserve">                               </w:t>
      </w:r>
    </w:p>
    <w:sectPr>
      <w:footerReference r:id="rId3" w:type="default"/>
      <w:footerReference r:id="rId4" w:type="even"/>
      <w:pgSz w:w="11906" w:h="16838"/>
      <w:pgMar w:top="2098" w:right="1474" w:bottom="1985" w:left="1588" w:header="851" w:footer="1588"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39"/>
      <w:jc w:val="right"/>
      <w:rPr>
        <w:rFonts w:hint="eastAsia" w:ascii="仿宋_GB2312" w:eastAsia="仿宋_GB2312"/>
        <w:sz w:val="28"/>
      </w:rPr>
    </w:pPr>
    <w:r>
      <w:rPr>
        <w:rFonts w:hint="eastAsia" w:ascii="仿宋_GB2312" w:eastAsia="仿宋_GB2312"/>
        <w:kern w:val="0"/>
        <w:sz w:val="28"/>
      </w:rPr>
      <w:t xml:space="preserve">- </w:t>
    </w:r>
    <w:r>
      <w:rPr>
        <w:rFonts w:hint="eastAsia" w:ascii="仿宋_GB2312" w:eastAsia="仿宋_GB2312"/>
        <w:kern w:val="0"/>
        <w:sz w:val="28"/>
      </w:rPr>
      <w:fldChar w:fldCharType="begin"/>
    </w:r>
    <w:r>
      <w:rPr>
        <w:rFonts w:hint="eastAsia" w:ascii="仿宋_GB2312" w:eastAsia="仿宋_GB2312"/>
        <w:kern w:val="0"/>
        <w:sz w:val="28"/>
      </w:rPr>
      <w:instrText xml:space="preserve"> PAGE </w:instrText>
    </w:r>
    <w:r>
      <w:rPr>
        <w:rFonts w:hint="eastAsia" w:ascii="仿宋_GB2312" w:eastAsia="仿宋_GB2312"/>
        <w:kern w:val="0"/>
        <w:sz w:val="28"/>
      </w:rPr>
      <w:fldChar w:fldCharType="separate"/>
    </w:r>
    <w:r>
      <w:rPr>
        <w:rFonts w:ascii="仿宋_GB2312" w:eastAsia="仿宋_GB2312"/>
        <w:kern w:val="0"/>
        <w:sz w:val="28"/>
      </w:rPr>
      <w:t>1</w:t>
    </w:r>
    <w:r>
      <w:rPr>
        <w:rFonts w:hint="eastAsia" w:ascii="仿宋_GB2312" w:eastAsia="仿宋_GB2312"/>
        <w:kern w:val="0"/>
        <w:sz w:val="28"/>
      </w:rPr>
      <w:fldChar w:fldCharType="end"/>
    </w:r>
    <w:r>
      <w:rPr>
        <w:rFonts w:hint="eastAsia" w:ascii="仿宋_GB2312" w:eastAsia="仿宋_GB2312"/>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5"/>
      <w:rPr>
        <w:rFonts w:ascii="宋体" w:hAnsi="宋体"/>
        <w:sz w:val="28"/>
      </w:rPr>
    </w:pPr>
    <w:r>
      <w:rPr>
        <w:rFonts w:ascii="宋体" w:hAnsi="宋体"/>
        <w:kern w:val="0"/>
        <w:sz w:val="28"/>
      </w:rPr>
      <w:t xml:space="preserve">- </w:t>
    </w:r>
    <w:r>
      <w:rPr>
        <w:rFonts w:ascii="宋体" w:hAnsi="宋体"/>
        <w:kern w:val="0"/>
        <w:sz w:val="28"/>
      </w:rPr>
      <w:fldChar w:fldCharType="begin"/>
    </w:r>
    <w:r>
      <w:rPr>
        <w:rFonts w:ascii="宋体" w:hAnsi="宋体"/>
        <w:kern w:val="0"/>
        <w:sz w:val="28"/>
      </w:rPr>
      <w:instrText xml:space="preserve"> PAGE </w:instrText>
    </w:r>
    <w:r>
      <w:rPr>
        <w:rFonts w:ascii="宋体" w:hAnsi="宋体"/>
        <w:kern w:val="0"/>
        <w:sz w:val="28"/>
      </w:rPr>
      <w:fldChar w:fldCharType="separate"/>
    </w:r>
    <w:r>
      <w:rPr>
        <w:rFonts w:ascii="宋体" w:hAnsi="宋体"/>
        <w:kern w:val="0"/>
        <w:sz w:val="28"/>
      </w:rPr>
      <w:t>2</w:t>
    </w:r>
    <w:r>
      <w:rPr>
        <w:rFonts w:ascii="宋体" w:hAnsi="宋体"/>
        <w:kern w:val="0"/>
        <w:sz w:val="28"/>
      </w:rPr>
      <w:fldChar w:fldCharType="end"/>
    </w:r>
    <w:r>
      <w:rPr>
        <w:rFonts w:ascii="宋体" w:hAnsi="宋体"/>
        <w:kern w:val="0"/>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C7667"/>
    <w:rsid w:val="031B60F3"/>
    <w:rsid w:val="04AF3166"/>
    <w:rsid w:val="056A2B9A"/>
    <w:rsid w:val="0605485E"/>
    <w:rsid w:val="082A65A8"/>
    <w:rsid w:val="09637E25"/>
    <w:rsid w:val="0A0759EC"/>
    <w:rsid w:val="0AC54E47"/>
    <w:rsid w:val="0B054194"/>
    <w:rsid w:val="14EB5FEC"/>
    <w:rsid w:val="19B55BA1"/>
    <w:rsid w:val="19FB4505"/>
    <w:rsid w:val="1FB56F4E"/>
    <w:rsid w:val="1FF42000"/>
    <w:rsid w:val="21304396"/>
    <w:rsid w:val="258B0F83"/>
    <w:rsid w:val="27323F6D"/>
    <w:rsid w:val="28890623"/>
    <w:rsid w:val="288C1F78"/>
    <w:rsid w:val="29B95677"/>
    <w:rsid w:val="2AAE15BA"/>
    <w:rsid w:val="2C3F0CF9"/>
    <w:rsid w:val="2CB45304"/>
    <w:rsid w:val="2D873771"/>
    <w:rsid w:val="2E0D306D"/>
    <w:rsid w:val="30436428"/>
    <w:rsid w:val="35243163"/>
    <w:rsid w:val="36D46611"/>
    <w:rsid w:val="37746BE5"/>
    <w:rsid w:val="382F7763"/>
    <w:rsid w:val="394D0728"/>
    <w:rsid w:val="3A684EE0"/>
    <w:rsid w:val="3B506998"/>
    <w:rsid w:val="3CD17ADB"/>
    <w:rsid w:val="3CF90F58"/>
    <w:rsid w:val="3EE2005A"/>
    <w:rsid w:val="40D479B2"/>
    <w:rsid w:val="41112D73"/>
    <w:rsid w:val="418D11D6"/>
    <w:rsid w:val="42B64929"/>
    <w:rsid w:val="433F1CBF"/>
    <w:rsid w:val="45C509BD"/>
    <w:rsid w:val="45F50020"/>
    <w:rsid w:val="475716BE"/>
    <w:rsid w:val="483B0754"/>
    <w:rsid w:val="484C271A"/>
    <w:rsid w:val="486D0118"/>
    <w:rsid w:val="4A7867ED"/>
    <w:rsid w:val="4E4D56D2"/>
    <w:rsid w:val="4F8F5A9A"/>
    <w:rsid w:val="54CE74F9"/>
    <w:rsid w:val="55CA3A89"/>
    <w:rsid w:val="55E762AB"/>
    <w:rsid w:val="57D20216"/>
    <w:rsid w:val="5D6E5D75"/>
    <w:rsid w:val="5D762A5F"/>
    <w:rsid w:val="5F5B1258"/>
    <w:rsid w:val="61895E54"/>
    <w:rsid w:val="62F77290"/>
    <w:rsid w:val="634F5C35"/>
    <w:rsid w:val="66AF629F"/>
    <w:rsid w:val="681F135E"/>
    <w:rsid w:val="6A4C0CCF"/>
    <w:rsid w:val="6BB5710F"/>
    <w:rsid w:val="6D7F2341"/>
    <w:rsid w:val="6DC330F4"/>
    <w:rsid w:val="715127B7"/>
    <w:rsid w:val="7956293B"/>
    <w:rsid w:val="7A5A31BF"/>
    <w:rsid w:val="7BCC2388"/>
    <w:rsid w:val="7EDC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1"/>
    <w:qFormat/>
    <w:uiPriority w:val="0"/>
    <w:pPr>
      <w:keepNext/>
      <w:keepLines/>
      <w:spacing w:before="260" w:after="260" w:line="413" w:lineRule="auto"/>
      <w:outlineLvl w:val="2"/>
    </w:pPr>
    <w:rPr>
      <w:rFonts w:ascii="Calibri" w:hAnsi="Calibri" w:cs="Calibri"/>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paragraph" w:customStyle="1" w:styleId="9">
    <w:name w:val="index 11"/>
    <w:basedOn w:val="1"/>
    <w:next w:val="1"/>
    <w:qFormat/>
    <w:uiPriority w:val="0"/>
    <w:rPr>
      <w:rFonts w:eastAsia="宋体"/>
    </w:rPr>
  </w:style>
  <w:style w:type="paragraph" w:customStyle="1" w:styleId="10">
    <w:name w:val="大标题"/>
    <w:basedOn w:val="1"/>
    <w:qFormat/>
    <w:uiPriority w:val="0"/>
    <w:pPr>
      <w:spacing w:line="600" w:lineRule="exact"/>
      <w:ind w:left="340" w:right="340" w:firstLine="0"/>
      <w:jc w:val="center"/>
    </w:pPr>
    <w:rPr>
      <w:rFonts w:eastAsia="宋体"/>
      <w:sz w:val="44"/>
    </w:rPr>
  </w:style>
  <w:style w:type="character" w:customStyle="1" w:styleId="11">
    <w:name w:val="标题 3 Char"/>
    <w:basedOn w:val="7"/>
    <w:link w:val="3"/>
    <w:qFormat/>
    <w:uiPriority w:val="0"/>
    <w:rPr>
      <w:rFonts w:ascii="Calibri" w:hAnsi="Calibri" w:cs="Calibr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2024-01-19T03:40:00Z</dcterms:created>
  <dc:creator>fzc</dc:creator>
  <cp:lastModifiedBy>bgs</cp:lastModifiedBy>
  <dcterms:modified xsi:type="dcterms:W3CDTF">2024-08-30T07:29:31Z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