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eastAsia="黑体"/>
        </w:rPr>
      </w:pPr>
    </w:p>
    <w:p>
      <w:pPr>
        <w:ind w:firstLine="0"/>
        <w:rPr>
          <w:rFonts w:hint="eastAsia" w:ascii="仿宋_GB2312"/>
        </w:rPr>
      </w:pPr>
    </w:p>
    <w:p>
      <w:pPr>
        <w:ind w:firstLine="0"/>
        <w:rPr>
          <w:rFonts w:hint="eastAsia" w:ascii="仿宋_GB231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北京市公安局关于印发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北京市物业管理条例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行政处罚裁量基准的通知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局属各单位：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现将《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北京市公安局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北京市物业管理条例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行政处罚裁量基准》印发给你们，请遵照执行。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违反《北京市物业管理条例》处罚裁量基准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表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5760" w:firstLineChars="18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北京市公安局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5760" w:firstLineChars="18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 月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（主动公开）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北京市公安局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北京市物业管理条例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行政处罚裁量基准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rPr>
          <w:rStyle w:val="8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/>
        <w:jc w:val="center"/>
        <w:outlineLvl w:val="9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第一章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 xml:space="preserve"> 总则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为规范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违反北京市物业管理条例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违法行为的行政处罚自由裁量权，根据国家和本市相关法律、法规和规章，制定本《基准》。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本《基准》适用于北京市违反北京市物业管理条例违法行为的处罚裁量。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本《基准》执法主体为北京市公安局、各分局、直属分局、派出所以及其他依法具有独立执法主体资格的公安业务部门。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《基准》中各类违法行为依据社会危害性划定为A、B、C三个基础裁量档次。其中：“违法行为本身社会危害性严重的”对应A档、“违法行为本身社会危害性一般的”对应B档、“违法行为本身危害性轻微”对应C档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《基准》中，针对各类违法行为设定的基础裁量档，其对应的裁量幅度为依法“从轻”处罚的下限至“从重”处罚的上限。属于行政处罚法应当或可以减轻、加重处罚情节的，可以跨越本《基准》规定的基础裁量档实施处罚，具体裁量基准见《处罚裁量基准表》。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/>
        <w:jc w:val="center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第二章 违法行为裁量档次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违反《北京市物业管理条例》（以下简称《条例》）第九十八条第（七）项规定，从建筑物中抛掷物品尚不够刑事处罚或治安处罚的，其行为属于基础裁量C档。根据《条例》第九十八条第（七）项规定，上述违法行为的裁量幅度为“由公安机关给予警告，处500元以上5000元以下的罚款”。按照造成不同违法情节划分为“一般情况，给予警告，处500元以上3000元以下的罚款”、“具有以下情节较重情形尚不够刑事处罚或者治安处罚的：1.多次实施；2.经劝阻仍继续实施；3.受过刑事处罚或者行政处罚后又实施；4.在人员密集场所实施；5.其他情节较重情形的，给予警告，处3000元以上5000元以下的罚款”二个基础裁量阶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违反《北京市物业管理条例》第九十八条第（八）项规定，制造超标噪音的，其行为属于基础裁量C档。根据《条例》第九十八条第（八）项规定，上述违法行为的裁量幅度为“由公安机关责令改正，拒不改正的，处200元以上500元以下的罚款”。按照造成不同违法情节划分为“一般情况，责令改正”、“拒不改正的，处200元以上500元以下的罚款”二个基础裁量阶次。</w:t>
      </w:r>
    </w:p>
    <w:p>
      <w:pPr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第三章 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减轻、加重处罚的适用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不满十四周岁的人有违法行为的，不予行政处罚，责令监护人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加以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管教；已满十四周岁不满十八周岁的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未成年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人有违法行为的，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应当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从轻或者减轻行政处罚。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精神病人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智力残疾人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在不能辨认或者不能控制自己行为时有违法行为的，不予行政处罚，但应当责令其监护人严加看管和治疗。间歇性精神病人在精神正常时有违法行为的，应当给予行政处罚。尚未完全丧失辨认或者控制自己行为能力的精神病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智力残疾人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有违法行为的，可以从轻或者减轻行政处罚。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当事人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有下列情形之一的，应当依法从轻或者减轻行政处罚：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主动消除或者减轻违法行为危害后果的；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受他人胁迫或者诱骗实施违法行为的；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主动供述行政机关尚未掌握的违法行为的；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配合行政机关查处违法行为有立功表现的；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法律、法规、规章规定其他应当从轻或者减轻行政处罚的。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违法行为轻微并及时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正，没有造成危害后果的，不予行政处罚。初次违法且危害后果轻微并及时改正的，可以不予行政处罚。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当事人有证据足以证明没有主观过错的，不予行政处罚。法律、行政法规另有规定的，从其规定。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对当事人的违法行为依法不予行政处罚的，行政机关应当对当事人进行教育。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违法行为人有下列情形之一的，应当从重处罚：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有较严重后果的；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教唆、胁迫、诱骗他人实施违法行为的；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对报案人、控告人、举报人、证人等打击报复的；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六个月内曾受过治安管理处罚或者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一年内因同类违法行为受到两次以上公安行政处罚的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刑罚执行完毕三年内，或者在缓刑期间，违反治安管理的。</w:t>
      </w:r>
    </w:p>
    <w:p>
      <w:pPr>
        <w:keepNext w:val="0"/>
        <w:keepLines w:val="0"/>
        <w:pageBreakBefore w:val="0"/>
        <w:tabs>
          <w:tab w:val="left" w:pos="776"/>
        </w:tabs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776"/>
        </w:tabs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第四章  其他特别裁量规则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法行为在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年内未被发现的，不再给予行政处罚；涉及公民生命健康安全、金融安全且有危害后果的，上述期限延长至五年。法律另有规定的除外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前款规定的期限，从违法行为发生之日起计算，违法行为有连续或者继续状态的，从行为终了之日起计算。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被侵害人在违法行为追究时效内向公安机关控告，公安机关应当受理而不受理的，不受本条第一款追诉时效的限制。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实施行政处罚时，应当责令当事人改正或者限期改正违法行为。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对当事人的同一个违法行为，不得给予两次以上罚款的行政处罚。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/>
        <w:jc w:val="center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第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 xml:space="preserve">章 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实施裁量基准制度的要求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公安机关办理行政处罚案件的程序，适用《公安机关办理行政案件程序规定》。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法律、法规、规章对行政处罚程序有特别规定的，按照其规定执行。</w:t>
      </w:r>
    </w:p>
    <w:p>
      <w:pPr>
        <w:pStyle w:val="2"/>
        <w:rPr>
          <w:rFonts w:hint="eastAsi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本《基准》及对应的《处罚裁量基准表》自发布之日起实施。</w:t>
      </w:r>
    </w:p>
    <w:p>
      <w:pPr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违反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北京市物业管理条例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》处罚裁量基准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表</w:t>
      </w:r>
    </w:p>
    <w:tbl>
      <w:tblPr>
        <w:tblStyle w:val="6"/>
        <w:tblW w:w="87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4"/>
        <w:gridCol w:w="1984"/>
        <w:gridCol w:w="1984"/>
        <w:gridCol w:w="2211"/>
        <w:gridCol w:w="13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  <w:tblHeader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  码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法律依据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违法情节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裁量基准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3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C****010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AFA"/>
              </w:rPr>
              <w:t>从建筑物中抛掷物品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AFA"/>
                <w:lang w:val="en-US" w:eastAsia="zh-CN"/>
              </w:rPr>
              <w:t>尚不够刑事处罚或治安处罚的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AFA"/>
              <w:spacing w:before="0" w:beforeAutospacing="0" w:after="0" w:afterAutospacing="0"/>
              <w:ind w:left="0" w:firstLine="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</w:rPr>
              <w:t>第九十八条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</w:rPr>
              <w:t>物业管理区域内有下列行为之一的，由有关主管部门按照下列规定予以查处：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AFA"/>
              <w:spacing w:before="0" w:beforeAutospacing="0" w:after="0" w:afterAutospacing="0"/>
              <w:ind w:left="0" w:firstLine="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</w:rPr>
              <w:t>（七）违反本条例第七十八条第二款第（七）项规定的，由公安机关给予警告，处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  <w:lang w:val="en-US" w:eastAsia="zh-CN"/>
              </w:rPr>
              <w:t>500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</w:rPr>
              <w:t>元以上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  <w:lang w:val="en-US" w:eastAsia="zh-CN"/>
              </w:rPr>
              <w:t>5000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</w:rPr>
              <w:t>元以下的罚款；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AFA"/>
              <w:spacing w:before="0" w:beforeAutospacing="0" w:after="0" w:afterAutospacing="0"/>
              <w:ind w:left="0" w:firstLine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AFA"/>
              </w:rPr>
              <w:t>第七十八条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AFA"/>
                <w:lang w:val="en-US" w:eastAsia="zh-CN"/>
              </w:rPr>
              <w:t>第二款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AFA"/>
              <w:spacing w:before="0" w:beforeAutospacing="0" w:after="0" w:afterAutospacing="0"/>
              <w:ind w:left="0" w:firstLine="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</w:rPr>
              <w:t>业主、物业使用人、物业服务人等不得实施下列行为：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AFA"/>
              <w:spacing w:before="0" w:beforeAutospacing="0" w:after="0" w:afterAutospacing="0"/>
              <w:ind w:left="0" w:firstLine="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</w:rPr>
              <w:t>（七）从建筑物中抛掷物品；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一般情况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</w:rPr>
              <w:t>给予警告，处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  <w:lang w:val="en-US" w:eastAsia="zh-CN"/>
              </w:rPr>
              <w:t>500元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</w:rPr>
              <w:t>以上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  <w:lang w:val="en-US" w:eastAsia="zh-CN"/>
              </w:rPr>
              <w:t>3000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</w:rPr>
              <w:t>元以下的罚款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AFA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1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default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****020</w:t>
            </w: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AFA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AFA"/>
                <w:lang w:val="en-US" w:eastAsia="zh-CN" w:bidi="ar"/>
              </w:rPr>
              <w:t>具有以下情节较重情形尚不够刑事处罚或者治安处罚的：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AFA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AFA"/>
                <w:lang w:val="en-US" w:eastAsia="zh-CN" w:bidi="ar"/>
              </w:rPr>
              <w:t>1.多次实施；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AFA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AFA"/>
                <w:lang w:val="en-US" w:eastAsia="zh-CN" w:bidi="ar"/>
              </w:rPr>
              <w:t>2.经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AFA"/>
                <w:lang w:val="en-US" w:eastAsia="zh-CN" w:bidi="ar"/>
              </w:rPr>
              <w:t>劝阻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AFA"/>
                <w:lang w:val="en-US" w:eastAsia="zh-CN" w:bidi="ar"/>
              </w:rPr>
              <w:t>仍继续实施；3.受过刑事处罚或者行政处罚后又实施；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AFA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AFA"/>
                <w:lang w:val="en-US" w:eastAsia="zh-CN" w:bidi="ar"/>
              </w:rPr>
              <w:t>4.在人员密集场所实施；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AFA"/>
                <w:lang w:val="en-US" w:eastAsia="zh-CN" w:bidi="ar"/>
              </w:rPr>
              <w:t>5.其他情节较重情形。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</w:rPr>
              <w:t>给予警告，处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  <w:lang w:val="en-US" w:eastAsia="zh-CN"/>
              </w:rPr>
              <w:t>3000元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</w:rPr>
              <w:t>以上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  <w:lang w:val="en-US" w:eastAsia="zh-CN"/>
              </w:rPr>
              <w:t>5000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</w:rPr>
              <w:t>元以下的罚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AFA"/>
              </w:rPr>
              <w:t>款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AFA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C****010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制造超标噪音的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AFA"/>
              <w:spacing w:before="0" w:beforeAutospacing="0" w:after="0" w:afterAutospacing="0"/>
              <w:ind w:left="0" w:firstLine="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  <w:lang w:val="en-US" w:eastAsia="zh-CN"/>
              </w:rPr>
              <w:t>第九十八条  物业管理区域内有下列行为之一的，由有关主管部门按照下列规定予以查处：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AFA"/>
              <w:spacing w:before="0" w:beforeAutospacing="0" w:after="0" w:afterAutospacing="0"/>
              <w:ind w:left="0" w:firstLine="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  <w:lang w:val="en-US" w:eastAsia="zh-CN"/>
              </w:rPr>
              <w:t>（八）违反本条例第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AFA"/>
              <w:spacing w:before="0" w:beforeAutospacing="0" w:after="0" w:afterAutospacing="0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  <w:lang w:val="en-US" w:eastAsia="zh-CN"/>
              </w:rPr>
              <w:t>七十八条第二款第（八）项规定的，由公安机关责令改正，拒不改正的，处200元以上500元以下的罚款；</w:t>
            </w:r>
          </w:p>
          <w:p>
            <w:pPr>
              <w:widowControl/>
              <w:spacing w:line="320" w:lineRule="exact"/>
              <w:textAlignment w:val="top"/>
              <w:rPr>
                <w:rFonts w:hint="eastAsia"/>
              </w:rPr>
            </w:pPr>
          </w:p>
          <w:p>
            <w:pPr>
              <w:widowControl/>
              <w:spacing w:line="320" w:lineRule="exact"/>
              <w:textAlignment w:val="top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第七十八条</w:t>
            </w:r>
            <w:r>
              <w:rPr>
                <w:rFonts w:hint="eastAsia"/>
                <w:lang w:val="en-US" w:eastAsia="zh-CN"/>
              </w:rPr>
              <w:t>第二款</w:t>
            </w:r>
          </w:p>
          <w:p>
            <w:pPr>
              <w:widowControl/>
              <w:spacing w:line="320" w:lineRule="exact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业主、物业使用人、物业服务人等不得实施下列行为：</w:t>
            </w:r>
          </w:p>
          <w:p>
            <w:pPr>
              <w:widowControl/>
              <w:spacing w:line="320" w:lineRule="exact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（八）制造超标噪音；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一般情况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3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C****020</w:t>
            </w: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拒不改正的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AF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以上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以下的罚款</w:t>
            </w:r>
          </w:p>
        </w:tc>
      </w:tr>
    </w:tbl>
    <w:p/>
    <w:p>
      <w:pPr>
        <w:pStyle w:val="2"/>
      </w:pPr>
    </w:p>
    <w:p>
      <w:pPr>
        <w:ind w:left="210" w:leftChars="100" w:right="210" w:rightChars="100" w:firstLine="0"/>
        <w:rPr>
          <w:rFonts w:hint="eastAsia"/>
          <w:color w:val="auto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344805</wp:posOffset>
                </wp:positionV>
                <wp:extent cx="600075" cy="367665"/>
                <wp:effectExtent l="0" t="0" r="9525" b="13335"/>
                <wp:wrapNone/>
                <wp:docPr id="5" name="矩形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79" o:spid="_x0000_s1026" o:spt="1" style="position:absolute;left:0pt;margin-left:88.9pt;margin-top:27.15pt;height:28.95pt;width:47.25pt;z-index:-251653120;mso-width-relative:page;mso-height-relative:page;" fillcolor="#FFFFFF" filled="t" stroked="f" coordsize="21600,21600" o:gfxdata="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PJatD7YAAAACgEA&#10;AA8AAAAAAAAAAQAgAAAAIgAAAGRycy9kb3ducmV2LnhtbFBLAQIUABQAAAAIAIdO4kBkqszuqAEA&#10;ACoDAAAOAAAAAAAAAAEAIAAAACcBAABkcnMvZTJvRG9jLnhtbFBLBQYAAAAABgAGAFkBAABBBQAA&#10;AAA=&#10;">
                <v:fill on="t" focussize="0,0"/>
                <v:stroke on="f" weight="3pt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A5796"/>
    <w:rsid w:val="00957EA7"/>
    <w:rsid w:val="05C65655"/>
    <w:rsid w:val="06BD4292"/>
    <w:rsid w:val="09FC2AFD"/>
    <w:rsid w:val="0C51515C"/>
    <w:rsid w:val="0FA75DFD"/>
    <w:rsid w:val="16217287"/>
    <w:rsid w:val="1AAE2B8A"/>
    <w:rsid w:val="1DAD1B5D"/>
    <w:rsid w:val="1DEB1BF0"/>
    <w:rsid w:val="21304396"/>
    <w:rsid w:val="22161809"/>
    <w:rsid w:val="24477A79"/>
    <w:rsid w:val="27056D8A"/>
    <w:rsid w:val="27441FA0"/>
    <w:rsid w:val="28250DC1"/>
    <w:rsid w:val="29282C49"/>
    <w:rsid w:val="29673CAF"/>
    <w:rsid w:val="2AF81907"/>
    <w:rsid w:val="2BD352F7"/>
    <w:rsid w:val="2E850816"/>
    <w:rsid w:val="2F4D3E95"/>
    <w:rsid w:val="32206E17"/>
    <w:rsid w:val="32F669C7"/>
    <w:rsid w:val="333319E1"/>
    <w:rsid w:val="34CE74FB"/>
    <w:rsid w:val="35B903CF"/>
    <w:rsid w:val="39404101"/>
    <w:rsid w:val="39E14473"/>
    <w:rsid w:val="3A2528F0"/>
    <w:rsid w:val="3C001A39"/>
    <w:rsid w:val="3CC402B3"/>
    <w:rsid w:val="3FC05FD7"/>
    <w:rsid w:val="43242681"/>
    <w:rsid w:val="4C5E34D3"/>
    <w:rsid w:val="517D0752"/>
    <w:rsid w:val="54AF2429"/>
    <w:rsid w:val="562A5796"/>
    <w:rsid w:val="565A1150"/>
    <w:rsid w:val="5819325F"/>
    <w:rsid w:val="595E67FE"/>
    <w:rsid w:val="5C686871"/>
    <w:rsid w:val="5DA13B76"/>
    <w:rsid w:val="5F114C98"/>
    <w:rsid w:val="63A766DD"/>
    <w:rsid w:val="65871CA9"/>
    <w:rsid w:val="6CB14E85"/>
    <w:rsid w:val="6DC330F4"/>
    <w:rsid w:val="6F727369"/>
    <w:rsid w:val="723B35AA"/>
    <w:rsid w:val="7249155B"/>
    <w:rsid w:val="73F20A00"/>
    <w:rsid w:val="743573A6"/>
    <w:rsid w:val="77773F4C"/>
    <w:rsid w:val="77C22ADF"/>
    <w:rsid w:val="7A3A4ACB"/>
    <w:rsid w:val="7D284219"/>
    <w:rsid w:val="7DBE6FFA"/>
    <w:rsid w:val="7E9F5642"/>
    <w:rsid w:val="7ED1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8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cs="Calibri"/>
      <w:b/>
      <w:bCs/>
      <w:sz w:val="32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标题 3 Char"/>
    <w:basedOn w:val="7"/>
    <w:link w:val="3"/>
    <w:qFormat/>
    <w:uiPriority w:val="0"/>
    <w:rPr>
      <w:rFonts w:ascii="Calibri" w:hAnsi="Calibri" w:cs="Calibri"/>
      <w:b/>
      <w:bCs/>
      <w:sz w:val="32"/>
      <w:szCs w:val="32"/>
    </w:rPr>
  </w:style>
  <w:style w:type="paragraph" w:customStyle="1" w:styleId="9">
    <w:name w:val="发文字号"/>
    <w:basedOn w:val="1"/>
    <w:qFormat/>
    <w:uiPriority w:val="0"/>
    <w:pPr>
      <w:ind w:firstLine="0"/>
      <w:jc w:val="center"/>
    </w:pPr>
  </w:style>
  <w:style w:type="paragraph" w:customStyle="1" w:styleId="10">
    <w:name w:val="大标题"/>
    <w:basedOn w:val="1"/>
    <w:qFormat/>
    <w:uiPriority w:val="0"/>
    <w:pPr>
      <w:spacing w:line="600" w:lineRule="exact"/>
      <w:ind w:left="340" w:right="340" w:firstLine="0"/>
      <w:jc w:val="center"/>
    </w:pPr>
    <w:rPr>
      <w:rFonts w:eastAsia="宋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2024-07-29T01:54:00Z</dcterms:created>
  <dc:creator>fzc</dc:creator>
  <cp:lastModifiedBy>bgs</cp:lastModifiedBy>
  <dcterms:modified xsi:type="dcterms:W3CDTF">2024-08-30T07:09:06Z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