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4F16" w:rsidRDefault="00BD4F16" w:rsidP="00BD4F16">
      <w:pPr>
        <w:spacing w:line="560" w:lineRule="exact"/>
        <w:contextualSpacing/>
        <w:rPr>
          <w:rFonts w:ascii="黑体" w:eastAsia="黑体" w:hAnsi="黑体"/>
          <w:sz w:val="32"/>
          <w:szCs w:val="32"/>
        </w:rPr>
      </w:pPr>
      <w:r w:rsidRPr="00BD4F16">
        <w:rPr>
          <w:rFonts w:ascii="黑体" w:eastAsia="黑体" w:hAnsi="黑体" w:hint="eastAsia"/>
          <w:sz w:val="32"/>
          <w:szCs w:val="32"/>
        </w:rPr>
        <w:t>附件1</w:t>
      </w:r>
    </w:p>
    <w:p w:rsidR="00BD4F16" w:rsidRPr="00BD4F16" w:rsidRDefault="00BD4F16" w:rsidP="00BD4F16">
      <w:pPr>
        <w:spacing w:line="560" w:lineRule="exact"/>
        <w:contextualSpacing/>
        <w:rPr>
          <w:rFonts w:ascii="黑体" w:eastAsia="黑体" w:hAnsi="黑体" w:hint="eastAsia"/>
          <w:sz w:val="32"/>
          <w:szCs w:val="32"/>
        </w:rPr>
      </w:pPr>
    </w:p>
    <w:p w:rsidR="00733877" w:rsidRDefault="00733877" w:rsidP="00733877">
      <w:pPr>
        <w:spacing w:line="560" w:lineRule="exact"/>
        <w:contextualSpacing/>
        <w:jc w:val="center"/>
        <w:rPr>
          <w:rFonts w:ascii="方正小标宋简体" w:eastAsia="方正小标宋简体"/>
          <w:bCs/>
          <w:color w:val="000000"/>
          <w:kern w:val="21"/>
          <w:sz w:val="44"/>
          <w:szCs w:val="44"/>
        </w:rPr>
      </w:pPr>
      <w:r>
        <w:rPr>
          <w:rFonts w:ascii="方正小标宋简体" w:eastAsia="方正小标宋简体" w:hint="eastAsia"/>
          <w:sz w:val="44"/>
          <w:szCs w:val="44"/>
        </w:rPr>
        <w:t>北京经济技术开发区外资招商促进奖励办法</w:t>
      </w:r>
      <w:r>
        <w:rPr>
          <w:rFonts w:ascii="方正小标宋简体" w:eastAsia="方正小标宋简体" w:hint="eastAsia"/>
          <w:bCs/>
          <w:color w:val="000000"/>
          <w:kern w:val="21"/>
          <w:sz w:val="44"/>
          <w:szCs w:val="44"/>
        </w:rPr>
        <w:t>（征求意见稿）</w:t>
      </w:r>
    </w:p>
    <w:p w:rsidR="00733877" w:rsidRDefault="00733877" w:rsidP="00733877">
      <w:pPr>
        <w:spacing w:line="560" w:lineRule="exact"/>
        <w:contextualSpacing/>
        <w:rPr>
          <w:rFonts w:ascii="黑体" w:eastAsia="黑体" w:hAnsi="黑体" w:cs="Arial"/>
          <w:b/>
          <w:bCs/>
          <w:color w:val="222222"/>
          <w:sz w:val="28"/>
          <w:szCs w:val="28"/>
          <w:shd w:val="clear" w:color="auto" w:fill="FFFFFF"/>
        </w:rPr>
      </w:pPr>
    </w:p>
    <w:p w:rsidR="00733877" w:rsidRDefault="00733877" w:rsidP="00733877">
      <w:pPr>
        <w:spacing w:line="560" w:lineRule="exact"/>
        <w:ind w:firstLineChars="200" w:firstLine="640"/>
        <w:contextualSpacing/>
        <w:outlineLvl w:val="1"/>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为深入贯彻落实《扎实推进高水平对外开放更大力度吸引和利用外资行动方案（国办发〔2024〕9号）》《北京市关于进一步优化外商投资环境加大吸引外商投资力度的若干措施（京政字〔2023〕23号）》意见精神，充分利用国际化优质资源，推进多元社会化专业力量参与北京经济技术开发区（以下简称“经开区”）外商投资招商促进工作，特制定本办法。</w:t>
      </w:r>
    </w:p>
    <w:p w:rsidR="00733877" w:rsidRDefault="00733877" w:rsidP="00733877">
      <w:pPr>
        <w:spacing w:line="560" w:lineRule="exact"/>
        <w:contextualSpacing/>
        <w:jc w:val="center"/>
        <w:outlineLvl w:val="0"/>
        <w:rPr>
          <w:rFonts w:ascii="黑体" w:eastAsia="黑体" w:hAnsi="黑体" w:cs="Arial"/>
          <w:b/>
          <w:bCs/>
          <w:color w:val="222222"/>
          <w:sz w:val="32"/>
          <w:szCs w:val="32"/>
          <w:shd w:val="clear" w:color="auto" w:fill="FFFFFF"/>
        </w:rPr>
      </w:pPr>
      <w:r>
        <w:rPr>
          <w:rFonts w:ascii="黑体" w:eastAsia="黑体" w:hAnsi="黑体" w:cs="Arial" w:hint="eastAsia"/>
          <w:b/>
          <w:bCs/>
          <w:color w:val="222222"/>
          <w:sz w:val="32"/>
          <w:szCs w:val="32"/>
          <w:shd w:val="clear" w:color="auto" w:fill="FFFFFF"/>
        </w:rPr>
        <w:t>第一章 适用范围</w:t>
      </w:r>
    </w:p>
    <w:p w:rsidR="00733877" w:rsidRDefault="00733877" w:rsidP="00733877">
      <w:pPr>
        <w:spacing w:line="560" w:lineRule="exact"/>
        <w:ind w:firstLineChars="200" w:firstLine="640"/>
        <w:contextualSpacing/>
        <w:outlineLvl w:val="1"/>
        <w:rPr>
          <w:rFonts w:ascii="仿宋_GB2312" w:eastAsia="仿宋_GB2312" w:hAnsi="微软雅黑"/>
          <w:sz w:val="32"/>
          <w:szCs w:val="32"/>
          <w:shd w:val="clear" w:color="auto" w:fill="FFFFFF"/>
        </w:rPr>
      </w:pPr>
      <w:r>
        <w:rPr>
          <w:rFonts w:ascii="黑体" w:eastAsia="黑体" w:hAnsi="黑体" w:cs="Arial" w:hint="eastAsia"/>
          <w:color w:val="222222"/>
          <w:sz w:val="32"/>
          <w:szCs w:val="32"/>
          <w:shd w:val="clear" w:color="auto" w:fill="FFFFFF"/>
        </w:rPr>
        <w:t>第一条 奖励对象。</w:t>
      </w:r>
      <w:r>
        <w:rPr>
          <w:rFonts w:ascii="仿宋_GB2312" w:eastAsia="仿宋_GB2312" w:hAnsi="微软雅黑" w:hint="eastAsia"/>
          <w:sz w:val="32"/>
          <w:szCs w:val="32"/>
          <w:shd w:val="clear" w:color="auto" w:fill="FFFFFF"/>
        </w:rPr>
        <w:t>对促成外商投资项目（或企业）在亦庄新城落地发挥重要作用的各类机构或经济组织，包括但不限于：具备外资企业资源、全球合作渠道、国际知名度及业内公信力，可为投资项目（或企业）提供信息洽谈、选址评估、注册落地等服务的国内外商协会、金融机构、律师事务所、会计师事务所等各类相关主体（以下简称“招商主体”）。行政机关、事业单位、群团组织、项目关联单位、利益相关方、自然人除外。</w:t>
      </w:r>
    </w:p>
    <w:p w:rsidR="00733877" w:rsidRDefault="00733877" w:rsidP="00733877">
      <w:pPr>
        <w:spacing w:line="560" w:lineRule="exact"/>
        <w:ind w:firstLineChars="200" w:firstLine="640"/>
        <w:contextualSpacing/>
        <w:outlineLvl w:val="1"/>
        <w:rPr>
          <w:rFonts w:ascii="仿宋_GB2312" w:eastAsia="仿宋_GB2312" w:hAnsi="微软雅黑"/>
          <w:sz w:val="32"/>
          <w:szCs w:val="32"/>
          <w:shd w:val="clear" w:color="auto" w:fill="FFFFFF"/>
        </w:rPr>
      </w:pPr>
      <w:r>
        <w:rPr>
          <w:rFonts w:ascii="黑体" w:eastAsia="黑体" w:hAnsi="黑体" w:cs="Arial" w:hint="eastAsia"/>
          <w:color w:val="222222"/>
          <w:sz w:val="32"/>
          <w:szCs w:val="32"/>
          <w:shd w:val="clear" w:color="auto" w:fill="FFFFFF"/>
        </w:rPr>
        <w:t>第二条 引进对象。</w:t>
      </w:r>
      <w:r>
        <w:rPr>
          <w:rFonts w:ascii="仿宋_GB2312" w:eastAsia="仿宋_GB2312" w:hAnsi="微软雅黑" w:hint="eastAsia"/>
          <w:sz w:val="32"/>
          <w:szCs w:val="32"/>
          <w:shd w:val="clear" w:color="auto" w:fill="FFFFFF"/>
        </w:rPr>
        <w:t>引进项目（或企业）须满足下列基本条件：</w:t>
      </w:r>
    </w:p>
    <w:p w:rsidR="00733877" w:rsidRDefault="00733877" w:rsidP="00733877">
      <w:pPr>
        <w:spacing w:line="560" w:lineRule="exact"/>
        <w:ind w:firstLineChars="200" w:firstLine="640"/>
        <w:contextualSpacing/>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（一）依法在亦庄新城225平方公里范围内进行工商注册、</w:t>
      </w:r>
      <w:r>
        <w:rPr>
          <w:rFonts w:ascii="仿宋_GB2312" w:eastAsia="仿宋_GB2312" w:hAnsi="微软雅黑" w:hint="eastAsia"/>
          <w:sz w:val="32"/>
          <w:szCs w:val="32"/>
          <w:shd w:val="clear" w:color="auto" w:fill="FFFFFF"/>
        </w:rPr>
        <w:lastRenderedPageBreak/>
        <w:t>税务登记和统计登记。项目主体为全部或者部分由境外投资者（包含港澳台地区）直接或间接投资的企业。</w:t>
      </w:r>
    </w:p>
    <w:p w:rsidR="00733877" w:rsidRDefault="00733877" w:rsidP="00733877">
      <w:pPr>
        <w:spacing w:line="560" w:lineRule="exact"/>
        <w:ind w:firstLineChars="200" w:firstLine="640"/>
        <w:contextualSpacing/>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（二）围绕经开区“44637</w:t>
      </w:r>
      <w:r>
        <w:rPr>
          <w:rStyle w:val="af9"/>
          <w:rFonts w:ascii="仿宋_GB2312" w:eastAsia="仿宋_GB2312" w:hAnsi="微软雅黑" w:hint="eastAsia"/>
          <w:sz w:val="32"/>
          <w:szCs w:val="32"/>
          <w:shd w:val="clear" w:color="auto" w:fill="FFFFFF"/>
        </w:rPr>
        <w:footnoteReference w:id="1"/>
      </w:r>
      <w:r>
        <w:rPr>
          <w:rFonts w:ascii="仿宋_GB2312" w:eastAsia="仿宋_GB2312" w:hAnsi="微软雅黑" w:hint="eastAsia"/>
          <w:sz w:val="32"/>
          <w:szCs w:val="32"/>
          <w:shd w:val="clear" w:color="auto" w:fill="FFFFFF"/>
        </w:rPr>
        <w:t>”产业体系，符合经开区发展产业方向和亦</w:t>
      </w:r>
      <w:proofErr w:type="gramStart"/>
      <w:r>
        <w:rPr>
          <w:rFonts w:ascii="仿宋_GB2312" w:eastAsia="仿宋_GB2312" w:hAnsi="微软雅黑" w:hint="eastAsia"/>
          <w:sz w:val="32"/>
          <w:szCs w:val="32"/>
          <w:shd w:val="clear" w:color="auto" w:fill="FFFFFF"/>
        </w:rPr>
        <w:t>庄城市</w:t>
      </w:r>
      <w:proofErr w:type="gramEnd"/>
      <w:r>
        <w:rPr>
          <w:rFonts w:ascii="仿宋_GB2312" w:eastAsia="仿宋_GB2312" w:hAnsi="微软雅黑" w:hint="eastAsia"/>
          <w:sz w:val="32"/>
          <w:szCs w:val="32"/>
          <w:shd w:val="clear" w:color="auto" w:fill="FFFFFF"/>
        </w:rPr>
        <w:t>服务提升方向的外商投资项目（或企业）。不含增资项目以及《北京市新增产业的禁止和限制目录》范围的项目。</w:t>
      </w:r>
    </w:p>
    <w:p w:rsidR="00733877" w:rsidRDefault="00733877" w:rsidP="00733877">
      <w:pPr>
        <w:spacing w:line="560" w:lineRule="exact"/>
        <w:contextualSpacing/>
        <w:jc w:val="center"/>
        <w:outlineLvl w:val="0"/>
        <w:rPr>
          <w:rFonts w:ascii="黑体" w:eastAsia="黑体" w:hAnsi="黑体" w:cs="Arial"/>
          <w:b/>
          <w:bCs/>
          <w:color w:val="222222"/>
          <w:sz w:val="32"/>
          <w:szCs w:val="32"/>
          <w:shd w:val="clear" w:color="auto" w:fill="FFFFFF"/>
        </w:rPr>
      </w:pPr>
      <w:r>
        <w:rPr>
          <w:rFonts w:ascii="黑体" w:eastAsia="黑体" w:hAnsi="黑体" w:cs="Arial" w:hint="eastAsia"/>
          <w:b/>
          <w:bCs/>
          <w:color w:val="222222"/>
          <w:sz w:val="32"/>
          <w:szCs w:val="32"/>
          <w:shd w:val="clear" w:color="auto" w:fill="FFFFFF"/>
        </w:rPr>
        <w:t>第二章 奖励标准</w:t>
      </w:r>
    </w:p>
    <w:p w:rsidR="00733877" w:rsidRDefault="00733877" w:rsidP="00733877">
      <w:pPr>
        <w:spacing w:line="560" w:lineRule="exact"/>
        <w:ind w:firstLineChars="200" w:firstLine="640"/>
        <w:contextualSpacing/>
        <w:outlineLvl w:val="1"/>
        <w:rPr>
          <w:rFonts w:ascii="黑体" w:eastAsia="黑体" w:hAnsi="黑体" w:cs="Arial"/>
          <w:b/>
          <w:bCs/>
          <w:color w:val="222222"/>
          <w:sz w:val="32"/>
          <w:szCs w:val="32"/>
          <w:shd w:val="clear" w:color="auto" w:fill="FFFFFF"/>
        </w:rPr>
      </w:pPr>
      <w:r>
        <w:rPr>
          <w:rFonts w:ascii="黑体" w:eastAsia="黑体" w:hAnsi="黑体" w:cs="Arial" w:hint="eastAsia"/>
          <w:color w:val="222222"/>
          <w:sz w:val="32"/>
          <w:szCs w:val="32"/>
          <w:shd w:val="clear" w:color="auto" w:fill="FFFFFF"/>
        </w:rPr>
        <w:t>第三条 项目落地奖励</w:t>
      </w:r>
    </w:p>
    <w:p w:rsidR="00733877" w:rsidRDefault="00733877" w:rsidP="00733877">
      <w:pPr>
        <w:spacing w:line="560" w:lineRule="exact"/>
        <w:ind w:firstLineChars="200" w:firstLine="640"/>
        <w:contextualSpacing/>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（一）引进世界500强企业或项目的，每引进落地一家，一次性奖励30万元；</w:t>
      </w:r>
    </w:p>
    <w:p w:rsidR="00733877" w:rsidRDefault="00733877" w:rsidP="00733877">
      <w:pPr>
        <w:widowControl/>
        <w:numPr>
          <w:ilvl w:val="0"/>
          <w:numId w:val="1"/>
        </w:numPr>
        <w:spacing w:line="560" w:lineRule="exact"/>
        <w:ind w:firstLineChars="200" w:firstLine="640"/>
        <w:contextualSpacing/>
        <w:jc w:val="lef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引进福布</w:t>
      </w:r>
      <w:proofErr w:type="gramStart"/>
      <w:r>
        <w:rPr>
          <w:rFonts w:ascii="仿宋_GB2312" w:eastAsia="仿宋_GB2312" w:hAnsi="微软雅黑" w:hint="eastAsia"/>
          <w:sz w:val="32"/>
          <w:szCs w:val="32"/>
          <w:shd w:val="clear" w:color="auto" w:fill="FFFFFF"/>
        </w:rPr>
        <w:t>斯全球</w:t>
      </w:r>
      <w:proofErr w:type="gramEnd"/>
      <w:r>
        <w:rPr>
          <w:rFonts w:ascii="仿宋_GB2312" w:eastAsia="仿宋_GB2312" w:hAnsi="微软雅黑" w:hint="eastAsia"/>
          <w:sz w:val="32"/>
          <w:szCs w:val="32"/>
          <w:shd w:val="clear" w:color="auto" w:fill="FFFFFF"/>
        </w:rPr>
        <w:t>2000强企业、世界隐形冠军500强、世界独角兽企业、</w:t>
      </w:r>
      <w:r>
        <w:rPr>
          <w:rFonts w:ascii="仿宋_GB2312" w:eastAsia="仿宋_GB2312" w:hAnsi="微软雅黑"/>
          <w:sz w:val="32"/>
          <w:szCs w:val="32"/>
          <w:shd w:val="clear" w:color="auto" w:fill="FFFFFF"/>
        </w:rPr>
        <w:t>胡润中国外商投资百强排行</w:t>
      </w:r>
      <w:proofErr w:type="gramStart"/>
      <w:r>
        <w:rPr>
          <w:rFonts w:ascii="仿宋_GB2312" w:eastAsia="仿宋_GB2312" w:hAnsi="微软雅黑"/>
          <w:sz w:val="32"/>
          <w:szCs w:val="32"/>
          <w:shd w:val="clear" w:color="auto" w:fill="FFFFFF"/>
        </w:rPr>
        <w:t>榜</w:t>
      </w:r>
      <w:r>
        <w:rPr>
          <w:rFonts w:ascii="仿宋_GB2312" w:eastAsia="仿宋_GB2312" w:hAnsi="微软雅黑" w:hint="eastAsia"/>
          <w:sz w:val="32"/>
          <w:szCs w:val="32"/>
          <w:shd w:val="clear" w:color="auto" w:fill="FFFFFF"/>
        </w:rPr>
        <w:t>企业</w:t>
      </w:r>
      <w:proofErr w:type="gramEnd"/>
      <w:r>
        <w:rPr>
          <w:rFonts w:ascii="仿宋_GB2312" w:eastAsia="仿宋_GB2312" w:hAnsi="微软雅黑" w:hint="eastAsia"/>
          <w:sz w:val="32"/>
          <w:szCs w:val="32"/>
          <w:shd w:val="clear" w:color="auto" w:fill="FFFFFF"/>
        </w:rPr>
        <w:t>的，引进具有重要影响力的国际组织、外国商会、国际仲裁机构、国际认证机构、国际评级机构等功能性机构的，每引进落地一家，一次性奖励20万元；</w:t>
      </w:r>
    </w:p>
    <w:p w:rsidR="00733877" w:rsidRDefault="00733877" w:rsidP="00733877">
      <w:pPr>
        <w:widowControl/>
        <w:numPr>
          <w:ilvl w:val="0"/>
          <w:numId w:val="1"/>
        </w:numPr>
        <w:spacing w:line="560" w:lineRule="exact"/>
        <w:ind w:firstLineChars="200" w:firstLine="640"/>
        <w:contextualSpacing/>
        <w:jc w:val="lef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引进项目在本办法有效期内首次升</w:t>
      </w:r>
      <w:proofErr w:type="gramStart"/>
      <w:r>
        <w:rPr>
          <w:rFonts w:ascii="仿宋_GB2312" w:eastAsia="仿宋_GB2312" w:hAnsi="微软雅黑" w:hint="eastAsia"/>
          <w:sz w:val="32"/>
          <w:szCs w:val="32"/>
          <w:shd w:val="clear" w:color="auto" w:fill="FFFFFF"/>
        </w:rPr>
        <w:t>规</w:t>
      </w:r>
      <w:proofErr w:type="gramEnd"/>
      <w:r>
        <w:rPr>
          <w:rFonts w:ascii="仿宋_GB2312" w:eastAsia="仿宋_GB2312" w:hAnsi="微软雅黑" w:hint="eastAsia"/>
          <w:sz w:val="32"/>
          <w:szCs w:val="32"/>
          <w:shd w:val="clear" w:color="auto" w:fill="FFFFFF"/>
        </w:rPr>
        <w:t>纳统，或年出口额首次达到</w:t>
      </w:r>
      <w:r>
        <w:rPr>
          <w:rFonts w:ascii="仿宋_GB2312" w:eastAsia="仿宋_GB2312" w:hAnsi="微软雅黑"/>
          <w:sz w:val="32"/>
          <w:szCs w:val="32"/>
          <w:shd w:val="clear" w:color="auto" w:fill="FFFFFF"/>
        </w:rPr>
        <w:t>1000</w:t>
      </w:r>
      <w:r>
        <w:rPr>
          <w:rFonts w:ascii="仿宋_GB2312" w:eastAsia="仿宋_GB2312" w:hAnsi="微软雅黑" w:hint="eastAsia"/>
          <w:sz w:val="32"/>
          <w:szCs w:val="32"/>
          <w:shd w:val="clear" w:color="auto" w:fill="FFFFFF"/>
        </w:rPr>
        <w:t>万美元及以上的，一次性奖励10万元；</w:t>
      </w:r>
    </w:p>
    <w:p w:rsidR="00733877" w:rsidRDefault="00733877" w:rsidP="00733877">
      <w:pPr>
        <w:widowControl/>
        <w:numPr>
          <w:ilvl w:val="0"/>
          <w:numId w:val="1"/>
        </w:numPr>
        <w:spacing w:line="560" w:lineRule="exact"/>
        <w:ind w:firstLineChars="200" w:firstLine="640"/>
        <w:contextualSpacing/>
        <w:jc w:val="lef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引进项目在落地当年或第一个完整自然年内实缴合同外资总额50万美元及以上的，每引进落地一家一次性奖励5万元。</w:t>
      </w:r>
    </w:p>
    <w:p w:rsidR="00733877" w:rsidRDefault="00733877" w:rsidP="00733877">
      <w:pPr>
        <w:spacing w:line="560" w:lineRule="exact"/>
        <w:ind w:firstLineChars="200" w:firstLine="640"/>
        <w:contextualSpacing/>
        <w:rPr>
          <w:rFonts w:ascii="仿宋_GB2312" w:eastAsia="仿宋_GB2312" w:hAnsi="微软雅黑"/>
          <w:sz w:val="32"/>
          <w:szCs w:val="32"/>
          <w:shd w:val="clear" w:color="auto" w:fill="FFFFFF"/>
        </w:rPr>
      </w:pPr>
      <w:r w:rsidRPr="00733877">
        <w:rPr>
          <w:rFonts w:ascii="仿宋_GB2312" w:eastAsia="仿宋_GB2312" w:hAnsi="微软雅黑" w:hint="eastAsia"/>
          <w:sz w:val="32"/>
          <w:szCs w:val="32"/>
          <w:shd w:val="clear" w:color="auto" w:fill="FFFFFF"/>
        </w:rPr>
        <w:lastRenderedPageBreak/>
        <w:t>本条款奖励按照“就高不重复”原则择</w:t>
      </w:r>
      <w:proofErr w:type="gramStart"/>
      <w:r w:rsidRPr="00733877">
        <w:rPr>
          <w:rFonts w:ascii="仿宋_GB2312" w:eastAsia="仿宋_GB2312" w:hAnsi="微软雅黑" w:hint="eastAsia"/>
          <w:sz w:val="32"/>
          <w:szCs w:val="32"/>
          <w:shd w:val="clear" w:color="auto" w:fill="FFFFFF"/>
        </w:rPr>
        <w:t>一</w:t>
      </w:r>
      <w:proofErr w:type="gramEnd"/>
      <w:r w:rsidRPr="00733877">
        <w:rPr>
          <w:rFonts w:ascii="仿宋_GB2312" w:eastAsia="仿宋_GB2312" w:hAnsi="微软雅黑" w:hint="eastAsia"/>
          <w:sz w:val="32"/>
          <w:szCs w:val="32"/>
          <w:shd w:val="clear" w:color="auto" w:fill="FFFFFF"/>
        </w:rPr>
        <w:t>申请，对引进企业在亦庄新城落地之日起3个完整自然年度内完成提档升级的，可申请晋档补差。</w:t>
      </w:r>
    </w:p>
    <w:p w:rsidR="00733877" w:rsidRDefault="00733877" w:rsidP="00733877">
      <w:pPr>
        <w:spacing w:line="560" w:lineRule="exact"/>
        <w:ind w:firstLineChars="200" w:firstLine="640"/>
        <w:contextualSpacing/>
        <w:outlineLvl w:val="1"/>
        <w:rPr>
          <w:rFonts w:ascii="黑体" w:eastAsia="黑体" w:hAnsi="黑体" w:cs="Arial"/>
          <w:b/>
          <w:bCs/>
          <w:color w:val="222222"/>
          <w:sz w:val="32"/>
          <w:szCs w:val="32"/>
          <w:shd w:val="clear" w:color="auto" w:fill="FFFFFF"/>
        </w:rPr>
      </w:pPr>
      <w:r>
        <w:rPr>
          <w:rFonts w:ascii="黑体" w:eastAsia="黑体" w:hAnsi="黑体" w:cs="Arial" w:hint="eastAsia"/>
          <w:color w:val="222222"/>
          <w:sz w:val="32"/>
          <w:szCs w:val="32"/>
          <w:shd w:val="clear" w:color="auto" w:fill="FFFFFF"/>
        </w:rPr>
        <w:t>第四条 项目贡献奖励</w:t>
      </w:r>
    </w:p>
    <w:p w:rsidR="00733877" w:rsidRDefault="00733877" w:rsidP="00733877">
      <w:pPr>
        <w:spacing w:line="560" w:lineRule="exact"/>
        <w:ind w:firstLineChars="200" w:firstLine="640"/>
        <w:contextualSpacing/>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招商主体引进项目（或企业）落地当年或第一个完整自然年内实缴合同外资总额在100万美元及以上的，可按照其落地当年或第一个完整自然年内实缴合同外资总额的5‰申请奖励。</w:t>
      </w:r>
    </w:p>
    <w:p w:rsidR="00733877" w:rsidRDefault="00733877" w:rsidP="00733877">
      <w:pPr>
        <w:spacing w:line="560" w:lineRule="exact"/>
        <w:ind w:firstLineChars="200" w:firstLine="640"/>
        <w:contextualSpacing/>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本办法第三条（项目落地奖励）、第四条（项目贡献奖励）可叠加申请。</w:t>
      </w:r>
    </w:p>
    <w:p w:rsidR="00733877" w:rsidRDefault="00733877" w:rsidP="00733877">
      <w:pPr>
        <w:spacing w:line="560" w:lineRule="exact"/>
        <w:contextualSpacing/>
        <w:jc w:val="center"/>
        <w:outlineLvl w:val="0"/>
        <w:rPr>
          <w:rFonts w:ascii="黑体" w:eastAsia="黑体" w:hAnsi="黑体" w:cs="Arial"/>
          <w:b/>
          <w:bCs/>
          <w:color w:val="222222"/>
          <w:sz w:val="32"/>
          <w:szCs w:val="32"/>
          <w:shd w:val="clear" w:color="auto" w:fill="FFFFFF"/>
        </w:rPr>
      </w:pPr>
      <w:r>
        <w:rPr>
          <w:rFonts w:ascii="黑体" w:eastAsia="黑体" w:hAnsi="黑体" w:cs="Arial" w:hint="eastAsia"/>
          <w:b/>
          <w:bCs/>
          <w:color w:val="222222"/>
          <w:sz w:val="32"/>
          <w:szCs w:val="32"/>
          <w:shd w:val="clear" w:color="auto" w:fill="FFFFFF"/>
        </w:rPr>
        <w:t>第三章 奖励申请和兑现</w:t>
      </w:r>
    </w:p>
    <w:p w:rsidR="00733877" w:rsidRDefault="00733877" w:rsidP="00733877">
      <w:pPr>
        <w:spacing w:line="560" w:lineRule="exact"/>
        <w:ind w:firstLineChars="200" w:firstLine="640"/>
        <w:contextualSpacing/>
        <w:outlineLvl w:val="1"/>
        <w:rPr>
          <w:rFonts w:ascii="黑体" w:eastAsia="黑体" w:hAnsi="黑体" w:cs="Arial"/>
          <w:color w:val="222222"/>
          <w:sz w:val="32"/>
          <w:szCs w:val="32"/>
          <w:shd w:val="clear" w:color="auto" w:fill="FFFFFF"/>
        </w:rPr>
      </w:pPr>
      <w:r>
        <w:rPr>
          <w:rFonts w:ascii="黑体" w:eastAsia="黑体" w:hAnsi="黑体" w:cs="Arial" w:hint="eastAsia"/>
          <w:color w:val="222222"/>
          <w:sz w:val="32"/>
          <w:szCs w:val="32"/>
          <w:shd w:val="clear" w:color="auto" w:fill="FFFFFF"/>
        </w:rPr>
        <w:t>第五条 奖励申请</w:t>
      </w:r>
    </w:p>
    <w:p w:rsidR="00733877" w:rsidRDefault="00733877" w:rsidP="00733877">
      <w:pPr>
        <w:spacing w:line="560" w:lineRule="exact"/>
        <w:ind w:firstLineChars="200" w:firstLine="643"/>
        <w:contextualSpacing/>
        <w:rPr>
          <w:rFonts w:ascii="仿宋_GB2312" w:eastAsia="仿宋_GB2312" w:hAnsi="微软雅黑"/>
          <w:sz w:val="32"/>
          <w:szCs w:val="32"/>
          <w:shd w:val="clear" w:color="auto" w:fill="FFFFFF"/>
        </w:rPr>
      </w:pPr>
      <w:r>
        <w:rPr>
          <w:rFonts w:ascii="仿宋_GB2312" w:eastAsia="仿宋_GB2312" w:hAnsi="微软雅黑" w:hint="eastAsia"/>
          <w:b/>
          <w:bCs/>
          <w:sz w:val="32"/>
          <w:szCs w:val="32"/>
          <w:shd w:val="clear" w:color="auto" w:fill="FFFFFF"/>
        </w:rPr>
        <w:t>（一）奖励前提。</w:t>
      </w:r>
      <w:r>
        <w:rPr>
          <w:rFonts w:ascii="仿宋_GB2312" w:eastAsia="仿宋_GB2312" w:hAnsi="微软雅黑" w:hint="eastAsia"/>
          <w:sz w:val="32"/>
          <w:szCs w:val="32"/>
          <w:shd w:val="clear" w:color="auto" w:fill="FFFFFF"/>
        </w:rPr>
        <w:t>招商主体应在招商项目（或企业）在亦庄新城落地前报送引进项目（或企业）信息并完成招商主体身份备案。</w:t>
      </w:r>
    </w:p>
    <w:p w:rsidR="00733877" w:rsidRDefault="00733877" w:rsidP="00733877">
      <w:pPr>
        <w:spacing w:line="560" w:lineRule="exact"/>
        <w:ind w:firstLineChars="200" w:firstLine="643"/>
        <w:contextualSpacing/>
        <w:rPr>
          <w:rFonts w:ascii="仿宋_GB2312" w:eastAsia="仿宋_GB2312" w:hAnsi="微软雅黑"/>
          <w:sz w:val="32"/>
          <w:szCs w:val="32"/>
          <w:shd w:val="clear" w:color="auto" w:fill="FFFFFF"/>
        </w:rPr>
      </w:pPr>
      <w:r>
        <w:rPr>
          <w:rFonts w:ascii="仿宋_GB2312" w:eastAsia="仿宋_GB2312" w:hAnsi="微软雅黑" w:hint="eastAsia"/>
          <w:b/>
          <w:bCs/>
          <w:sz w:val="32"/>
          <w:szCs w:val="32"/>
          <w:shd w:val="clear" w:color="auto" w:fill="FFFFFF"/>
        </w:rPr>
        <w:t>（二）奖励申请</w:t>
      </w:r>
      <w:r>
        <w:rPr>
          <w:rFonts w:ascii="仿宋_GB2312" w:eastAsia="仿宋_GB2312" w:hAnsi="微软雅黑" w:hint="eastAsia"/>
          <w:sz w:val="32"/>
          <w:szCs w:val="32"/>
          <w:shd w:val="clear" w:color="auto" w:fill="FFFFFF"/>
        </w:rPr>
        <w:t>。招商主体应按照本办法实施细则的申报要求，提交相应奖励申报材料。</w:t>
      </w:r>
    </w:p>
    <w:p w:rsidR="00733877" w:rsidRDefault="00733877" w:rsidP="00733877">
      <w:pPr>
        <w:spacing w:line="560" w:lineRule="exact"/>
        <w:ind w:firstLineChars="200" w:firstLine="643"/>
        <w:contextualSpacing/>
        <w:rPr>
          <w:rFonts w:ascii="仿宋_GB2312" w:eastAsia="仿宋_GB2312" w:hAnsi="微软雅黑"/>
          <w:sz w:val="32"/>
          <w:szCs w:val="32"/>
          <w:shd w:val="clear" w:color="auto" w:fill="FFFFFF"/>
        </w:rPr>
      </w:pPr>
      <w:r>
        <w:rPr>
          <w:rFonts w:ascii="仿宋_GB2312" w:eastAsia="仿宋_GB2312" w:hAnsi="微软雅黑" w:hint="eastAsia"/>
          <w:b/>
          <w:bCs/>
          <w:sz w:val="32"/>
          <w:szCs w:val="32"/>
          <w:shd w:val="clear" w:color="auto" w:fill="FFFFFF"/>
        </w:rPr>
        <w:t>（三）奖励界定。</w:t>
      </w:r>
      <w:r>
        <w:rPr>
          <w:rFonts w:ascii="Times New Roman" w:eastAsia="仿宋_GB2312" w:hAnsi="Times New Roman" w:cs="Times New Roman"/>
          <w:sz w:val="32"/>
          <w:szCs w:val="32"/>
        </w:rPr>
        <w:t>同</w:t>
      </w:r>
      <w:r>
        <w:rPr>
          <w:rFonts w:ascii="仿宋_GB2312" w:eastAsia="仿宋_GB2312" w:hAnsi="微软雅黑"/>
          <w:sz w:val="32"/>
          <w:szCs w:val="32"/>
          <w:shd w:val="clear" w:color="auto" w:fill="FFFFFF"/>
        </w:rPr>
        <w:t>一</w:t>
      </w:r>
      <w:r>
        <w:rPr>
          <w:rFonts w:ascii="仿宋_GB2312" w:eastAsia="仿宋_GB2312" w:hAnsi="微软雅黑" w:hint="eastAsia"/>
          <w:sz w:val="32"/>
          <w:szCs w:val="32"/>
          <w:shd w:val="clear" w:color="auto" w:fill="FFFFFF"/>
        </w:rPr>
        <w:t>个</w:t>
      </w:r>
      <w:r>
        <w:rPr>
          <w:rFonts w:ascii="仿宋_GB2312" w:eastAsia="仿宋_GB2312" w:hAnsi="微软雅黑"/>
          <w:sz w:val="32"/>
          <w:szCs w:val="32"/>
          <w:shd w:val="clear" w:color="auto" w:fill="FFFFFF"/>
        </w:rPr>
        <w:t>项目原则上只认定1个</w:t>
      </w:r>
      <w:r>
        <w:rPr>
          <w:rFonts w:ascii="仿宋_GB2312" w:eastAsia="仿宋_GB2312" w:hAnsi="微软雅黑" w:hint="eastAsia"/>
          <w:sz w:val="32"/>
          <w:szCs w:val="32"/>
          <w:shd w:val="clear" w:color="auto" w:fill="FFFFFF"/>
        </w:rPr>
        <w:t>招商主体。若由多个招商主体共同协助引进，须由项目方以确认书或会商记录的方式确定不同招商</w:t>
      </w:r>
      <w:r>
        <w:rPr>
          <w:rFonts w:ascii="仿宋_GB2312" w:eastAsia="仿宋_GB2312" w:hAnsi="黑体" w:hint="eastAsia"/>
          <w:sz w:val="32"/>
          <w:szCs w:val="32"/>
        </w:rPr>
        <w:t>主体</w:t>
      </w:r>
      <w:r>
        <w:rPr>
          <w:rFonts w:ascii="仿宋_GB2312" w:eastAsia="仿宋_GB2312" w:hAnsi="微软雅黑" w:hint="eastAsia"/>
          <w:sz w:val="32"/>
          <w:szCs w:val="32"/>
          <w:shd w:val="clear" w:color="auto" w:fill="FFFFFF"/>
        </w:rPr>
        <w:t>对于项目引进的贡献度，并根据不同贡献</w:t>
      </w:r>
      <w:proofErr w:type="gramStart"/>
      <w:r>
        <w:rPr>
          <w:rFonts w:ascii="仿宋_GB2312" w:eastAsia="仿宋_GB2312" w:hAnsi="微软雅黑" w:hint="eastAsia"/>
          <w:sz w:val="32"/>
          <w:szCs w:val="32"/>
          <w:shd w:val="clear" w:color="auto" w:fill="FFFFFF"/>
        </w:rPr>
        <w:t>度申请</w:t>
      </w:r>
      <w:proofErr w:type="gramEnd"/>
      <w:r>
        <w:rPr>
          <w:rFonts w:ascii="仿宋_GB2312" w:eastAsia="仿宋_GB2312" w:hAnsi="微软雅黑" w:hint="eastAsia"/>
          <w:sz w:val="32"/>
          <w:szCs w:val="32"/>
          <w:shd w:val="clear" w:color="auto" w:fill="FFFFFF"/>
        </w:rPr>
        <w:t>奖励。</w:t>
      </w:r>
    </w:p>
    <w:p w:rsidR="00733877" w:rsidRDefault="00733877" w:rsidP="00733877">
      <w:pPr>
        <w:spacing w:line="560" w:lineRule="exact"/>
        <w:ind w:firstLineChars="200" w:firstLine="643"/>
        <w:contextualSpacing/>
        <w:rPr>
          <w:rFonts w:ascii="仿宋_GB2312" w:eastAsia="仿宋_GB2312" w:hAnsi="微软雅黑"/>
          <w:sz w:val="32"/>
          <w:szCs w:val="32"/>
          <w:shd w:val="clear" w:color="auto" w:fill="FFFFFF"/>
        </w:rPr>
      </w:pPr>
      <w:r>
        <w:rPr>
          <w:rFonts w:ascii="仿宋_GB2312" w:eastAsia="仿宋_GB2312" w:hAnsi="微软雅黑" w:hint="eastAsia"/>
          <w:b/>
          <w:bCs/>
          <w:sz w:val="32"/>
          <w:szCs w:val="32"/>
          <w:shd w:val="clear" w:color="auto" w:fill="FFFFFF"/>
        </w:rPr>
        <w:t>（四）奖励限额。</w:t>
      </w:r>
      <w:r>
        <w:rPr>
          <w:rFonts w:ascii="仿宋_GB2312" w:eastAsia="仿宋_GB2312" w:hAnsi="微软雅黑" w:hint="eastAsia"/>
          <w:sz w:val="32"/>
          <w:szCs w:val="32"/>
          <w:shd w:val="clear" w:color="auto" w:fill="FFFFFF"/>
        </w:rPr>
        <w:t>对于同</w:t>
      </w:r>
      <w:proofErr w:type="gramStart"/>
      <w:r>
        <w:rPr>
          <w:rFonts w:ascii="仿宋_GB2312" w:eastAsia="仿宋_GB2312" w:hAnsi="微软雅黑" w:hint="eastAsia"/>
          <w:sz w:val="32"/>
          <w:szCs w:val="32"/>
          <w:shd w:val="clear" w:color="auto" w:fill="FFFFFF"/>
        </w:rPr>
        <w:t>一引进</w:t>
      </w:r>
      <w:proofErr w:type="gramEnd"/>
      <w:r>
        <w:rPr>
          <w:rFonts w:ascii="仿宋_GB2312" w:eastAsia="仿宋_GB2312" w:hAnsi="微软雅黑" w:hint="eastAsia"/>
          <w:sz w:val="32"/>
          <w:szCs w:val="32"/>
          <w:shd w:val="clear" w:color="auto" w:fill="FFFFFF"/>
        </w:rPr>
        <w:t>项目，本办法第三条（项目落地奖励）、第四条（项目贡献奖励）累计奖励金额不超过1000</w:t>
      </w:r>
      <w:r>
        <w:rPr>
          <w:rFonts w:ascii="仿宋_GB2312" w:eastAsia="仿宋_GB2312" w:hAnsi="微软雅黑" w:hint="eastAsia"/>
          <w:sz w:val="32"/>
          <w:szCs w:val="32"/>
          <w:shd w:val="clear" w:color="auto" w:fill="FFFFFF"/>
        </w:rPr>
        <w:lastRenderedPageBreak/>
        <w:t>万元。</w:t>
      </w:r>
    </w:p>
    <w:p w:rsidR="00733877" w:rsidRDefault="00733877" w:rsidP="00733877">
      <w:pPr>
        <w:spacing w:line="560" w:lineRule="exact"/>
        <w:ind w:firstLineChars="200" w:firstLine="643"/>
        <w:contextualSpacing/>
        <w:rPr>
          <w:rFonts w:ascii="仿宋_GB2312" w:eastAsia="仿宋_GB2312" w:hAnsi="微软雅黑"/>
          <w:sz w:val="32"/>
          <w:szCs w:val="32"/>
          <w:shd w:val="clear" w:color="auto" w:fill="FFFFFF"/>
        </w:rPr>
      </w:pPr>
      <w:r>
        <w:rPr>
          <w:rFonts w:ascii="仿宋_GB2312" w:eastAsia="仿宋_GB2312" w:hAnsi="微软雅黑" w:hint="eastAsia"/>
          <w:b/>
          <w:bCs/>
          <w:sz w:val="32"/>
          <w:szCs w:val="32"/>
          <w:shd w:val="clear" w:color="auto" w:fill="FFFFFF"/>
        </w:rPr>
        <w:t>（五）</w:t>
      </w:r>
      <w:r>
        <w:rPr>
          <w:rFonts w:ascii="仿宋_GB2312" w:eastAsia="仿宋_GB2312" w:hAnsi="微软雅黑" w:hint="eastAsia"/>
          <w:sz w:val="32"/>
          <w:szCs w:val="32"/>
          <w:shd w:val="clear" w:color="auto" w:fill="FFFFFF"/>
        </w:rPr>
        <w:t>对引入重大外资项目的</w:t>
      </w:r>
      <w:r>
        <w:rPr>
          <w:rFonts w:ascii="仿宋_GB2312" w:eastAsia="仿宋_GB2312" w:hAnsi="黑体" w:hint="eastAsia"/>
          <w:sz w:val="32"/>
          <w:szCs w:val="32"/>
        </w:rPr>
        <w:t>招商主体</w:t>
      </w:r>
      <w:r>
        <w:rPr>
          <w:rFonts w:ascii="仿宋_GB2312" w:eastAsia="仿宋_GB2312" w:hAnsi="微软雅黑" w:hint="eastAsia"/>
          <w:sz w:val="32"/>
          <w:szCs w:val="32"/>
          <w:shd w:val="clear" w:color="auto" w:fill="FFFFFF"/>
        </w:rPr>
        <w:t>，按照其实际发挥作用采取“一事一议”给予奖励。</w:t>
      </w:r>
    </w:p>
    <w:p w:rsidR="00733877" w:rsidRDefault="00733877" w:rsidP="00733877">
      <w:pPr>
        <w:spacing w:line="560" w:lineRule="exact"/>
        <w:ind w:firstLineChars="200" w:firstLine="640"/>
        <w:contextualSpacing/>
        <w:outlineLvl w:val="1"/>
        <w:rPr>
          <w:rFonts w:ascii="黑体" w:eastAsia="黑体" w:hAnsi="黑体" w:cs="Arial"/>
          <w:color w:val="222222"/>
          <w:sz w:val="32"/>
          <w:szCs w:val="32"/>
          <w:shd w:val="clear" w:color="auto" w:fill="FFFFFF"/>
        </w:rPr>
      </w:pPr>
      <w:r>
        <w:rPr>
          <w:rFonts w:ascii="黑体" w:eastAsia="黑体" w:hAnsi="黑体" w:cs="Arial" w:hint="eastAsia"/>
          <w:color w:val="222222"/>
          <w:sz w:val="32"/>
          <w:szCs w:val="32"/>
          <w:shd w:val="clear" w:color="auto" w:fill="FFFFFF"/>
        </w:rPr>
        <w:t>第六条 奖励兑现</w:t>
      </w:r>
    </w:p>
    <w:p w:rsidR="00733877" w:rsidRDefault="00733877" w:rsidP="00733877">
      <w:pPr>
        <w:spacing w:line="560" w:lineRule="exact"/>
        <w:ind w:firstLineChars="200" w:firstLine="640"/>
        <w:contextualSpacing/>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（一）本办法中涉及奖励事宜采取“标准流程”兑现方式，由经开区“两区”办负责组织审核，经管委会研究审议后兑现。</w:t>
      </w:r>
    </w:p>
    <w:p w:rsidR="00733877" w:rsidRDefault="00733877" w:rsidP="00733877">
      <w:pPr>
        <w:spacing w:line="560" w:lineRule="exact"/>
        <w:ind w:firstLineChars="200" w:firstLine="640"/>
        <w:contextualSpacing/>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（二）本办法中实缴合同外资总额以商务部</w:t>
      </w:r>
      <w:proofErr w:type="gramStart"/>
      <w:r>
        <w:rPr>
          <w:rFonts w:ascii="仿宋_GB2312" w:eastAsia="仿宋_GB2312" w:hAnsi="微软雅黑" w:hint="eastAsia"/>
          <w:sz w:val="32"/>
          <w:szCs w:val="32"/>
          <w:shd w:val="clear" w:color="auto" w:fill="FFFFFF"/>
        </w:rPr>
        <w:t>纳统金额</w:t>
      </w:r>
      <w:proofErr w:type="gramEnd"/>
      <w:r>
        <w:rPr>
          <w:rFonts w:ascii="仿宋_GB2312" w:eastAsia="仿宋_GB2312" w:hAnsi="微软雅黑" w:hint="eastAsia"/>
          <w:sz w:val="32"/>
          <w:szCs w:val="32"/>
          <w:shd w:val="clear" w:color="auto" w:fill="FFFFFF"/>
        </w:rPr>
        <w:t>为准。奖励兑现金额单位均为人民币，以外币实际到账日国家外汇兑换率作为换算依据。</w:t>
      </w:r>
    </w:p>
    <w:p w:rsidR="00733877" w:rsidRDefault="00733877" w:rsidP="00733877">
      <w:pPr>
        <w:spacing w:line="560" w:lineRule="exact"/>
        <w:contextualSpacing/>
        <w:jc w:val="center"/>
        <w:outlineLvl w:val="0"/>
        <w:rPr>
          <w:rFonts w:ascii="黑体" w:eastAsia="黑体" w:hAnsi="黑体" w:cs="Arial"/>
          <w:b/>
          <w:bCs/>
          <w:color w:val="222222"/>
          <w:sz w:val="32"/>
          <w:szCs w:val="32"/>
          <w:shd w:val="clear" w:color="auto" w:fill="FFFFFF"/>
        </w:rPr>
      </w:pPr>
      <w:r>
        <w:rPr>
          <w:rFonts w:ascii="黑体" w:eastAsia="黑体" w:hAnsi="黑体" w:cs="Arial" w:hint="eastAsia"/>
          <w:b/>
          <w:bCs/>
          <w:color w:val="222222"/>
          <w:sz w:val="32"/>
          <w:szCs w:val="32"/>
          <w:shd w:val="clear" w:color="auto" w:fill="FFFFFF"/>
        </w:rPr>
        <w:t>第四章 附 则</w:t>
      </w:r>
    </w:p>
    <w:p w:rsidR="00733877" w:rsidRDefault="00733877" w:rsidP="00733877">
      <w:pPr>
        <w:spacing w:line="560" w:lineRule="exact"/>
        <w:ind w:firstLineChars="200" w:firstLine="640"/>
        <w:contextualSpacing/>
        <w:outlineLvl w:val="1"/>
        <w:rPr>
          <w:rFonts w:ascii="仿宋_GB2312" w:eastAsia="仿宋_GB2312" w:hAnsi="黑体"/>
          <w:sz w:val="32"/>
          <w:szCs w:val="32"/>
        </w:rPr>
      </w:pPr>
      <w:r>
        <w:rPr>
          <w:rFonts w:ascii="黑体" w:eastAsia="黑体" w:hAnsi="黑体" w:cs="Arial" w:hint="eastAsia"/>
          <w:color w:val="222222"/>
          <w:sz w:val="32"/>
          <w:szCs w:val="32"/>
          <w:shd w:val="clear" w:color="auto" w:fill="FFFFFF"/>
        </w:rPr>
        <w:t>第七条</w:t>
      </w:r>
      <w:r>
        <w:rPr>
          <w:rFonts w:ascii="黑体" w:eastAsia="黑体" w:hAnsi="黑体" w:cs="黑体" w:hint="eastAsia"/>
          <w:sz w:val="32"/>
          <w:szCs w:val="32"/>
        </w:rPr>
        <w:t xml:space="preserve"> </w:t>
      </w:r>
      <w:r>
        <w:rPr>
          <w:rFonts w:ascii="仿宋_GB2312" w:eastAsia="仿宋_GB2312" w:hAnsi="黑体" w:hint="eastAsia"/>
          <w:sz w:val="32"/>
          <w:szCs w:val="32"/>
        </w:rPr>
        <w:t>凡招商主体存在违背承诺事项、以虚假资料骗取各项奖励资金、故意拆分项目获取奖励资金或其他财政违法行为，将依法追回已拨付的奖励资金；涉嫌犯罪的，依法移送司法机关处理。</w:t>
      </w:r>
    </w:p>
    <w:p w:rsidR="00733877" w:rsidRDefault="00733877" w:rsidP="00733877">
      <w:pPr>
        <w:spacing w:line="560" w:lineRule="exact"/>
        <w:ind w:firstLineChars="200" w:firstLine="640"/>
        <w:contextualSpacing/>
        <w:outlineLvl w:val="1"/>
        <w:rPr>
          <w:rFonts w:ascii="仿宋_GB2312" w:eastAsia="仿宋_GB2312" w:hAnsi="黑体"/>
          <w:sz w:val="32"/>
          <w:szCs w:val="32"/>
        </w:rPr>
      </w:pPr>
      <w:r>
        <w:rPr>
          <w:rFonts w:ascii="黑体" w:eastAsia="黑体" w:hAnsi="黑体" w:cs="Arial" w:hint="eastAsia"/>
          <w:color w:val="222222"/>
          <w:sz w:val="32"/>
          <w:szCs w:val="32"/>
          <w:shd w:val="clear" w:color="auto" w:fill="FFFFFF"/>
        </w:rPr>
        <w:t>第八条</w:t>
      </w:r>
      <w:r>
        <w:rPr>
          <w:rFonts w:ascii="仿宋_GB2312" w:eastAsia="仿宋_GB2312" w:hAnsi="黑体" w:cs="黑体" w:hint="eastAsia"/>
          <w:sz w:val="32"/>
          <w:szCs w:val="32"/>
        </w:rPr>
        <w:t xml:space="preserve"> </w:t>
      </w:r>
      <w:r>
        <w:rPr>
          <w:rFonts w:ascii="仿宋_GB2312" w:eastAsia="仿宋_GB2312" w:hAnsi="黑体" w:hint="eastAsia"/>
          <w:sz w:val="32"/>
          <w:szCs w:val="32"/>
        </w:rPr>
        <w:t>政府部门相关工作人员如将企业或项目信息故意泄露给招商主体、恶意串通骗取奖励，除依法取消奖励、追回奖励费用外，将对责任人员严格依法移送纪检监察部门进行调查处理。</w:t>
      </w:r>
    </w:p>
    <w:p w:rsidR="00733877" w:rsidRDefault="00733877" w:rsidP="00733877">
      <w:pPr>
        <w:spacing w:line="560" w:lineRule="exact"/>
        <w:ind w:firstLineChars="200" w:firstLine="640"/>
        <w:contextualSpacing/>
        <w:outlineLvl w:val="1"/>
        <w:rPr>
          <w:rFonts w:ascii="仿宋_GB2312" w:eastAsia="仿宋_GB2312" w:hAnsi="黑体"/>
          <w:sz w:val="32"/>
          <w:szCs w:val="32"/>
        </w:rPr>
      </w:pPr>
      <w:r>
        <w:rPr>
          <w:rFonts w:ascii="黑体" w:eastAsia="黑体" w:hAnsi="黑体" w:cs="Arial" w:hint="eastAsia"/>
          <w:color w:val="222222"/>
          <w:sz w:val="32"/>
          <w:szCs w:val="32"/>
          <w:shd w:val="clear" w:color="auto" w:fill="FFFFFF"/>
        </w:rPr>
        <w:t>第九条</w:t>
      </w:r>
      <w:r>
        <w:rPr>
          <w:rFonts w:ascii="黑体" w:eastAsia="黑体" w:hAnsi="黑体" w:cs="黑体"/>
          <w:sz w:val="32"/>
          <w:szCs w:val="32"/>
        </w:rPr>
        <w:t xml:space="preserve"> </w:t>
      </w:r>
      <w:r>
        <w:rPr>
          <w:rFonts w:ascii="仿宋_GB2312" w:eastAsia="仿宋_GB2312" w:hAnsi="微软雅黑" w:hint="eastAsia"/>
          <w:sz w:val="32"/>
          <w:szCs w:val="32"/>
          <w:shd w:val="clear" w:color="auto" w:fill="FFFFFF"/>
        </w:rPr>
        <w:t>本办法</w:t>
      </w:r>
      <w:r>
        <w:rPr>
          <w:rFonts w:ascii="仿宋_GB2312" w:eastAsia="仿宋_GB2312" w:hAnsi="黑体" w:hint="eastAsia"/>
          <w:sz w:val="32"/>
          <w:szCs w:val="32"/>
        </w:rPr>
        <w:t>有效期三年，自公布之日起施行。施行期间如遇国家和北京市相关政策调整，本办法同步调整。</w:t>
      </w:r>
      <w:r>
        <w:rPr>
          <w:rFonts w:ascii="仿宋_GB2312" w:eastAsia="仿宋_GB2312" w:hAnsi="微软雅黑" w:hint="eastAsia"/>
          <w:sz w:val="32"/>
          <w:szCs w:val="32"/>
          <w:shd w:val="clear" w:color="auto" w:fill="FFFFFF"/>
        </w:rPr>
        <w:t>本办法由北京经济技术开发区管理委员会负责解释。</w:t>
      </w:r>
    </w:p>
    <w:p w:rsidR="00092A4F" w:rsidRPr="00733877" w:rsidRDefault="00092A4F" w:rsidP="00733877">
      <w:pPr>
        <w:spacing w:line="560" w:lineRule="exact"/>
        <w:ind w:firstLineChars="200" w:firstLine="640"/>
        <w:contextualSpacing/>
        <w:rPr>
          <w:rFonts w:ascii="仿宋_GB2312" w:eastAsia="仿宋_GB2312" w:hAnsi="微软雅黑"/>
          <w:color w:val="333333"/>
          <w:sz w:val="32"/>
          <w:szCs w:val="32"/>
          <w:shd w:val="clear" w:color="auto" w:fill="FFFFFF"/>
        </w:rPr>
      </w:pPr>
    </w:p>
    <w:sectPr w:rsidR="00092A4F" w:rsidRPr="0073387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228D" w:rsidRDefault="0013228D">
      <w:r>
        <w:separator/>
      </w:r>
    </w:p>
  </w:endnote>
  <w:endnote w:type="continuationSeparator" w:id="0">
    <w:p w:rsidR="0013228D" w:rsidRDefault="0013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F247D54-050B-42A5-9A97-D78FF68F4E40}"/>
  </w:font>
  <w:font w:name="黑体">
    <w:altName w:val="SimHei"/>
    <w:panose1 w:val="02010609060101010101"/>
    <w:charset w:val="86"/>
    <w:family w:val="modern"/>
    <w:pitch w:val="fixed"/>
    <w:sig w:usb0="800002BF" w:usb1="38CF7CFA" w:usb2="00000016" w:usb3="00000000" w:csb0="00040001" w:csb1="00000000"/>
    <w:embedRegular r:id="rId2" w:subsetted="1" w:fontKey="{E9587C06-1704-4054-8BE3-C4910A113DD5}"/>
    <w:embedBold r:id="rId3" w:subsetted="1" w:fontKey="{03324B17-F639-472F-85F5-BA30BDA69C02}"/>
  </w:font>
  <w:font w:name="方正小标宋简体">
    <w:panose1 w:val="03000509000000000000"/>
    <w:charset w:val="86"/>
    <w:family w:val="script"/>
    <w:pitch w:val="fixed"/>
    <w:sig w:usb0="00000001" w:usb1="080E0000" w:usb2="00000010" w:usb3="00000000" w:csb0="00040000" w:csb1="00000000"/>
    <w:embedRegular r:id="rId4" w:subsetted="1" w:fontKey="{677C1DEB-0B84-42DE-9816-56C38C9B78BB}"/>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5" w:subsetted="1" w:fontKey="{88C20563-123A-4091-ACB4-5ABA6DDAD8D4}"/>
    <w:embedBold r:id="rId6" w:subsetted="1" w:fontKey="{BEB81761-7FB9-41CE-AEE1-AA2B6E15CC79}"/>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A4F" w:rsidRDefault="00000000">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2A4F" w:rsidRDefault="00000000">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92A4F"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228D" w:rsidRDefault="0013228D">
      <w:r>
        <w:separator/>
      </w:r>
    </w:p>
  </w:footnote>
  <w:footnote w:type="continuationSeparator" w:id="0">
    <w:p w:rsidR="0013228D" w:rsidRDefault="0013228D">
      <w:r>
        <w:continuationSeparator/>
      </w:r>
    </w:p>
  </w:footnote>
  <w:footnote w:id="1">
    <w:p w:rsidR="00733877" w:rsidRDefault="00733877" w:rsidP="00733877">
      <w:pPr>
        <w:pStyle w:val="ae"/>
      </w:pPr>
      <w:r>
        <w:rPr>
          <w:rStyle w:val="af9"/>
        </w:rPr>
        <w:footnoteRef/>
      </w:r>
      <w:r>
        <w:rPr>
          <w:rFonts w:hint="eastAsia"/>
        </w:rPr>
        <w:t>“44637”发展体系：主动担当四大国家战略任务，倾力建设全国集成电路产业高地，持续打造全球首个高级别自动驾驶示范区，高质量建设国家信创产业基地，高水平打造全国首个数据基础制度先行区；巩固壮大四大主导产业提质现代化产业体系，全面布局六大未来产业加快形成新质生产力，积极推进数实、两业、科文三个融合促进产业转型升级；构建产业组织、创新培育、要素保障、人才服务、开放协同、城市活力、党建引领七方面支撑体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F210E1"/>
    <w:multiLevelType w:val="singleLevel"/>
    <w:tmpl w:val="A3F210E1"/>
    <w:lvl w:ilvl="0">
      <w:start w:val="2"/>
      <w:numFmt w:val="chineseCounting"/>
      <w:suff w:val="nothing"/>
      <w:lvlText w:val="（%1）"/>
      <w:lvlJc w:val="left"/>
      <w:rPr>
        <w:rFonts w:hint="eastAsia"/>
      </w:rPr>
    </w:lvl>
  </w:abstractNum>
  <w:num w:numId="1" w16cid:durableId="206182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FjMDM5ZmFmNTA1NThkYWFkMmRmOTQxYjY1ODZmNGUifQ=="/>
  </w:docVars>
  <w:rsids>
    <w:rsidRoot w:val="00F16CC9"/>
    <w:rsid w:val="F6FD5723"/>
    <w:rsid w:val="FFFFE85E"/>
    <w:rsid w:val="000074FE"/>
    <w:rsid w:val="000217BB"/>
    <w:rsid w:val="000273CC"/>
    <w:rsid w:val="000330E6"/>
    <w:rsid w:val="00040D4C"/>
    <w:rsid w:val="00041E72"/>
    <w:rsid w:val="00050F92"/>
    <w:rsid w:val="00073F8E"/>
    <w:rsid w:val="00084E37"/>
    <w:rsid w:val="00092A4F"/>
    <w:rsid w:val="00092E65"/>
    <w:rsid w:val="000A5FE2"/>
    <w:rsid w:val="000C1EFA"/>
    <w:rsid w:val="000C347B"/>
    <w:rsid w:val="000C4E24"/>
    <w:rsid w:val="000D5472"/>
    <w:rsid w:val="000D7870"/>
    <w:rsid w:val="00101A30"/>
    <w:rsid w:val="00106F45"/>
    <w:rsid w:val="001077C8"/>
    <w:rsid w:val="001138F7"/>
    <w:rsid w:val="00123BC2"/>
    <w:rsid w:val="0013228D"/>
    <w:rsid w:val="00140E9A"/>
    <w:rsid w:val="00144858"/>
    <w:rsid w:val="00174CAD"/>
    <w:rsid w:val="001773E0"/>
    <w:rsid w:val="001A67EA"/>
    <w:rsid w:val="001B4D09"/>
    <w:rsid w:val="001B6194"/>
    <w:rsid w:val="001C0138"/>
    <w:rsid w:val="001D5F12"/>
    <w:rsid w:val="001D6232"/>
    <w:rsid w:val="001E32AF"/>
    <w:rsid w:val="001F1458"/>
    <w:rsid w:val="001F57B2"/>
    <w:rsid w:val="002019F0"/>
    <w:rsid w:val="00205277"/>
    <w:rsid w:val="002060EF"/>
    <w:rsid w:val="00235D32"/>
    <w:rsid w:val="0025134F"/>
    <w:rsid w:val="0025449F"/>
    <w:rsid w:val="00263224"/>
    <w:rsid w:val="002669C6"/>
    <w:rsid w:val="00270156"/>
    <w:rsid w:val="002720C9"/>
    <w:rsid w:val="00274AF7"/>
    <w:rsid w:val="00276848"/>
    <w:rsid w:val="00284207"/>
    <w:rsid w:val="00291623"/>
    <w:rsid w:val="00293B42"/>
    <w:rsid w:val="002A027B"/>
    <w:rsid w:val="002D4E9F"/>
    <w:rsid w:val="002D7198"/>
    <w:rsid w:val="002E3F2C"/>
    <w:rsid w:val="002F0465"/>
    <w:rsid w:val="002F0EF1"/>
    <w:rsid w:val="002F355D"/>
    <w:rsid w:val="003105E2"/>
    <w:rsid w:val="00312D83"/>
    <w:rsid w:val="0031781D"/>
    <w:rsid w:val="003304CE"/>
    <w:rsid w:val="0034007B"/>
    <w:rsid w:val="00344D6A"/>
    <w:rsid w:val="00351FD0"/>
    <w:rsid w:val="00357177"/>
    <w:rsid w:val="003619B0"/>
    <w:rsid w:val="00377276"/>
    <w:rsid w:val="00377644"/>
    <w:rsid w:val="00393444"/>
    <w:rsid w:val="003C5351"/>
    <w:rsid w:val="003D0C2D"/>
    <w:rsid w:val="003D64BD"/>
    <w:rsid w:val="003E1584"/>
    <w:rsid w:val="003F5E0A"/>
    <w:rsid w:val="00405756"/>
    <w:rsid w:val="00407707"/>
    <w:rsid w:val="00410656"/>
    <w:rsid w:val="00425250"/>
    <w:rsid w:val="004362B3"/>
    <w:rsid w:val="00437A76"/>
    <w:rsid w:val="0044248E"/>
    <w:rsid w:val="004520EE"/>
    <w:rsid w:val="00461155"/>
    <w:rsid w:val="00462F23"/>
    <w:rsid w:val="004658FF"/>
    <w:rsid w:val="00477AF4"/>
    <w:rsid w:val="00492148"/>
    <w:rsid w:val="00495446"/>
    <w:rsid w:val="00497B7A"/>
    <w:rsid w:val="004A20C1"/>
    <w:rsid w:val="004A70B5"/>
    <w:rsid w:val="004C1EDD"/>
    <w:rsid w:val="004C1FDD"/>
    <w:rsid w:val="004C5FE4"/>
    <w:rsid w:val="004E3523"/>
    <w:rsid w:val="004E74C5"/>
    <w:rsid w:val="004F2119"/>
    <w:rsid w:val="004F784E"/>
    <w:rsid w:val="005341A9"/>
    <w:rsid w:val="00536F6C"/>
    <w:rsid w:val="00542D49"/>
    <w:rsid w:val="00562191"/>
    <w:rsid w:val="00572B3A"/>
    <w:rsid w:val="00587059"/>
    <w:rsid w:val="005920FC"/>
    <w:rsid w:val="00592337"/>
    <w:rsid w:val="00592A04"/>
    <w:rsid w:val="005932E4"/>
    <w:rsid w:val="005B1FB6"/>
    <w:rsid w:val="005D01C8"/>
    <w:rsid w:val="005D72E2"/>
    <w:rsid w:val="005E3640"/>
    <w:rsid w:val="005E6F95"/>
    <w:rsid w:val="00623483"/>
    <w:rsid w:val="00624053"/>
    <w:rsid w:val="006371B1"/>
    <w:rsid w:val="006413E6"/>
    <w:rsid w:val="00645C0A"/>
    <w:rsid w:val="006545D8"/>
    <w:rsid w:val="0068030C"/>
    <w:rsid w:val="00685A86"/>
    <w:rsid w:val="0069124C"/>
    <w:rsid w:val="006B287B"/>
    <w:rsid w:val="006C0366"/>
    <w:rsid w:val="006C1DD8"/>
    <w:rsid w:val="006D678E"/>
    <w:rsid w:val="006E3B41"/>
    <w:rsid w:val="006E771B"/>
    <w:rsid w:val="006F365C"/>
    <w:rsid w:val="006F37E6"/>
    <w:rsid w:val="006F4CDC"/>
    <w:rsid w:val="00706519"/>
    <w:rsid w:val="00717658"/>
    <w:rsid w:val="00732954"/>
    <w:rsid w:val="00733877"/>
    <w:rsid w:val="007403CB"/>
    <w:rsid w:val="00745F78"/>
    <w:rsid w:val="007473B6"/>
    <w:rsid w:val="00747465"/>
    <w:rsid w:val="00747AF0"/>
    <w:rsid w:val="00760A0C"/>
    <w:rsid w:val="007665D6"/>
    <w:rsid w:val="00783A38"/>
    <w:rsid w:val="00795875"/>
    <w:rsid w:val="007B0A47"/>
    <w:rsid w:val="007C4109"/>
    <w:rsid w:val="00801528"/>
    <w:rsid w:val="008135B8"/>
    <w:rsid w:val="00813987"/>
    <w:rsid w:val="00826859"/>
    <w:rsid w:val="0082715C"/>
    <w:rsid w:val="00836240"/>
    <w:rsid w:val="00850950"/>
    <w:rsid w:val="00867A41"/>
    <w:rsid w:val="00883567"/>
    <w:rsid w:val="008841C6"/>
    <w:rsid w:val="00885F44"/>
    <w:rsid w:val="008C5745"/>
    <w:rsid w:val="008C5EDA"/>
    <w:rsid w:val="008E153A"/>
    <w:rsid w:val="0091193B"/>
    <w:rsid w:val="00912636"/>
    <w:rsid w:val="009251EE"/>
    <w:rsid w:val="009276E3"/>
    <w:rsid w:val="00935D28"/>
    <w:rsid w:val="00955657"/>
    <w:rsid w:val="00970668"/>
    <w:rsid w:val="009721D2"/>
    <w:rsid w:val="00974448"/>
    <w:rsid w:val="009762AF"/>
    <w:rsid w:val="00977BAF"/>
    <w:rsid w:val="00996D0E"/>
    <w:rsid w:val="009A2588"/>
    <w:rsid w:val="009B6E8B"/>
    <w:rsid w:val="009B75C0"/>
    <w:rsid w:val="009C7951"/>
    <w:rsid w:val="009E2CD4"/>
    <w:rsid w:val="009E7434"/>
    <w:rsid w:val="009F0524"/>
    <w:rsid w:val="00A05054"/>
    <w:rsid w:val="00A06519"/>
    <w:rsid w:val="00A12C95"/>
    <w:rsid w:val="00A25E29"/>
    <w:rsid w:val="00A3558C"/>
    <w:rsid w:val="00A430F7"/>
    <w:rsid w:val="00A651C3"/>
    <w:rsid w:val="00A71B89"/>
    <w:rsid w:val="00A75497"/>
    <w:rsid w:val="00A93647"/>
    <w:rsid w:val="00A93AAF"/>
    <w:rsid w:val="00AA35CD"/>
    <w:rsid w:val="00AA56B1"/>
    <w:rsid w:val="00AC1B4D"/>
    <w:rsid w:val="00AC5104"/>
    <w:rsid w:val="00AD6EDA"/>
    <w:rsid w:val="00B1646D"/>
    <w:rsid w:val="00B31785"/>
    <w:rsid w:val="00B329FC"/>
    <w:rsid w:val="00B37691"/>
    <w:rsid w:val="00B37F70"/>
    <w:rsid w:val="00B62DD9"/>
    <w:rsid w:val="00B65B1C"/>
    <w:rsid w:val="00B72E66"/>
    <w:rsid w:val="00B77800"/>
    <w:rsid w:val="00B8492B"/>
    <w:rsid w:val="00B86747"/>
    <w:rsid w:val="00B928A3"/>
    <w:rsid w:val="00B93A47"/>
    <w:rsid w:val="00B97CC9"/>
    <w:rsid w:val="00BA463F"/>
    <w:rsid w:val="00BB5B0B"/>
    <w:rsid w:val="00BC0767"/>
    <w:rsid w:val="00BC1C10"/>
    <w:rsid w:val="00BD4F16"/>
    <w:rsid w:val="00BF3E0D"/>
    <w:rsid w:val="00C13C17"/>
    <w:rsid w:val="00C21138"/>
    <w:rsid w:val="00C42EB0"/>
    <w:rsid w:val="00C61D35"/>
    <w:rsid w:val="00C67CA8"/>
    <w:rsid w:val="00C712F3"/>
    <w:rsid w:val="00C72BE1"/>
    <w:rsid w:val="00C73C5E"/>
    <w:rsid w:val="00C74C40"/>
    <w:rsid w:val="00C75AA2"/>
    <w:rsid w:val="00C80204"/>
    <w:rsid w:val="00CA7362"/>
    <w:rsid w:val="00CC7C95"/>
    <w:rsid w:val="00CC7DA4"/>
    <w:rsid w:val="00CD4545"/>
    <w:rsid w:val="00CD6CFF"/>
    <w:rsid w:val="00CE4161"/>
    <w:rsid w:val="00CE6B66"/>
    <w:rsid w:val="00CE736B"/>
    <w:rsid w:val="00CF23B7"/>
    <w:rsid w:val="00D02B81"/>
    <w:rsid w:val="00D042F9"/>
    <w:rsid w:val="00D130B1"/>
    <w:rsid w:val="00D139E8"/>
    <w:rsid w:val="00D159B8"/>
    <w:rsid w:val="00D32C51"/>
    <w:rsid w:val="00D3789D"/>
    <w:rsid w:val="00D4613C"/>
    <w:rsid w:val="00D93834"/>
    <w:rsid w:val="00D974BC"/>
    <w:rsid w:val="00DB33E0"/>
    <w:rsid w:val="00DB51D5"/>
    <w:rsid w:val="00DB5643"/>
    <w:rsid w:val="00DD24E6"/>
    <w:rsid w:val="00DE0B13"/>
    <w:rsid w:val="00DE5FF8"/>
    <w:rsid w:val="00DE6158"/>
    <w:rsid w:val="00DE68E4"/>
    <w:rsid w:val="00E01004"/>
    <w:rsid w:val="00E011AC"/>
    <w:rsid w:val="00E1292E"/>
    <w:rsid w:val="00E22EF8"/>
    <w:rsid w:val="00E63461"/>
    <w:rsid w:val="00E7107A"/>
    <w:rsid w:val="00E75701"/>
    <w:rsid w:val="00E82F64"/>
    <w:rsid w:val="00E9335B"/>
    <w:rsid w:val="00E97425"/>
    <w:rsid w:val="00EA59C2"/>
    <w:rsid w:val="00ED61E6"/>
    <w:rsid w:val="00EE2D92"/>
    <w:rsid w:val="00F13B8B"/>
    <w:rsid w:val="00F16CC9"/>
    <w:rsid w:val="00F2285F"/>
    <w:rsid w:val="00F33C2D"/>
    <w:rsid w:val="00F345C4"/>
    <w:rsid w:val="00F4035A"/>
    <w:rsid w:val="00F40865"/>
    <w:rsid w:val="00F41B7F"/>
    <w:rsid w:val="00F47B05"/>
    <w:rsid w:val="00F522C8"/>
    <w:rsid w:val="00F53A08"/>
    <w:rsid w:val="00F77880"/>
    <w:rsid w:val="00FB48A3"/>
    <w:rsid w:val="00FB76ED"/>
    <w:rsid w:val="00FC6DE6"/>
    <w:rsid w:val="00FD5759"/>
    <w:rsid w:val="00FF3F6F"/>
    <w:rsid w:val="033878E9"/>
    <w:rsid w:val="049E2CB4"/>
    <w:rsid w:val="09FC6C3A"/>
    <w:rsid w:val="0B745309"/>
    <w:rsid w:val="0DA327F3"/>
    <w:rsid w:val="0E741495"/>
    <w:rsid w:val="1285295F"/>
    <w:rsid w:val="13461708"/>
    <w:rsid w:val="14AE509D"/>
    <w:rsid w:val="14F73D51"/>
    <w:rsid w:val="150A4901"/>
    <w:rsid w:val="1664712F"/>
    <w:rsid w:val="16AD3796"/>
    <w:rsid w:val="178F06B2"/>
    <w:rsid w:val="17F67143"/>
    <w:rsid w:val="19461C80"/>
    <w:rsid w:val="1DCB5E15"/>
    <w:rsid w:val="1DEBD114"/>
    <w:rsid w:val="20014FB8"/>
    <w:rsid w:val="23686FDA"/>
    <w:rsid w:val="25E55E9A"/>
    <w:rsid w:val="266D6A9E"/>
    <w:rsid w:val="26E73922"/>
    <w:rsid w:val="28A43EB0"/>
    <w:rsid w:val="2BA86C7E"/>
    <w:rsid w:val="303E230B"/>
    <w:rsid w:val="305D5DD5"/>
    <w:rsid w:val="31465A50"/>
    <w:rsid w:val="318A4B8B"/>
    <w:rsid w:val="33C36CFB"/>
    <w:rsid w:val="353E440A"/>
    <w:rsid w:val="35E7317D"/>
    <w:rsid w:val="36E266FA"/>
    <w:rsid w:val="36EE75B5"/>
    <w:rsid w:val="3B2F1426"/>
    <w:rsid w:val="3C280315"/>
    <w:rsid w:val="3D4B4E09"/>
    <w:rsid w:val="3E162499"/>
    <w:rsid w:val="3FFC1145"/>
    <w:rsid w:val="40132075"/>
    <w:rsid w:val="417D0085"/>
    <w:rsid w:val="429C0C25"/>
    <w:rsid w:val="436D0153"/>
    <w:rsid w:val="44C85ABB"/>
    <w:rsid w:val="4651388E"/>
    <w:rsid w:val="46B338FB"/>
    <w:rsid w:val="471A6505"/>
    <w:rsid w:val="47535CF3"/>
    <w:rsid w:val="47D7588C"/>
    <w:rsid w:val="4A7C71A7"/>
    <w:rsid w:val="4D3E7571"/>
    <w:rsid w:val="4E3D35F8"/>
    <w:rsid w:val="4F8F4094"/>
    <w:rsid w:val="51305ACC"/>
    <w:rsid w:val="534B65AC"/>
    <w:rsid w:val="53ED4650"/>
    <w:rsid w:val="55913CA7"/>
    <w:rsid w:val="575906C0"/>
    <w:rsid w:val="58863786"/>
    <w:rsid w:val="598007CC"/>
    <w:rsid w:val="5A49023A"/>
    <w:rsid w:val="5C8956D8"/>
    <w:rsid w:val="5F0F1B3E"/>
    <w:rsid w:val="5FFB5EDC"/>
    <w:rsid w:val="60396E04"/>
    <w:rsid w:val="62565626"/>
    <w:rsid w:val="63952BB5"/>
    <w:rsid w:val="63F52561"/>
    <w:rsid w:val="65B533EF"/>
    <w:rsid w:val="665603F0"/>
    <w:rsid w:val="66DC6D4D"/>
    <w:rsid w:val="69786617"/>
    <w:rsid w:val="697D3331"/>
    <w:rsid w:val="70EF6902"/>
    <w:rsid w:val="71412021"/>
    <w:rsid w:val="71711B9C"/>
    <w:rsid w:val="71E578B6"/>
    <w:rsid w:val="73D044DF"/>
    <w:rsid w:val="764D1973"/>
    <w:rsid w:val="778E320B"/>
    <w:rsid w:val="788A6608"/>
    <w:rsid w:val="78C848EB"/>
    <w:rsid w:val="7A513882"/>
    <w:rsid w:val="7C8141C6"/>
    <w:rsid w:val="7DEA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6D61"/>
  <w15:docId w15:val="{A35101B6-93B8-4961-878D-A2FAA6AE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annotation text"/>
    <w:basedOn w:val="a"/>
    <w:link w:val="a5"/>
    <w:uiPriority w:val="99"/>
    <w:unhideWhenUsed/>
    <w:qFormat/>
    <w:pPr>
      <w:jc w:val="left"/>
    </w:pPr>
  </w:style>
  <w:style w:type="paragraph" w:styleId="a6">
    <w:name w:val="Body Text"/>
    <w:basedOn w:val="a"/>
    <w:next w:val="a"/>
    <w:qFormat/>
    <w:pPr>
      <w:spacing w:after="140" w:line="276" w:lineRule="auto"/>
    </w:pPr>
  </w:style>
  <w:style w:type="paragraph" w:styleId="a7">
    <w:name w:val="Body Text Indent"/>
    <w:basedOn w:val="a"/>
    <w:next w:val="2"/>
    <w:qFormat/>
    <w:pPr>
      <w:spacing w:line="360" w:lineRule="auto"/>
      <w:ind w:firstLineChars="200" w:firstLine="640"/>
    </w:pPr>
    <w:rPr>
      <w:rFonts w:ascii="Times New Roman" w:eastAsia="宋体" w:hAnsi="Times New Roman" w:cs="Times New Roman"/>
      <w:sz w:val="32"/>
    </w:rPr>
  </w:style>
  <w:style w:type="paragraph" w:styleId="2">
    <w:name w:val="Body Text First Indent 2"/>
    <w:basedOn w:val="a7"/>
    <w:next w:val="a"/>
    <w:qFormat/>
    <w:pPr>
      <w:ind w:firstLine="420"/>
    </w:pPr>
  </w:style>
  <w:style w:type="paragraph" w:styleId="a8">
    <w:name w:val="endnote text"/>
    <w:basedOn w:val="a"/>
    <w:link w:val="a9"/>
    <w:uiPriority w:val="99"/>
    <w:unhideWhenUsed/>
    <w:qFormat/>
    <w:pPr>
      <w:snapToGrid w:val="0"/>
      <w:jc w:val="left"/>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tabs>
        <w:tab w:val="center" w:pos="4153"/>
        <w:tab w:val="right" w:pos="8306"/>
      </w:tabs>
      <w:snapToGrid w:val="0"/>
      <w:jc w:val="center"/>
    </w:pPr>
    <w:rPr>
      <w:sz w:val="18"/>
      <w:szCs w:val="18"/>
    </w:rPr>
  </w:style>
  <w:style w:type="paragraph" w:styleId="ae">
    <w:name w:val="footnote text"/>
    <w:basedOn w:val="a"/>
    <w:link w:val="af"/>
    <w:uiPriority w:val="99"/>
    <w:unhideWhenUsed/>
    <w:qFormat/>
    <w:pPr>
      <w:snapToGrid w:val="0"/>
      <w:jc w:val="left"/>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4"/>
    <w:next w:val="a4"/>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rPr>
  </w:style>
  <w:style w:type="character" w:styleId="af5">
    <w:name w:val="endnote reference"/>
    <w:basedOn w:val="a0"/>
    <w:uiPriority w:val="99"/>
    <w:semiHidden/>
    <w:unhideWhenUsed/>
    <w:qFormat/>
    <w:rPr>
      <w:vertAlign w:val="superscript"/>
    </w:rPr>
  </w:style>
  <w:style w:type="character" w:styleId="af6">
    <w:name w:val="Emphasis"/>
    <w:basedOn w:val="a0"/>
    <w:uiPriority w:val="20"/>
    <w:qFormat/>
    <w:rPr>
      <w:i/>
    </w:rPr>
  </w:style>
  <w:style w:type="character" w:styleId="af7">
    <w:name w:val="Hyperlink"/>
    <w:basedOn w:val="a0"/>
    <w:uiPriority w:val="99"/>
    <w:semiHidden/>
    <w:unhideWhenUsed/>
    <w:qFormat/>
    <w:rPr>
      <w:color w:val="0000FF"/>
      <w:u w:val="single"/>
    </w:rPr>
  </w:style>
  <w:style w:type="character" w:styleId="af8">
    <w:name w:val="annotation reference"/>
    <w:basedOn w:val="a0"/>
    <w:uiPriority w:val="99"/>
    <w:semiHidden/>
    <w:unhideWhenUsed/>
    <w:qFormat/>
    <w:rPr>
      <w:sz w:val="21"/>
      <w:szCs w:val="21"/>
    </w:rPr>
  </w:style>
  <w:style w:type="character" w:styleId="af9">
    <w:name w:val="footnote reference"/>
    <w:basedOn w:val="a0"/>
    <w:uiPriority w:val="99"/>
    <w:unhideWhenUsed/>
    <w:qFormat/>
    <w:rPr>
      <w:vertAlign w:val="superscript"/>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a">
    <w:name w:val="List Paragraph"/>
    <w:basedOn w:val="a"/>
    <w:uiPriority w:val="34"/>
    <w:qFormat/>
    <w:pPr>
      <w:ind w:firstLineChars="200" w:firstLine="420"/>
    </w:pPr>
  </w:style>
  <w:style w:type="character" w:customStyle="1" w:styleId="a5">
    <w:name w:val="批注文字 字符"/>
    <w:basedOn w:val="a0"/>
    <w:link w:val="a4"/>
    <w:uiPriority w:val="99"/>
    <w:qFormat/>
  </w:style>
  <w:style w:type="character" w:customStyle="1" w:styleId="af2">
    <w:name w:val="批注主题 字符"/>
    <w:basedOn w:val="a5"/>
    <w:link w:val="af1"/>
    <w:uiPriority w:val="99"/>
    <w:semiHidden/>
    <w:qFormat/>
    <w:rPr>
      <w:b/>
      <w:bCs/>
    </w:rPr>
  </w:style>
  <w:style w:type="character" w:customStyle="1" w:styleId="af">
    <w:name w:val="脚注文本 字符"/>
    <w:basedOn w:val="a0"/>
    <w:link w:val="ae"/>
    <w:uiPriority w:val="99"/>
    <w:qFormat/>
    <w:rPr>
      <w:sz w:val="18"/>
      <w:szCs w:val="18"/>
    </w:rPr>
  </w:style>
  <w:style w:type="character" w:customStyle="1" w:styleId="a9">
    <w:name w:val="尾注文本 字符"/>
    <w:basedOn w:val="a0"/>
    <w:link w:val="a8"/>
    <w:uiPriority w:val="99"/>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11">
    <w:name w:val="列出段落1"/>
    <w:basedOn w:val="a"/>
    <w:qFormat/>
    <w:pPr>
      <w:ind w:firstLineChars="200" w:firstLine="420"/>
    </w:p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FANG DU</cp:lastModifiedBy>
  <cp:revision>3</cp:revision>
  <cp:lastPrinted>2024-05-16T23:14:00Z</cp:lastPrinted>
  <dcterms:created xsi:type="dcterms:W3CDTF">2024-05-30T06:32:00Z</dcterms:created>
  <dcterms:modified xsi:type="dcterms:W3CDTF">2024-05-30T06:48:00Z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9B9B445735134BCC8916FC8FBB70E86E_13</vt:lpwstr>
  </property>
</Properties>
</file>