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b w:val="0"/>
          <w:bCs/>
          <w:spacing w:val="0"/>
          <w:sz w:val="44"/>
          <w:szCs w:val="44"/>
          <w:lang w:eastAsia="zh-CN"/>
        </w:rPr>
        <w:t>北京市石墨烯产业发展实施方案</w:t>
      </w:r>
      <w:r>
        <w:rPr>
          <w:rFonts w:hint="eastAsia" w:ascii="方正小标宋简体" w:hAnsi="方正小标宋简体" w:eastAsia="方正小标宋简体" w:cs="方正小标宋简体"/>
          <w:spacing w:val="0"/>
          <w:sz w:val="44"/>
          <w:szCs w:val="44"/>
          <w:lang w:eastAsia="zh-CN"/>
        </w:rPr>
        <w:t>（2024-2028年）</w:t>
      </w:r>
      <w:r>
        <w:rPr>
          <w:rFonts w:hint="eastAsia" w:ascii="方正小标宋简体" w:hAnsi="方正小标宋简体" w:eastAsia="方正小标宋简体" w:cs="方正小标宋简体"/>
          <w:sz w:val="44"/>
          <w:szCs w:val="44"/>
        </w:rPr>
        <w:t>》编制说明</w:t>
      </w:r>
    </w:p>
    <w:p>
      <w:pPr>
        <w:ind w:firstLine="640"/>
      </w:pPr>
    </w:p>
    <w:p>
      <w:pPr>
        <w:pStyle w:val="3"/>
        <w:ind w:firstLine="640"/>
      </w:pPr>
      <w:r>
        <w:rPr>
          <w:rFonts w:hint="eastAsia"/>
        </w:rPr>
        <w:t>一、编制背景</w:t>
      </w:r>
    </w:p>
    <w:p>
      <w:pPr>
        <w:keepNext w:val="0"/>
        <w:keepLines w:val="0"/>
        <w:pageBreakBefore w:val="0"/>
        <w:widowControl w:val="0"/>
        <w:kinsoku/>
        <w:wordWrap/>
        <w:overflowPunct/>
        <w:topLinePunct w:val="0"/>
        <w:autoSpaceDE/>
        <w:bidi w:val="0"/>
        <w:snapToGrid/>
        <w:spacing w:beforeAutospacing="0" w:afterAutospacing="0"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石墨烯具有优异的声、光、电、热、力特性，在新一代信息技术、生物医药、新能源、航空航天等领域拥有广泛应用前景，</w:t>
      </w:r>
      <w:r>
        <w:rPr>
          <w:rFonts w:hint="default" w:ascii="仿宋_GB2312" w:hAnsi="仿宋_GB2312" w:cs="仿宋_GB2312"/>
          <w:sz w:val="32"/>
          <w:szCs w:val="32"/>
          <w:lang w:eastAsia="zh-CN"/>
        </w:rPr>
        <w:t>被认为</w:t>
      </w:r>
      <w:r>
        <w:rPr>
          <w:rFonts w:hint="eastAsia" w:ascii="仿宋_GB2312" w:hAnsi="仿宋_GB2312" w:eastAsia="仿宋_GB2312" w:cs="仿宋_GB2312"/>
          <w:sz w:val="32"/>
          <w:szCs w:val="32"/>
          <w:lang w:val="en-US" w:eastAsia="zh-CN"/>
        </w:rPr>
        <w:t>可广泛服务于经济社会发展的新材料</w:t>
      </w:r>
      <w:r>
        <w:rPr>
          <w:rFonts w:hint="eastAsia" w:ascii="仿宋_GB2312" w:hAnsi="仿宋_GB2312" w:eastAsia="仿宋_GB2312" w:cs="仿宋_GB2312"/>
          <w:sz w:val="32"/>
          <w:szCs w:val="32"/>
          <w:lang w:eastAsia="zh-CN"/>
        </w:rPr>
        <w:t>。</w:t>
      </w:r>
      <w:r>
        <w:rPr>
          <w:rFonts w:hint="eastAsia"/>
          <w:lang w:eastAsia="zh-CN"/>
        </w:rPr>
        <w:t>美国、欧盟、日韩以及</w:t>
      </w:r>
      <w:r>
        <w:rPr>
          <w:rFonts w:hint="eastAsia"/>
          <w:lang w:val="en-US" w:eastAsia="zh-CN"/>
        </w:rPr>
        <w:t>我国</w:t>
      </w:r>
      <w:r>
        <w:rPr>
          <w:rFonts w:hint="eastAsia"/>
          <w:lang w:eastAsia="zh-CN"/>
        </w:rPr>
        <w:t>等全球</w:t>
      </w:r>
      <w:r>
        <w:rPr>
          <w:rFonts w:hint="eastAsia" w:ascii="KaiTi_GB2312" w:hAnsi="KaiTi_GB2312" w:eastAsia="KaiTi_GB2312" w:cs="KaiTi_GB2312"/>
          <w:lang w:eastAsia="zh-CN"/>
        </w:rPr>
        <w:t>80</w:t>
      </w:r>
      <w:r>
        <w:rPr>
          <w:rFonts w:hint="eastAsia"/>
          <w:lang w:eastAsia="zh-CN"/>
        </w:rPr>
        <w:t>多个国家均发布和资助了一系列石墨烯领域的规划和专项计划</w:t>
      </w:r>
      <w:r>
        <w:rPr>
          <w:rFonts w:hint="default"/>
          <w:lang w:eastAsia="zh-CN"/>
        </w:rPr>
        <w:t>，</w:t>
      </w:r>
      <w:r>
        <w:rPr>
          <w:rFonts w:hint="eastAsia"/>
          <w:lang w:eastAsia="zh-CN"/>
        </w:rPr>
        <w:t>将石墨烯制备及其应用作为长期发展战略方向，希望在新一轮竞争中抢占产业发展制高点。我国高度重视石墨烯产业创新发展，发布了一系列政策措施推动石墨烯材料制备及示范应用，在航空航天、新能源、大健康等领域上的应用效果逐步显现</w:t>
      </w:r>
      <w:r>
        <w:rPr>
          <w:rFonts w:hint="default"/>
          <w:lang w:eastAsia="zh-CN"/>
        </w:rPr>
        <w:t>。</w:t>
      </w:r>
    </w:p>
    <w:p>
      <w:pPr>
        <w:spacing w:line="520" w:lineRule="exact"/>
        <w:ind w:firstLine="628"/>
        <w:rPr>
          <w:rFonts w:hint="eastAsia"/>
        </w:rPr>
      </w:pPr>
      <w:r>
        <w:rPr>
          <w:rFonts w:hint="eastAsia"/>
        </w:rPr>
        <w:t>202</w:t>
      </w:r>
      <w:r>
        <w:rPr>
          <w:rFonts w:hint="default"/>
          <w:lang w:eastAsia="zh-CN"/>
        </w:rPr>
        <w:t>3</w:t>
      </w:r>
      <w:r>
        <w:rPr>
          <w:rFonts w:hint="eastAsia"/>
        </w:rPr>
        <w:t>年，北京市人民政府印发</w:t>
      </w:r>
      <w:r>
        <w:rPr>
          <w:lang w:eastAsia="zh-CN"/>
        </w:rPr>
        <w:t>《北京市促进未来产业创新发展实施方案》</w:t>
      </w:r>
      <w:r>
        <w:rPr>
          <w:rFonts w:hint="eastAsia"/>
        </w:rPr>
        <w:t>，</w:t>
      </w:r>
      <w:r>
        <w:rPr>
          <w:rFonts w:hint="eastAsia"/>
          <w:lang w:val="en-US" w:eastAsia="zh-CN"/>
        </w:rPr>
        <w:t>提出要</w:t>
      </w:r>
      <w:r>
        <w:rPr>
          <w:rFonts w:hint="default"/>
          <w:lang w:eastAsia="zh-CN"/>
        </w:rPr>
        <w:t>面向未来信息、未来材料等六大领域，打造未来产业策源高地，明确面向前沿新材料需求，重点发展石墨烯材料、超导材料等细分产业。</w:t>
      </w:r>
      <w:r>
        <w:rPr>
          <w:rFonts w:hint="eastAsia"/>
          <w:lang w:val="en-US" w:eastAsia="zh-CN"/>
        </w:rPr>
        <w:t>为把握</w:t>
      </w:r>
      <w:r>
        <w:rPr>
          <w:rFonts w:hint="default"/>
          <w:lang w:eastAsia="zh-CN"/>
        </w:rPr>
        <w:t>未来材料</w:t>
      </w:r>
      <w:r>
        <w:rPr>
          <w:rFonts w:hint="eastAsia"/>
          <w:lang w:val="en-US" w:eastAsia="zh-CN"/>
        </w:rPr>
        <w:t>产业发展的关键窗口期与机遇</w:t>
      </w:r>
      <w:r>
        <w:rPr>
          <w:rFonts w:hint="eastAsia"/>
        </w:rPr>
        <w:t>期，</w:t>
      </w:r>
      <w:r>
        <w:rPr>
          <w:rFonts w:hint="eastAsia" w:ascii="仿宋_GB2312" w:hAnsi="仿宋_GB2312" w:eastAsia="仿宋_GB2312" w:cs="仿宋_GB2312"/>
          <w:sz w:val="32"/>
          <w:szCs w:val="32"/>
          <w:lang w:eastAsia="zh-CN"/>
        </w:rPr>
        <w:t>充分发挥北京石墨烯创新优势</w:t>
      </w:r>
      <w:r>
        <w:rPr>
          <w:rFonts w:hint="eastAsia"/>
          <w:lang w:eastAsia="zh-CN"/>
        </w:rPr>
        <w:t>，</w:t>
      </w:r>
      <w:r>
        <w:rPr>
          <w:rFonts w:hint="eastAsia" w:ascii="仿宋_GB2312" w:hAnsi="仿宋_GB2312" w:eastAsia="仿宋_GB2312" w:cs="仿宋_GB2312"/>
          <w:sz w:val="32"/>
          <w:szCs w:val="32"/>
          <w:lang w:eastAsia="zh-CN"/>
        </w:rPr>
        <w:t>推进石墨烯成为北京竞争优势突出的未来产业</w:t>
      </w:r>
      <w:r>
        <w:rPr>
          <w:rFonts w:hint="eastAsia"/>
        </w:rPr>
        <w:t>，我局</w:t>
      </w:r>
      <w:r>
        <w:rPr>
          <w:rFonts w:hint="eastAsia"/>
          <w:lang w:eastAsia="zh-CN"/>
        </w:rPr>
        <w:t>牵头</w:t>
      </w:r>
      <w:r>
        <w:rPr>
          <w:rFonts w:hint="eastAsia"/>
        </w:rPr>
        <w:t>编制了</w:t>
      </w:r>
      <w:r>
        <w:rPr>
          <w:rFonts w:hint="default" w:ascii="仿宋_GB2312" w:cs="宋体"/>
          <w:sz w:val="32"/>
          <w:szCs w:val="36"/>
          <w:highlight w:val="none"/>
          <w:shd w:val="clear" w:color="auto" w:fill="FFFFFF"/>
          <w:lang w:eastAsia="zh-CN"/>
        </w:rPr>
        <w:t>《北京市石墨烯产业发展实施方案（2024-2028年）》</w:t>
      </w:r>
      <w:r>
        <w:t>，</w:t>
      </w:r>
      <w:r>
        <w:rPr>
          <w:rFonts w:hint="eastAsia"/>
        </w:rPr>
        <w:t>以加强对</w:t>
      </w:r>
      <w:r>
        <w:rPr>
          <w:rFonts w:hint="default"/>
          <w:lang w:eastAsia="zh-CN"/>
        </w:rPr>
        <w:t>石墨烯</w:t>
      </w:r>
      <w:r>
        <w:rPr>
          <w:rFonts w:hint="eastAsia"/>
        </w:rPr>
        <w:t>产业发展的引导。</w:t>
      </w:r>
    </w:p>
    <w:p>
      <w:pPr>
        <w:pStyle w:val="3"/>
        <w:spacing w:line="520" w:lineRule="exact"/>
        <w:ind w:firstLine="640"/>
      </w:pPr>
      <w:r>
        <w:rPr>
          <w:rFonts w:hint="eastAsia"/>
        </w:rPr>
        <w:t>二、编制依据</w:t>
      </w:r>
    </w:p>
    <w:p>
      <w:pPr>
        <w:pStyle w:val="3"/>
        <w:widowControl/>
        <w:pBdr>
          <w:top w:val="none" w:color="auto" w:sz="0" w:space="0"/>
          <w:left w:val="none" w:color="auto" w:sz="0" w:space="0"/>
          <w:bottom w:val="none" w:color="auto" w:sz="0" w:space="0"/>
          <w:right w:val="none" w:color="auto" w:sz="0" w:space="0"/>
        </w:pBdr>
        <w:spacing w:line="520" w:lineRule="exact"/>
        <w:ind w:firstLine="0"/>
        <w:jc w:val="left"/>
        <w:textAlignment w:val="baseline"/>
      </w:pPr>
      <w:r>
        <w:rPr>
          <w:rFonts w:hint="eastAsia" w:ascii="仿宋_GB2312" w:hAnsi="仿宋_GB2312" w:eastAsia="仿宋_GB2312"/>
          <w:bCs w:val="0"/>
          <w:kern w:val="2"/>
          <w:szCs w:val="22"/>
        </w:rPr>
        <w:t>主要编制依据包括</w:t>
      </w:r>
      <w:r>
        <w:rPr>
          <w:rFonts w:hint="eastAsia" w:ascii="仿宋_GB2312" w:hAnsi="仿宋_GB2312" w:eastAsia="仿宋_GB2312"/>
          <w:bCs w:val="0"/>
          <w:kern w:val="2"/>
          <w:szCs w:val="22"/>
          <w:lang w:eastAsia="zh-CN"/>
        </w:rPr>
        <w:t>工业和信息化部等七部门《关于推动未来产业创新发展的实施意见》</w:t>
      </w:r>
      <w:r>
        <w:rPr>
          <w:rFonts w:hint="eastAsia" w:ascii="仿宋_GB2312" w:hAnsi="仿宋_GB2312" w:eastAsia="仿宋_GB2312"/>
          <w:bCs w:val="0"/>
          <w:kern w:val="2"/>
          <w:szCs w:val="22"/>
          <w:lang w:val="en-US" w:eastAsia="zh-CN"/>
        </w:rPr>
        <w:t>以及</w:t>
      </w:r>
      <w:r>
        <w:rPr>
          <w:rFonts w:hint="eastAsia" w:ascii="仿宋_GB2312" w:hAnsi="仿宋_GB2312" w:eastAsia="仿宋_GB2312"/>
          <w:bCs w:val="0"/>
          <w:kern w:val="2"/>
          <w:szCs w:val="22"/>
        </w:rPr>
        <w:t>《北京市“十四五”时期高精尖产业发展规划》</w:t>
      </w:r>
      <w:r>
        <w:rPr>
          <w:rFonts w:hint="eastAsia" w:ascii="仿宋_GB2312" w:hAnsi="仿宋_GB2312" w:eastAsia="仿宋_GB2312"/>
          <w:bCs w:val="0"/>
          <w:kern w:val="2"/>
          <w:szCs w:val="22"/>
          <w:lang w:val="en-US"/>
        </w:rPr>
        <w:t>、</w:t>
      </w:r>
      <w:r>
        <w:rPr>
          <w:rFonts w:hint="eastAsia" w:ascii="仿宋_GB2312" w:hAnsi="仿宋_GB2312" w:eastAsia="仿宋_GB2312"/>
          <w:bCs w:val="0"/>
          <w:kern w:val="2"/>
          <w:szCs w:val="22"/>
          <w:lang w:eastAsia="zh-CN"/>
        </w:rPr>
        <w:t>《北京市促进未来产业创新发展实施方案》</w:t>
      </w:r>
      <w:r>
        <w:rPr>
          <w:rFonts w:hint="eastAsia" w:ascii="仿宋_GB2312" w:hAnsi="仿宋_GB2312" w:eastAsia="仿宋_GB2312"/>
          <w:bCs w:val="0"/>
          <w:kern w:val="2"/>
          <w:szCs w:val="22"/>
        </w:rPr>
        <w:t>等有关方案规划，参考政策依据包括</w:t>
      </w:r>
      <w:bookmarkStart w:id="0" w:name="_Hlk104479271"/>
      <w:r>
        <w:rPr>
          <w:rFonts w:hint="eastAsia" w:ascii="仿宋_GB2312" w:hAnsi="仿宋_GB2312" w:eastAsia="仿宋_GB2312"/>
          <w:bCs w:val="0"/>
          <w:kern w:val="2"/>
          <w:szCs w:val="22"/>
          <w:lang w:eastAsia="zh-CN"/>
        </w:rPr>
        <w:t>《</w:t>
      </w:r>
      <w:r>
        <w:rPr>
          <w:rFonts w:hint="eastAsia" w:ascii="仿宋_GB2312" w:hAnsi="仿宋_GB2312" w:eastAsia="仿宋_GB2312"/>
          <w:bCs w:val="0"/>
          <w:kern w:val="2"/>
          <w:szCs w:val="22"/>
        </w:rPr>
        <w:t>202</w:t>
      </w:r>
      <w:r>
        <w:rPr>
          <w:rFonts w:hint="eastAsia" w:ascii="仿宋_GB2312" w:hAnsi="仿宋_GB2312" w:eastAsia="仿宋_GB2312"/>
          <w:bCs w:val="0"/>
          <w:kern w:val="2"/>
          <w:szCs w:val="22"/>
          <w:lang w:val="en-US"/>
        </w:rPr>
        <w:t>4</w:t>
      </w:r>
      <w:r>
        <w:rPr>
          <w:rFonts w:hint="eastAsia" w:ascii="仿宋_GB2312" w:hAnsi="仿宋_GB2312" w:eastAsia="仿宋_GB2312"/>
          <w:bCs w:val="0"/>
          <w:kern w:val="2"/>
          <w:szCs w:val="22"/>
        </w:rPr>
        <w:t>年北京市高精尖产业发展资金实施指南</w:t>
      </w:r>
      <w:r>
        <w:rPr>
          <w:rFonts w:hint="eastAsia" w:ascii="仿宋_GB2312" w:hAnsi="仿宋_GB2312" w:eastAsia="仿宋_GB2312"/>
          <w:bCs w:val="0"/>
          <w:kern w:val="2"/>
          <w:szCs w:val="22"/>
          <w:lang w:eastAsia="zh-CN"/>
        </w:rPr>
        <w:t>》</w:t>
      </w:r>
      <w:bookmarkEnd w:id="0"/>
      <w:r>
        <w:rPr>
          <w:rFonts w:hint="eastAsia" w:ascii="仿宋_GB2312" w:hAnsi="仿宋_GB2312" w:eastAsia="仿宋_GB2312"/>
          <w:bCs w:val="0"/>
          <w:kern w:val="2"/>
          <w:szCs w:val="22"/>
          <w:lang w:val="en-US"/>
        </w:rPr>
        <w:t>、</w:t>
      </w:r>
      <w:r>
        <w:rPr>
          <w:rFonts w:hint="eastAsia" w:ascii="仿宋_GB2312" w:hAnsi="仿宋_GB2312" w:eastAsia="仿宋_GB2312"/>
          <w:bCs w:val="0"/>
          <w:kern w:val="2"/>
          <w:szCs w:val="22"/>
          <w:lang w:eastAsia="zh-CN"/>
        </w:rPr>
        <w:t>《</w:t>
      </w:r>
      <w:r>
        <w:rPr>
          <w:rFonts w:hint="eastAsia" w:ascii="仿宋_GB2312" w:hAnsi="仿宋_GB2312" w:eastAsia="仿宋_GB2312"/>
          <w:bCs w:val="0"/>
          <w:kern w:val="2"/>
          <w:szCs w:val="22"/>
        </w:rPr>
        <w:t>关于促进本市新型基础设施投资中新技术新产品推广应用的若干措施</w:t>
      </w:r>
      <w:r>
        <w:rPr>
          <w:rFonts w:hint="eastAsia" w:ascii="仿宋_GB2312" w:hAnsi="仿宋_GB2312" w:eastAsia="仿宋_GB2312"/>
          <w:bCs w:val="0"/>
          <w:kern w:val="2"/>
          <w:szCs w:val="22"/>
          <w:lang w:eastAsia="zh-CN"/>
        </w:rPr>
        <w:t>》</w:t>
      </w:r>
      <w:r>
        <w:rPr>
          <w:rFonts w:hint="eastAsia" w:ascii="仿宋_GB2312" w:hAnsi="仿宋_GB2312" w:eastAsia="仿宋_GB2312"/>
          <w:bCs w:val="0"/>
          <w:kern w:val="2"/>
          <w:szCs w:val="22"/>
          <w:lang w:val="en-US" w:eastAsia="zh-CN"/>
        </w:rPr>
        <w:t>、</w:t>
      </w:r>
      <w:r>
        <w:rPr>
          <w:rFonts w:hint="eastAsia" w:ascii="仿宋_GB2312" w:hAnsi="仿宋_GB2312" w:eastAsia="仿宋_GB2312" w:cstheme="minorBidi"/>
          <w:b w:val="0"/>
          <w:bCs w:val="0"/>
          <w:i w:val="0"/>
          <w:caps w:val="0"/>
          <w:spacing w:val="0"/>
          <w:kern w:val="2"/>
          <w:sz w:val="32"/>
          <w:szCs w:val="22"/>
          <w:vertAlign w:val="baseline"/>
        </w:rPr>
        <w:t>《关于加强产业创新能力建设开展高精尖产业筑基工程的实施</w:t>
      </w:r>
      <w:r>
        <w:rPr>
          <w:rStyle w:val="11"/>
          <w:rFonts w:hint="eastAsia" w:ascii="仿宋_GB2312" w:hAnsi="仿宋_GB2312" w:eastAsia="仿宋_GB2312" w:cs="仿宋_GB2312"/>
          <w:bCs/>
          <w:kern w:val="2"/>
          <w:szCs w:val="32"/>
        </w:rPr>
        <w:t>方案》</w:t>
      </w:r>
      <w:r>
        <w:rPr>
          <w:rStyle w:val="11"/>
          <w:rFonts w:ascii="仿宋_GB2312" w:hAnsi="仿宋_GB2312" w:eastAsia="仿宋_GB2312" w:cs="仿宋_GB2312"/>
          <w:bCs/>
          <w:kern w:val="2"/>
          <w:szCs w:val="32"/>
        </w:rPr>
        <w:t>等现行政策，</w:t>
      </w:r>
      <w:bookmarkStart w:id="1" w:name="_GoBack"/>
      <w:bookmarkEnd w:id="1"/>
      <w:r>
        <w:rPr>
          <w:rStyle w:val="11"/>
          <w:rFonts w:ascii="仿宋_GB2312" w:hAnsi="仿宋_GB2312" w:eastAsia="仿宋_GB2312" w:cs="仿宋_GB2312"/>
          <w:bCs/>
          <w:kern w:val="2"/>
          <w:szCs w:val="32"/>
        </w:rPr>
        <w:t>以及石墨烯产业发展的特点和实际需求。</w:t>
      </w:r>
    </w:p>
    <w:p>
      <w:pPr>
        <w:pStyle w:val="3"/>
        <w:spacing w:line="520" w:lineRule="exact"/>
        <w:ind w:firstLine="640"/>
      </w:pPr>
      <w:r>
        <w:rPr>
          <w:rFonts w:hint="eastAsia"/>
        </w:rPr>
        <w:t>三、主要内容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bCs w:val="0"/>
          <w:kern w:val="2"/>
          <w:sz w:val="32"/>
          <w:szCs w:val="32"/>
        </w:rPr>
        <w:t>实施方案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主要内容包括：</w:t>
      </w:r>
      <w:r>
        <w:rPr>
          <w:rFonts w:hint="default" w:ascii="仿宋_GB2312" w:hAnsi="仿宋_GB2312" w:cs="仿宋_GB2312"/>
          <w:sz w:val="32"/>
          <w:szCs w:val="32"/>
          <w:lang w:eastAsia="zh-CN"/>
        </w:rPr>
        <w:t>石墨烯</w:t>
      </w:r>
      <w:r>
        <w:rPr>
          <w:rFonts w:hint="eastAsia" w:ascii="仿宋_GB2312" w:hAnsi="仿宋_GB2312" w:eastAsia="仿宋_GB2312" w:cs="仿宋_GB2312"/>
          <w:sz w:val="32"/>
          <w:szCs w:val="32"/>
          <w:lang w:val="en-US" w:eastAsia="zh-CN"/>
        </w:rPr>
        <w:t>产业发展形势、</w:t>
      </w:r>
      <w:r>
        <w:rPr>
          <w:rFonts w:hint="default" w:ascii="仿宋_GB2312" w:hAnsi="仿宋_GB2312" w:cs="仿宋_GB2312"/>
          <w:sz w:val="32"/>
          <w:szCs w:val="32"/>
          <w:lang w:eastAsia="zh-CN"/>
        </w:rPr>
        <w:t>北京市石墨烯技术与产业能力</w:t>
      </w:r>
      <w:r>
        <w:rPr>
          <w:rFonts w:hint="eastAsia" w:ascii="仿宋_GB2312" w:hAnsi="仿宋_GB2312" w:eastAsia="仿宋_GB2312" w:cs="仿宋_GB2312"/>
          <w:sz w:val="32"/>
          <w:szCs w:val="32"/>
          <w:lang w:val="en-US" w:eastAsia="zh-CN"/>
        </w:rPr>
        <w:t>、总体要求、重点任务和保障措施等五个部分。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cs="仿宋_GB2312"/>
          <w:sz w:val="32"/>
          <w:szCs w:val="32"/>
          <w:lang w:eastAsia="zh-CN"/>
        </w:rPr>
        <w:t>我国石墨烯产业</w:t>
      </w:r>
      <w:r>
        <w:rPr>
          <w:rFonts w:hint="eastAsia" w:ascii="仿宋_GB2312" w:hAnsi="仿宋_GB2312" w:cs="仿宋_GB2312"/>
          <w:lang w:eastAsia="zh-CN"/>
        </w:rPr>
        <w:t>已初步形成“一核两带多点”的总体空间格局，在关键核心技术攻关及产业化方面，与国外基本处于并跑阶段，同时</w:t>
      </w:r>
      <w:r>
        <w:rPr>
          <w:rFonts w:hint="eastAsia" w:ascii="仿宋_GB2312" w:hAnsi="仿宋_GB2312" w:eastAsia="仿宋_GB2312" w:cs="仿宋_GB2312"/>
          <w:sz w:val="32"/>
          <w:szCs w:val="32"/>
          <w:lang w:eastAsia="zh-CN"/>
        </w:rPr>
        <w:t>在航空航天、新能源、大健康等领域上的应用效果</w:t>
      </w:r>
      <w:r>
        <w:rPr>
          <w:rFonts w:hint="eastAsia" w:ascii="仿宋_GB2312" w:hAnsi="仿宋_GB2312" w:cs="仿宋_GB2312"/>
          <w:sz w:val="32"/>
          <w:szCs w:val="32"/>
          <w:lang w:eastAsia="zh-CN"/>
        </w:rPr>
        <w:t>也已</w:t>
      </w:r>
      <w:r>
        <w:rPr>
          <w:rFonts w:hint="eastAsia" w:ascii="仿宋_GB2312" w:hAnsi="仿宋_GB2312" w:eastAsia="仿宋_GB2312" w:cs="仿宋_GB2312"/>
          <w:sz w:val="32"/>
          <w:szCs w:val="32"/>
          <w:lang w:eastAsia="zh-CN"/>
        </w:rPr>
        <w:t>逐步显现</w:t>
      </w:r>
      <w:r>
        <w:rPr>
          <w:rFonts w:hint="eastAsia" w:ascii="仿宋_GB2312" w:hAnsi="仿宋_GB2312" w:cs="仿宋_GB2312"/>
          <w:sz w:val="32"/>
          <w:szCs w:val="32"/>
          <w:lang w:eastAsia="zh-CN"/>
        </w:rPr>
        <w:t>，</w:t>
      </w:r>
      <w:r>
        <w:rPr>
          <w:rFonts w:hint="eastAsia" w:ascii="仿宋_GB2312" w:hAnsi="仿宋_GB2312" w:cs="仿宋_GB2312"/>
          <w:lang w:eastAsia="zh-CN"/>
        </w:rPr>
        <w:t>已具备</w:t>
      </w:r>
      <w:r>
        <w:rPr>
          <w:rFonts w:hint="default" w:ascii="仿宋_GB2312" w:hAnsi="仿宋_GB2312" w:cs="仿宋_GB2312"/>
          <w:lang w:eastAsia="zh-CN"/>
        </w:rPr>
        <w:t>助推传统产业改造提升、带动材料产业升级换代</w:t>
      </w:r>
      <w:r>
        <w:rPr>
          <w:rFonts w:hint="eastAsia" w:ascii="仿宋_GB2312" w:hAnsi="仿宋_GB2312" w:cs="仿宋_GB2312"/>
          <w:lang w:eastAsia="zh-CN"/>
        </w:rPr>
        <w:t>的</w:t>
      </w:r>
      <w:r>
        <w:rPr>
          <w:rFonts w:hint="default" w:ascii="仿宋_GB2312" w:hAnsi="仿宋_GB2312" w:cs="仿宋_GB2312"/>
          <w:lang w:eastAsia="zh-CN"/>
        </w:rPr>
        <w:t>产业</w:t>
      </w:r>
      <w:r>
        <w:rPr>
          <w:rFonts w:hint="eastAsia" w:ascii="仿宋_GB2312" w:hAnsi="仿宋_GB2312" w:cs="仿宋_GB2312"/>
          <w:lang w:eastAsia="zh-CN"/>
        </w:rPr>
        <w:t>条件</w:t>
      </w:r>
      <w:r>
        <w:rPr>
          <w:rFonts w:hint="eastAsia" w:ascii="仿宋_GB2312" w:hAnsi="仿宋_GB2312" w:eastAsia="仿宋_GB2312" w:cs="仿宋_GB2312"/>
          <w:sz w:val="32"/>
          <w:szCs w:val="32"/>
          <w:lang w:eastAsia="zh-CN"/>
        </w:rPr>
        <w:t>。</w:t>
      </w:r>
    </w:p>
    <w:p>
      <w:pPr>
        <w:spacing w:line="520" w:lineRule="exact"/>
        <w:ind w:firstLine="640" w:firstLineChars="200"/>
        <w:outlineLvl w:val="9"/>
        <w:rPr>
          <w:rFonts w:hint="eastAsia" w:ascii="仿宋_GB2312" w:hAnsi="仿宋_GB2312" w:cs="仿宋_GB2312"/>
          <w:spacing w:val="-6"/>
          <w:szCs w:val="32"/>
          <w:lang w:eastAsia="zh-CN"/>
        </w:rPr>
      </w:pPr>
      <w:r>
        <w:rPr>
          <w:rFonts w:hint="eastAsia" w:ascii="仿宋_GB2312" w:hAnsi="仿宋_GB2312" w:eastAsia="仿宋_GB2312" w:cs="仿宋_GB2312"/>
          <w:sz w:val="32"/>
          <w:szCs w:val="32"/>
          <w:lang w:val="en-US" w:eastAsia="zh-CN"/>
        </w:rPr>
        <w:t>实施方案提出</w:t>
      </w:r>
      <w:r>
        <w:rPr>
          <w:rFonts w:hint="eastAsia" w:ascii="仿宋_GB2312" w:hAnsi="仿宋_GB2312" w:cs="仿宋_GB2312"/>
          <w:sz w:val="32"/>
          <w:szCs w:val="32"/>
          <w:lang w:val="en-US" w:eastAsia="zh-CN"/>
        </w:rPr>
        <w:t>，</w:t>
      </w:r>
      <w:r>
        <w:rPr>
          <w:rFonts w:hint="eastAsia" w:ascii="仿宋_GB2312" w:hAnsi="仿宋_GB2312" w:cs="仿宋_GB2312"/>
          <w:szCs w:val="32"/>
          <w:lang w:eastAsia="zh-CN"/>
        </w:rPr>
        <w:t>充分发挥北京石墨烯创新优势，深入实施创新驱动发展战略，打造国内领先、世界一流的产业创新高地</w:t>
      </w:r>
      <w:r>
        <w:rPr>
          <w:rFonts w:hint="eastAsia" w:ascii="仿宋_GB2312" w:hAnsi="仿宋_GB2312" w:eastAsia="仿宋_GB2312" w:cs="仿宋_GB2312"/>
          <w:sz w:val="32"/>
          <w:szCs w:val="32"/>
          <w:lang w:val="en-US" w:eastAsia="zh-CN"/>
        </w:rPr>
        <w:t>。</w:t>
      </w:r>
      <w:r>
        <w:rPr>
          <w:rFonts w:hint="eastAsia" w:ascii="仿宋_GB2312" w:hAnsi="仿宋_GB2312" w:cs="仿宋_GB2312"/>
          <w:szCs w:val="32"/>
          <w:lang w:eastAsia="zh-CN"/>
        </w:rPr>
        <w:t>到</w:t>
      </w:r>
      <w:r>
        <w:rPr>
          <w:rFonts w:hint="eastAsia" w:ascii="仿宋_GB2312" w:hAnsi="仿宋_GB2312" w:eastAsia="仿宋_GB2312" w:cs="仿宋_GB2312"/>
          <w:szCs w:val="32"/>
          <w:lang w:val="en-US" w:eastAsia="zh-CN"/>
        </w:rPr>
        <w:t>2028</w:t>
      </w:r>
      <w:r>
        <w:rPr>
          <w:rFonts w:hint="eastAsia" w:ascii="仿宋_GB2312" w:hAnsi="仿宋_GB2312" w:cs="仿宋_GB2312"/>
          <w:szCs w:val="32"/>
          <w:lang w:eastAsia="zh-CN"/>
        </w:rPr>
        <w:t>年，基本形成石墨烯共性技术突破和先导产业培育良性互动的产业体系，累计形成</w:t>
      </w:r>
      <w:r>
        <w:rPr>
          <w:rFonts w:hint="eastAsia" w:ascii="仿宋_GB2312" w:hAnsi="仿宋_GB2312" w:eastAsia="仿宋_GB2312" w:cs="仿宋_GB2312"/>
          <w:szCs w:val="32"/>
          <w:lang w:val="en-US" w:eastAsia="zh-CN"/>
        </w:rPr>
        <w:t>50</w:t>
      </w:r>
      <w:r>
        <w:rPr>
          <w:rFonts w:hint="eastAsia" w:ascii="仿宋_GB2312" w:hAnsi="仿宋_GB2312" w:cs="仿宋_GB2312"/>
          <w:szCs w:val="32"/>
          <w:lang w:eastAsia="zh-CN"/>
        </w:rPr>
        <w:t>项以上高质量专利，产业标准体系进一步完善，产业能级明显提升。引进和培育</w:t>
      </w:r>
      <w:r>
        <w:rPr>
          <w:rFonts w:hint="eastAsia" w:ascii="仿宋_GB2312" w:hAnsi="仿宋_GB2312" w:eastAsia="仿宋_GB2312" w:cs="仿宋_GB2312"/>
          <w:szCs w:val="32"/>
          <w:lang w:val="en-US" w:eastAsia="zh-CN"/>
        </w:rPr>
        <w:t>20</w:t>
      </w:r>
      <w:r>
        <w:rPr>
          <w:rFonts w:hint="eastAsia" w:ascii="仿宋_GB2312" w:hAnsi="仿宋_GB2312" w:cs="仿宋_GB2312"/>
          <w:szCs w:val="32"/>
          <w:lang w:eastAsia="zh-CN"/>
        </w:rPr>
        <w:t>家以上高新技术企业、上市企业数量超过</w:t>
      </w:r>
      <w:r>
        <w:rPr>
          <w:rFonts w:hint="eastAsia" w:ascii="仿宋_GB2312" w:hAnsi="仿宋_GB2312" w:eastAsia="仿宋_GB2312" w:cs="仿宋_GB2312"/>
          <w:szCs w:val="32"/>
          <w:lang w:val="en-US" w:eastAsia="zh-CN"/>
        </w:rPr>
        <w:t>2</w:t>
      </w:r>
      <w:r>
        <w:rPr>
          <w:rFonts w:hint="eastAsia" w:ascii="仿宋_GB2312" w:hAnsi="仿宋_GB2312" w:cs="仿宋_GB2312"/>
          <w:szCs w:val="32"/>
          <w:lang w:eastAsia="zh-CN"/>
        </w:rPr>
        <w:t>家，建成</w:t>
      </w:r>
      <w:r>
        <w:rPr>
          <w:rFonts w:hint="eastAsia" w:ascii="仿宋_GB2312" w:hAnsi="仿宋_GB2312" w:eastAsia="仿宋_GB2312" w:cs="仿宋_GB2312"/>
          <w:szCs w:val="32"/>
          <w:lang w:val="en-US" w:eastAsia="zh-CN"/>
        </w:rPr>
        <w:t>2</w:t>
      </w:r>
      <w:r>
        <w:rPr>
          <w:rFonts w:hint="eastAsia" w:ascii="仿宋_GB2312" w:hAnsi="仿宋_GB2312" w:cs="仿宋_GB2312"/>
          <w:szCs w:val="32"/>
          <w:lang w:eastAsia="zh-CN"/>
        </w:rPr>
        <w:t>个特色产业聚集区，石墨烯及相关产品形成</w:t>
      </w:r>
      <w:r>
        <w:rPr>
          <w:rFonts w:hint="eastAsia" w:ascii="仿宋_GB2312" w:hAnsi="仿宋_GB2312" w:eastAsia="仿宋_GB2312" w:cs="仿宋_GB2312"/>
          <w:szCs w:val="32"/>
          <w:lang w:val="en-US" w:eastAsia="zh-CN"/>
        </w:rPr>
        <w:t>100</w:t>
      </w:r>
      <w:r>
        <w:rPr>
          <w:rFonts w:hint="eastAsia" w:ascii="仿宋_GB2312" w:hAnsi="仿宋_GB2312" w:cs="仿宋_GB2312"/>
          <w:szCs w:val="32"/>
          <w:lang w:eastAsia="zh-CN"/>
        </w:rPr>
        <w:t>亿级产业规模。</w:t>
      </w:r>
      <w:r>
        <w:rPr>
          <w:rFonts w:hint="eastAsia" w:ascii="仿宋_GB2312" w:hAnsi="仿宋_GB2312" w:cs="仿宋_GB2312"/>
          <w:lang w:eastAsia="zh-CN"/>
        </w:rPr>
        <w:t>按照“次序部署、滚动实施”布局石墨烯技术研发和产业化路线图，</w:t>
      </w:r>
      <w:r>
        <w:rPr>
          <w:rFonts w:hint="default" w:ascii="仿宋_GB2312" w:hAnsi="仿宋_GB2312" w:cs="仿宋_GB2312"/>
          <w:lang w:eastAsia="zh-CN"/>
        </w:rPr>
        <w:t>在产业布局上</w:t>
      </w:r>
      <w:r>
        <w:rPr>
          <w:rFonts w:hint="eastAsia" w:ascii="仿宋_GB2312" w:hAnsi="仿宋_GB2312" w:cs="仿宋_GB2312"/>
          <w:lang w:eastAsia="zh-CN"/>
        </w:rPr>
        <w:t>基于</w:t>
      </w:r>
      <w:r>
        <w:rPr>
          <w:rFonts w:hint="default" w:ascii="仿宋_GB2312" w:hAnsi="仿宋_GB2312" w:cs="仿宋_GB2312"/>
          <w:lang w:eastAsia="zh-CN"/>
        </w:rPr>
        <w:t>各区</w:t>
      </w:r>
      <w:r>
        <w:rPr>
          <w:rFonts w:hint="eastAsia" w:ascii="仿宋_GB2312" w:hAnsi="仿宋_GB2312" w:cs="仿宋_GB2312"/>
          <w:lang w:eastAsia="zh-CN"/>
        </w:rPr>
        <w:t>石墨烯产业现有基础及区域特色，强化海淀、房山、怀柔分工协作。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default" w:ascii="仿宋_GB2312" w:hAnsi="仿宋_GB2312" w:cs="仿宋_GB2312"/>
          <w:sz w:val="32"/>
          <w:szCs w:val="32"/>
          <w:lang w:eastAsia="zh-CN"/>
        </w:rPr>
      </w:pPr>
      <w:r>
        <w:rPr>
          <w:rFonts w:hint="eastAsia" w:ascii="仿宋_GB2312" w:hAnsi="仿宋_GB2312" w:eastAsia="仿宋_GB2312" w:cs="仿宋_GB2312"/>
          <w:sz w:val="32"/>
          <w:szCs w:val="32"/>
          <w:lang w:val="en-US" w:eastAsia="zh-CN"/>
        </w:rPr>
        <w:t>实施方案重点任务</w:t>
      </w:r>
      <w:r>
        <w:rPr>
          <w:rFonts w:hint="eastAsia" w:ascii="仿宋_GB2312" w:hAnsi="仿宋_GB2312" w:cs="仿宋_GB2312"/>
          <w:sz w:val="32"/>
          <w:szCs w:val="32"/>
          <w:lang w:eastAsia="zh-CN"/>
        </w:rPr>
        <w:t>主要围绕</w:t>
      </w:r>
      <w:r>
        <w:rPr>
          <w:rFonts w:hint="default" w:ascii="仿宋_GB2312" w:hAnsi="仿宋_GB2312" w:cs="仿宋_GB2312"/>
          <w:sz w:val="32"/>
          <w:szCs w:val="32"/>
          <w:lang w:eastAsia="zh-CN"/>
        </w:rPr>
        <w:t>“关键技术创新工程、</w:t>
      </w:r>
      <w:r>
        <w:rPr>
          <w:rFonts w:hint="eastAsia" w:ascii="仿宋_GB2312" w:hAnsi="仿宋_GB2312" w:eastAsia="仿宋_GB2312" w:cs="仿宋_GB2312"/>
          <w:szCs w:val="32"/>
          <w:lang w:eastAsia="zh-CN"/>
        </w:rPr>
        <w:t>全场景示范应用工程、产业集群打造工程及公共服务平台建设工程</w:t>
      </w:r>
      <w:r>
        <w:rPr>
          <w:rFonts w:hint="default" w:ascii="仿宋_GB2312" w:hAnsi="仿宋_GB2312" w:cs="仿宋_GB2312"/>
          <w:sz w:val="32"/>
          <w:szCs w:val="32"/>
          <w:lang w:eastAsia="zh-CN"/>
        </w:rPr>
        <w:t>”</w:t>
      </w:r>
      <w:r>
        <w:rPr>
          <w:rFonts w:hint="eastAsia" w:ascii="仿宋_GB2312" w:hAnsi="仿宋_GB2312" w:cs="仿宋_GB2312"/>
          <w:sz w:val="32"/>
          <w:szCs w:val="32"/>
          <w:lang w:eastAsia="zh-CN"/>
        </w:rPr>
        <w:t>四大工程</w:t>
      </w:r>
      <w:r>
        <w:rPr>
          <w:rFonts w:hint="default" w:ascii="仿宋_GB2312" w:hAnsi="仿宋_GB2312" w:cs="仿宋_GB2312"/>
          <w:sz w:val="32"/>
          <w:szCs w:val="32"/>
          <w:lang w:eastAsia="zh-CN"/>
        </w:rPr>
        <w:t>推进。</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实施方案提出了</w:t>
      </w:r>
      <w:r>
        <w:rPr>
          <w:rFonts w:hint="eastAsia" w:ascii="仿宋_GB2312" w:hAnsi="仿宋_GB2312" w:cs="仿宋_GB2312"/>
          <w:sz w:val="32"/>
          <w:szCs w:val="32"/>
          <w:lang w:val="en-US" w:eastAsia="zh-CN"/>
        </w:rPr>
        <w:t>“</w:t>
      </w:r>
      <w:r>
        <w:rPr>
          <w:rFonts w:hint="eastAsia" w:ascii="仿宋_GB2312" w:hAnsi="仿宋_GB2312" w:eastAsia="仿宋_GB2312" w:cs="仿宋_GB2312"/>
          <w:szCs w:val="32"/>
          <w:lang w:eastAsia="zh-CN"/>
        </w:rPr>
        <w:t>加强组织领导</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Cs w:val="32"/>
          <w:lang w:eastAsia="zh-CN"/>
        </w:rPr>
        <w:t>加大财政支持</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Cs w:val="32"/>
          <w:lang w:eastAsia="zh-CN"/>
        </w:rPr>
        <w:t>重视人才引进</w:t>
      </w:r>
      <w:r>
        <w:rPr>
          <w:rFonts w:hint="default" w:ascii="仿宋_GB2312" w:hAnsi="仿宋_GB2312" w:cs="仿宋_GB2312"/>
          <w:sz w:val="32"/>
          <w:szCs w:val="32"/>
          <w:lang w:eastAsia="zh-CN"/>
        </w:rPr>
        <w:t>及</w:t>
      </w:r>
      <w:r>
        <w:rPr>
          <w:rFonts w:hint="eastAsia" w:ascii="仿宋_GB2312" w:hAnsi="仿宋_GB2312" w:eastAsia="仿宋_GB2312" w:cs="仿宋_GB2312"/>
          <w:szCs w:val="32"/>
          <w:lang w:eastAsia="zh-CN"/>
        </w:rPr>
        <w:t>加大金融扶持</w:t>
      </w:r>
      <w:r>
        <w:rPr>
          <w:rFonts w:hint="eastAsia" w:ascii="仿宋_GB2312" w:hAnsi="仿宋_GB2312" w:cs="仿宋_GB2312"/>
          <w:sz w:val="32"/>
          <w:szCs w:val="32"/>
          <w:lang w:val="en-US" w:eastAsia="zh-CN"/>
        </w:rPr>
        <w:t>”</w:t>
      </w:r>
      <w:r>
        <w:rPr>
          <w:rFonts w:hint="eastAsia" w:ascii="仿宋_GB2312" w:hAnsi="仿宋_GB2312" w:cs="仿宋_GB2312"/>
          <w:sz w:val="32"/>
          <w:szCs w:val="32"/>
          <w:lang w:eastAsia="zh-CN"/>
        </w:rPr>
        <w:t>四</w:t>
      </w:r>
      <w:r>
        <w:rPr>
          <w:rFonts w:hint="eastAsia" w:ascii="仿宋_GB2312" w:hAnsi="仿宋_GB2312" w:eastAsia="仿宋_GB2312" w:cs="仿宋_GB2312"/>
          <w:sz w:val="32"/>
          <w:szCs w:val="32"/>
          <w:lang w:val="en-US" w:eastAsia="zh-CN"/>
        </w:rPr>
        <w:t>项政策措施。</w:t>
      </w:r>
    </w:p>
    <w:p>
      <w:pPr>
        <w:spacing w:line="520" w:lineRule="exact"/>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altName w:val="方正宋体S-超大字符集"/>
    <w:panose1 w:val="02000000000000000000"/>
    <w:charset w:val="86"/>
    <w:family w:val="auto"/>
    <w:pitch w:val="default"/>
    <w:sig w:usb0="00000001" w:usb1="08000000" w:usb2="00000000" w:usb3="00000000" w:csb0="00040000" w:csb1="00000000"/>
  </w:font>
  <w:font w:name="方正黑体_GBK">
    <w:altName w:val="思源黑体 CN"/>
    <w:panose1 w:val="02000000000000000000"/>
    <w:charset w:val="00"/>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黑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KaiTi_GB2312">
    <w:panose1 w:val="02010609030101010101"/>
    <w:charset w:val="86"/>
    <w:family w:val="auto"/>
    <w:pitch w:val="default"/>
    <w:sig w:usb0="00000001" w:usb1="080E0000" w:usb2="00000000" w:usb3="00000000" w:csb0="00040000" w:csb1="00000000"/>
  </w:font>
  <w:font w:name="思源黑体 CN">
    <w:panose1 w:val="020B0600000000000000"/>
    <w:charset w:val="86"/>
    <w:family w:val="auto"/>
    <w:pitch w:val="default"/>
    <w:sig w:usb0="20000003" w:usb1="2ADF3C1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7809132"/>
    </w:sdtPr>
    <w:sdtContent>
      <w:p>
        <w:pPr>
          <w:pStyle w:val="5"/>
          <w:ind w:firstLine="360"/>
          <w:jc w:val="center"/>
        </w:pPr>
        <w:r>
          <w:fldChar w:fldCharType="begin"/>
        </w:r>
        <w:r>
          <w:instrText xml:space="preserve">PAGE   \* MERGEFORMAT</w:instrText>
        </w:r>
        <w:r>
          <w:fldChar w:fldCharType="separate"/>
        </w:r>
        <w:r>
          <w:rPr>
            <w:lang w:val="zh-CN"/>
          </w:rPr>
          <w:t>2</w:t>
        </w:r>
        <w:r>
          <w:fldChar w:fldCharType="end"/>
        </w:r>
      </w:p>
    </w:sdtContent>
  </w:sdt>
  <w:p>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7DF77EB2"/>
    <w:rsid w:val="0701348E"/>
    <w:rsid w:val="1C782E10"/>
    <w:rsid w:val="1F1D2CD6"/>
    <w:rsid w:val="1FDE7E8B"/>
    <w:rsid w:val="308B7751"/>
    <w:rsid w:val="66303069"/>
    <w:rsid w:val="67975811"/>
    <w:rsid w:val="6F5FE1DD"/>
    <w:rsid w:val="6F9ED502"/>
    <w:rsid w:val="6FDF5B2F"/>
    <w:rsid w:val="775C0AB6"/>
    <w:rsid w:val="7BEB1110"/>
    <w:rsid w:val="7DDD1A48"/>
    <w:rsid w:val="7DF77EB2"/>
    <w:rsid w:val="7F7F5E0B"/>
    <w:rsid w:val="7FDFFF1B"/>
    <w:rsid w:val="9F77190C"/>
    <w:rsid w:val="9FFEBCF5"/>
    <w:rsid w:val="DC9E07A2"/>
    <w:rsid w:val="DDD990DB"/>
    <w:rsid w:val="EBCFD292"/>
    <w:rsid w:val="EED784B9"/>
    <w:rsid w:val="F66E6893"/>
    <w:rsid w:val="F73D7D47"/>
    <w:rsid w:val="FE370F03"/>
    <w:rsid w:val="FFCF423A"/>
    <w:rsid w:val="FFD5A4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200" w:firstLineChars="200"/>
      <w:jc w:val="both"/>
    </w:pPr>
    <w:rPr>
      <w:rFonts w:ascii="仿宋_GB2312" w:hAnsi="仿宋_GB2312" w:eastAsia="仿宋_GB2312" w:cstheme="minorBidi"/>
      <w:kern w:val="2"/>
      <w:sz w:val="32"/>
      <w:szCs w:val="22"/>
      <w:lang w:val="en-US" w:eastAsia="zh-CN" w:bidi="ar-SA"/>
    </w:rPr>
  </w:style>
  <w:style w:type="paragraph" w:styleId="3">
    <w:name w:val="heading 1"/>
    <w:basedOn w:val="1"/>
    <w:next w:val="1"/>
    <w:qFormat/>
    <w:uiPriority w:val="9"/>
    <w:pPr>
      <w:keepNext/>
      <w:keepLines/>
      <w:jc w:val="left"/>
      <w:outlineLvl w:val="0"/>
    </w:pPr>
    <w:rPr>
      <w:rFonts w:ascii="黑体" w:hAnsi="黑体" w:eastAsia="黑体"/>
      <w:bCs/>
      <w:kern w:val="44"/>
      <w:szCs w:val="44"/>
    </w:rPr>
  </w:style>
  <w:style w:type="paragraph" w:styleId="4">
    <w:name w:val="heading 2"/>
    <w:basedOn w:val="1"/>
    <w:next w:val="1"/>
    <w:link w:val="11"/>
    <w:qFormat/>
    <w:uiPriority w:val="0"/>
    <w:pPr>
      <w:widowControl/>
      <w:spacing w:before="0" w:beforeAutospacing="0" w:after="0" w:afterAutospacing="0"/>
      <w:ind w:firstLine="640" w:firstLineChars="200"/>
      <w:jc w:val="left"/>
      <w:outlineLvl w:val="1"/>
    </w:pPr>
    <w:rPr>
      <w:rFonts w:ascii="黑体" w:hAnsi="黑体" w:eastAsia="黑体" w:cs="宋体"/>
      <w:bCs/>
      <w:sz w:val="32"/>
      <w:szCs w:val="36"/>
      <w:lang w:bidi="ar"/>
    </w:rPr>
  </w:style>
  <w:style w:type="character" w:default="1" w:styleId="8">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tabs>
        <w:tab w:val="left" w:pos="567"/>
      </w:tabs>
      <w:spacing w:line="360" w:lineRule="exact"/>
    </w:pPr>
    <w:rPr>
      <w:rFonts w:ascii="宋体" w:hAnsi="宋体" w:eastAsia="宋体" w:cs="Times New Roman"/>
      <w:sz w:val="28"/>
    </w:rPr>
  </w:style>
  <w:style w:type="paragraph" w:styleId="5">
    <w:name w:val="footer"/>
    <w:basedOn w:val="1"/>
    <w:unhideWhenUsed/>
    <w:qFormat/>
    <w:uiPriority w:val="99"/>
    <w:pPr>
      <w:tabs>
        <w:tab w:val="center" w:pos="4153"/>
        <w:tab w:val="right" w:pos="8306"/>
      </w:tabs>
      <w:snapToGrid w:val="0"/>
      <w:spacing w:line="240" w:lineRule="atLeast"/>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7">
    <w:name w:val="Title"/>
    <w:basedOn w:val="1"/>
    <w:next w:val="1"/>
    <w:qFormat/>
    <w:uiPriority w:val="10"/>
    <w:pPr>
      <w:ind w:firstLine="0" w:firstLineChars="0"/>
      <w:jc w:val="center"/>
      <w:outlineLvl w:val="0"/>
    </w:pPr>
    <w:rPr>
      <w:rFonts w:ascii="方正小标宋简体" w:hAnsi="方正小标宋简体" w:eastAsia="方正小标宋简体" w:cstheme="majorBidi"/>
      <w:bCs/>
      <w:sz w:val="44"/>
      <w:szCs w:val="32"/>
    </w:rPr>
  </w:style>
  <w:style w:type="paragraph" w:customStyle="1" w:styleId="10">
    <w:name w:val="BodyText"/>
    <w:basedOn w:val="1"/>
    <w:qFormat/>
    <w:uiPriority w:val="0"/>
    <w:pPr>
      <w:textAlignment w:val="baseline"/>
    </w:pPr>
    <w:rPr>
      <w:rFonts w:ascii="Calibri" w:hAnsi="Calibri"/>
      <w:sz w:val="28"/>
      <w:szCs w:val="24"/>
    </w:rPr>
  </w:style>
  <w:style w:type="character" w:customStyle="1" w:styleId="11">
    <w:name w:val="标题 2 字符"/>
    <w:basedOn w:val="8"/>
    <w:link w:val="4"/>
    <w:qFormat/>
    <w:uiPriority w:val="0"/>
    <w:rPr>
      <w:rFonts w:ascii="黑体" w:hAnsi="黑体" w:eastAsia="黑体" w:cs="宋体"/>
      <w:bCs/>
      <w:sz w:val="32"/>
      <w:szCs w:val="36"/>
      <w:lang w:bidi="ar"/>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8FAFD"/>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Office_10.1.0.7448_F1E327BC-269C-435d-A152-05C5408002CA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2023-09-22T12:08:00Z</dcterms:created>
  <dc:creator>小米</dc:creator>
  <cp:lastModifiedBy>李直蔓</cp:lastModifiedBy>
  <dcterms:modified xsi:type="dcterms:W3CDTF">2024-04-11T14:53:14Z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2052-10.1.0.7448</vt:lpwstr>
  </property>
  <property fmtid="{D5CDD505-2E9C-101B-9397-08002B2CF9AE}" pid="3" name="ICV">
    <vt:lpwstr>C6794EA99354459D8ED94FE5500C8A4D_11</vt:lpwstr>
  </property>
</Properties>
</file>