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关于《北京市支持创新医药高质量发展若干措施（2024）（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9"/>
        <w:textAlignment w:val="auto"/>
        <w:outlineLvl w:val="0"/>
        <w:rPr>
          <w:rFonts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pacing w:val="-15"/>
          <w:sz w:val="32"/>
          <w:szCs w:val="32"/>
        </w:rPr>
        <w:t>一</w:t>
      </w:r>
      <w:r>
        <w:rPr>
          <w:rFonts w:hint="eastAsia" w:ascii="黑体" w:hAnsi="黑体" w:eastAsia="黑体" w:cs="黑体"/>
          <w:b w:val="0"/>
          <w:spacing w:val="-84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spacing w:val="-15"/>
          <w:sz w:val="32"/>
          <w:szCs w:val="32"/>
        </w:rPr>
        <w:t>、起草背景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" w:hAnsi="仿宋" w:eastAsia="仿宋" w:cs="仿宋_GB2312"/>
          <w:b w:val="0"/>
          <w:bCs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</w:rPr>
        <w:t>根据国务院批复《支持北京深化国家服务业扩大开放综合示范区建设工作方案》（以下简称《工作方案》）和我市《关于生物医药全产业链开放实施方案》等文件精神，本市从人民健康需求和经济社会发展需要出发，为推进创新链、产业链和政策链深度融合，加强创新药械研、产、审、用全链条政策支持，优化要素资源配置，培育优质创新生态，加速医药健康产业创新，助力发展新质生产力，提升本市生物医药产业发展质量和效益，更好满足人民群众防病治病需求，研究制定相关工作措施。</w:t>
      </w:r>
    </w:p>
    <w:p>
      <w:pPr>
        <w:pStyle w:val="2"/>
        <w:ind w:firstLine="640"/>
        <w:rPr>
          <w:rFonts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pacing w:val="-14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spacing w:val="-69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spacing w:val="-14"/>
          <w:sz w:val="32"/>
          <w:szCs w:val="32"/>
        </w:rPr>
        <w:t>起草工作过程</w:t>
      </w:r>
    </w:p>
    <w:p>
      <w:pPr>
        <w:pStyle w:val="2"/>
        <w:ind w:firstLine="660"/>
        <w:rPr>
          <w:rFonts w:hint="eastAsia" w:ascii="仿宋" w:hAnsi="仿宋" w:eastAsia="仿宋" w:cs="仿宋_GB2312"/>
          <w:b w:val="0"/>
          <w:bCs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</w:rPr>
        <w:t>为落实上述工作要求，市医保局、市委金融办、市发展改革委、市科委中关村管委会、市经济和信息化局、市卫生健康委、国家金融监督管理总局北京监管局、北京海关、市药监局共同对《工作方案》的落实进行了研究，进行了多轮会商和征求意见，起草了《北京市支持创新医药高质量发展若干措施（2024）》。</w:t>
      </w:r>
    </w:p>
    <w:p>
      <w:pPr>
        <w:pStyle w:val="2"/>
        <w:ind w:firstLine="640"/>
        <w:rPr>
          <w:rFonts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spacing w:val="-22"/>
          <w:sz w:val="32"/>
          <w:szCs w:val="32"/>
        </w:rPr>
        <w:t>主要内容</w:t>
      </w:r>
    </w:p>
    <w:p>
      <w:pPr>
        <w:pStyle w:val="2"/>
        <w:ind w:firstLine="660"/>
        <w:rPr>
          <w:rFonts w:hint="eastAsia" w:ascii="仿宋" w:hAnsi="仿宋" w:eastAsia="仿宋" w:cs="仿宋_GB2312"/>
          <w:b w:val="0"/>
          <w:bCs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/>
          <w:sz w:val="32"/>
          <w:szCs w:val="32"/>
        </w:rPr>
        <w:t>送审稿共八部分32条：包括：着力提升创新医药临床研究质效（4条）、助力加速创新药械审评审批（4条）、大力促进医药贸易便利化（3条）、加力促进创新医药临床应用（8条）、努力拓展创新医药支付渠道（3条）、鼓励医疗健康数据赋能创新（5条）、强化创新医药企业投融资支持（3条）和保障措施（2条）。在产品研发、临床试验、审评审批、生产制造、流通贸易、临床应用等环节，通过政策协同，支持创新医药发展；推动医疗健康数据赋能创新，丰富应用场景，依托人工智能、健康大模型等，支持医疗健康产业数字化、智能化升级；推动本市生物医药产业和保险金融业协同发展，完善创新药械配备使用和多元支付体系，切实减轻人民群众医疗费用负担，不断满足人民群众日益增长的健康需求。</w:t>
      </w:r>
    </w:p>
    <w:p>
      <w:pPr>
        <w:ind w:left="625"/>
        <w:rPr>
          <w:rFonts w:ascii="黑体" w:hAnsi="黑体" w:eastAsia="黑体" w:cs="黑体"/>
          <w:b w:val="0"/>
          <w:spacing w:val="-22"/>
          <w:sz w:val="32"/>
          <w:szCs w:val="32"/>
        </w:rPr>
      </w:pPr>
      <w:r>
        <w:rPr>
          <w:rFonts w:ascii="宋体" w:hAnsi="宋体" w:eastAsia="宋体" w:cs="宋体"/>
          <w:b w:val="0"/>
          <w:spacing w:val="-8"/>
          <w:sz w:val="5"/>
          <w:szCs w:val="5"/>
        </w:rPr>
        <w:t>·</w:t>
      </w:r>
      <w:r>
        <w:rPr>
          <w:rFonts w:hint="eastAsia" w:ascii="黑体" w:hAnsi="黑体" w:eastAsia="黑体" w:cs="黑体"/>
          <w:b w:val="0"/>
          <w:spacing w:val="-22"/>
          <w:sz w:val="32"/>
          <w:szCs w:val="32"/>
        </w:rPr>
        <w:t>四、 需要特别说明的问题</w:t>
      </w:r>
    </w:p>
    <w:p>
      <w:pPr>
        <w:ind w:left="795"/>
        <w:rPr>
          <w:rFonts w:ascii="楷体" w:hAnsi="楷体" w:eastAsia="楷体" w:cs="楷体"/>
          <w:b w:val="0"/>
          <w:spacing w:val="12"/>
          <w:sz w:val="32"/>
          <w:szCs w:val="32"/>
        </w:rPr>
      </w:pPr>
      <w:r>
        <w:rPr>
          <w:rFonts w:hint="eastAsia" w:ascii="楷体" w:hAnsi="楷体" w:eastAsia="楷体" w:cs="楷体"/>
          <w:b w:val="0"/>
          <w:spacing w:val="12"/>
          <w:sz w:val="32"/>
          <w:szCs w:val="32"/>
        </w:rPr>
        <w:t>(一)有关文件内容的特殊情况</w:t>
      </w:r>
    </w:p>
    <w:p>
      <w:pPr>
        <w:ind w:left="795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无。</w:t>
      </w:r>
    </w:p>
    <w:p>
      <w:pPr>
        <w:ind w:left="795"/>
        <w:rPr>
          <w:rFonts w:ascii="楷体" w:hAnsi="楷体" w:eastAsia="楷体" w:cs="楷体"/>
          <w:b w:val="0"/>
          <w:spacing w:val="12"/>
          <w:sz w:val="32"/>
          <w:szCs w:val="32"/>
        </w:rPr>
      </w:pPr>
      <w:r>
        <w:rPr>
          <w:rFonts w:hint="eastAsia" w:ascii="楷体" w:hAnsi="楷体" w:eastAsia="楷体" w:cs="楷体"/>
          <w:b w:val="0"/>
          <w:spacing w:val="12"/>
          <w:sz w:val="32"/>
          <w:szCs w:val="32"/>
        </w:rPr>
        <w:t>(二)发文形式、上会形式的情况</w:t>
      </w:r>
    </w:p>
    <w:p>
      <w:pPr>
        <w:pStyle w:val="2"/>
        <w:ind w:firstLine="640" w:firstLineChars="200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发文形式：公开发文</w:t>
      </w:r>
    </w:p>
    <w:p>
      <w:pPr>
        <w:pStyle w:val="2"/>
        <w:ind w:firstLine="640" w:firstLineChars="200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上会形式：报市政府审核</w:t>
      </w:r>
      <w:r>
        <w:rPr>
          <w:rFonts w:ascii="仿宋" w:hAnsi="仿宋" w:eastAsia="仿宋" w:cs="仿宋"/>
          <w:b w:val="0"/>
          <w:bCs/>
          <w:sz w:val="32"/>
          <w:szCs w:val="32"/>
        </w:rPr>
        <w:t xml:space="preserve"> </w:t>
      </w:r>
    </w:p>
    <w:p>
      <w:pPr>
        <w:pStyle w:val="2"/>
        <w:ind w:firstLine="716" w:firstLineChars="200"/>
        <w:rPr>
          <w:rFonts w:ascii="楷体" w:hAnsi="楷体" w:eastAsia="楷体" w:cs="楷体"/>
          <w:b w:val="0"/>
          <w:spacing w:val="19"/>
          <w:sz w:val="32"/>
          <w:szCs w:val="32"/>
        </w:rPr>
      </w:pPr>
      <w:r>
        <w:rPr>
          <w:rFonts w:hint="eastAsia" w:ascii="楷体" w:hAnsi="楷体" w:eastAsia="楷体" w:cs="楷体"/>
          <w:b w:val="0"/>
          <w:spacing w:val="19"/>
          <w:sz w:val="32"/>
          <w:szCs w:val="32"/>
        </w:rPr>
        <w:t>(三)与既有政策文件的衔接协调情况</w:t>
      </w:r>
    </w:p>
    <w:p>
      <w:pPr>
        <w:pStyle w:val="2"/>
        <w:ind w:firstLine="640" w:firstLineChars="200"/>
        <w:rPr>
          <w:rFonts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对</w:t>
      </w:r>
      <w:r>
        <w:rPr>
          <w:rFonts w:hint="eastAsia" w:ascii="仿宋" w:hAnsi="仿宋" w:eastAsia="仿宋" w:cs="仿宋_GB2312"/>
          <w:b w:val="0"/>
          <w:bCs/>
          <w:sz w:val="32"/>
          <w:szCs w:val="32"/>
        </w:rPr>
        <w:t>国务院批复《支持北京深化国家服务业扩大开放综合示范区建设工作方案》</w:t>
      </w:r>
      <w:r>
        <w:rPr>
          <w:rFonts w:hint="eastAsia" w:ascii="仿宋" w:hAnsi="仿宋" w:eastAsia="仿宋" w:cs="仿宋"/>
          <w:b w:val="0"/>
          <w:sz w:val="32"/>
          <w:szCs w:val="32"/>
        </w:rPr>
        <w:t>的工作任务进行细化和落实。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宋体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84"/>
    <w:rsid w:val="000A2F19"/>
    <w:rsid w:val="00246809"/>
    <w:rsid w:val="00496668"/>
    <w:rsid w:val="00833F5E"/>
    <w:rsid w:val="008433FA"/>
    <w:rsid w:val="008E3923"/>
    <w:rsid w:val="008E7D6E"/>
    <w:rsid w:val="00A44C84"/>
    <w:rsid w:val="00C17AB8"/>
    <w:rsid w:val="00DB3941"/>
    <w:rsid w:val="00DD3951"/>
    <w:rsid w:val="00F0490B"/>
    <w:rsid w:val="00F15339"/>
    <w:rsid w:val="7FFF3D9C"/>
    <w:rsid w:val="BEFC8328"/>
    <w:rsid w:val="BFFBC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楷体简体" w:hAnsi="Times New Roman" w:eastAsia="方正楷体简体" w:cs="Times New Roman"/>
      <w:b/>
      <w:snapToGrid w:val="0"/>
      <w:kern w:val="0"/>
      <w:sz w:val="28"/>
      <w:szCs w:val="28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semiHidden/>
    <w:unhideWhenUsed/>
    <w:qFormat/>
    <w:uiPriority w:val="99"/>
    <w:rPr>
      <w:rFonts w:ascii="宋体" w:hAnsi="Courier New" w:eastAsia="宋体" w:cs="Courier New"/>
      <w:sz w:val="21"/>
      <w:szCs w:val="21"/>
    </w:rPr>
  </w:style>
  <w:style w:type="character" w:customStyle="1" w:styleId="5">
    <w:name w:val="纯文本 Char"/>
    <w:basedOn w:val="4"/>
    <w:link w:val="2"/>
    <w:semiHidden/>
    <w:qFormat/>
    <w:uiPriority w:val="99"/>
    <w:rPr>
      <w:rFonts w:ascii="宋体" w:hAnsi="Courier New" w:eastAsia="宋体" w:cs="Courier New"/>
      <w:b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752</Characters>
  <Lines>6</Lines>
  <Paragraphs>1</Paragraphs>
  <TotalTime>112</TotalTime>
  <ScaleCrop>false</ScaleCrop>
  <LinksUpToDate>false</LinksUpToDate>
  <CharactersWithSpaces>882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2024-04-07T03:12:00Z</dcterms:created>
  <dc:creator>王诗俊</dc:creator>
  <cp:lastModifiedBy>梁佳滢</cp:lastModifiedBy>
  <cp:lastPrinted>2024-04-07T17:59:00Z</cp:lastPrinted>
  <dcterms:modified xsi:type="dcterms:W3CDTF">2024-04-07T14:52:35Z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