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ind w:right="578"/>
        <w:jc w:val="left"/>
        <w:rPr>
          <w:rFonts w:ascii="黑体" w:hAnsi="宋体" w:eastAsia="黑体" w:cs="Times New Roman"/>
          <w:color w:val="000000"/>
          <w:kern w:val="84"/>
          <w:sz w:val="32"/>
          <w:szCs w:val="32"/>
        </w:rPr>
      </w:pPr>
    </w:p>
    <w:p>
      <w:pPr>
        <w:spacing w:line="820" w:lineRule="exact"/>
        <w:ind w:right="144" w:firstLine="6174" w:firstLineChars="2144"/>
        <w:jc w:val="left"/>
        <w:rPr>
          <w:rFonts w:ascii="黑体" w:hAnsi="宋体" w:eastAsia="黑体" w:cs="Times New Roman"/>
          <w:color w:val="000000"/>
          <w:w w:val="90"/>
          <w:kern w:val="84"/>
          <w:sz w:val="32"/>
          <w:szCs w:val="32"/>
        </w:rPr>
      </w:pPr>
    </w:p>
    <w:p>
      <w:pPr>
        <w:spacing w:line="600" w:lineRule="exact"/>
        <w:jc w:val="center"/>
        <w:rPr>
          <w:rFonts w:ascii="仿宋_GB2312" w:hAnsi="Times New Roman" w:eastAsia="仿宋_GB2312" w:cs="楷体_GB2312"/>
          <w:sz w:val="32"/>
          <w:szCs w:val="32"/>
        </w:rPr>
      </w:pPr>
      <w:bookmarkStart w:id="0" w:name="_GoBack"/>
      <w:bookmarkEnd w:id="0"/>
    </w:p>
    <w:p>
      <w:pPr>
        <w:spacing w:line="600" w:lineRule="exact"/>
        <w:jc w:val="center"/>
        <w:rPr>
          <w:rFonts w:ascii="仿宋_GB2312" w:hAnsi="Times New Roman" w:eastAsia="仿宋_GB2312" w:cs="楷体_GB2312"/>
          <w:sz w:val="32"/>
          <w:szCs w:val="32"/>
        </w:rPr>
      </w:pPr>
    </w:p>
    <w:p>
      <w:pPr>
        <w:spacing w:line="480" w:lineRule="exact"/>
        <w:jc w:val="center"/>
        <w:rPr>
          <w:rFonts w:hint="eastAsia" w:ascii="方正小标宋简体" w:hAnsi="Times New Roman" w:eastAsia="方正小标宋简体" w:cs="楷体_GB2312"/>
          <w:sz w:val="44"/>
          <w:szCs w:val="44"/>
        </w:rPr>
      </w:pPr>
    </w:p>
    <w:p>
      <w:pPr>
        <w:spacing w:line="480" w:lineRule="exact"/>
        <w:jc w:val="center"/>
        <w:rPr>
          <w:rFonts w:hint="eastAsia" w:ascii="仿宋_GB2312" w:hAnsi="Times New Roman" w:eastAsia="仿宋_GB2312" w:cs="楷体_GB2312"/>
          <w:sz w:val="32"/>
          <w:szCs w:val="32"/>
        </w:rPr>
      </w:pPr>
      <w:r>
        <w:rPr>
          <w:rFonts w:hint="eastAsia" w:ascii="方正小标宋简体" w:hAnsi="Times New Roman" w:eastAsia="方正小标宋简体" w:cs="楷体_GB2312"/>
          <w:sz w:val="44"/>
          <w:szCs w:val="44"/>
        </w:rPr>
        <w:t>北京市住房和城乡建设委员会</w:t>
      </w:r>
    </w:p>
    <w:p>
      <w:pPr>
        <w:snapToGrid w:val="0"/>
        <w:spacing w:line="480" w:lineRule="exact"/>
        <w:jc w:val="center"/>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关于</w:t>
      </w:r>
      <w:r>
        <w:rPr>
          <w:rFonts w:hint="eastAsia" w:ascii="方正小标宋简体" w:hAnsi="宋体" w:eastAsia="方正小标宋简体" w:cs="Times New Roman"/>
          <w:bCs/>
          <w:sz w:val="44"/>
          <w:szCs w:val="44"/>
          <w:lang w:eastAsia="zh-CN"/>
        </w:rPr>
        <w:t>印发</w:t>
      </w:r>
      <w:r>
        <w:rPr>
          <w:rFonts w:hint="eastAsia" w:ascii="方正小标宋简体" w:hAnsi="宋体" w:eastAsia="方正小标宋简体" w:cs="Times New Roman"/>
          <w:bCs/>
          <w:sz w:val="44"/>
          <w:szCs w:val="44"/>
        </w:rPr>
        <w:t>《北京市建筑绿色发展条例》</w:t>
      </w:r>
    </w:p>
    <w:p>
      <w:pPr>
        <w:snapToGrid w:val="0"/>
        <w:spacing w:line="480" w:lineRule="exact"/>
        <w:jc w:val="center"/>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lang w:eastAsia="zh-CN"/>
        </w:rPr>
        <w:t>行政处罚裁量基准</w:t>
      </w:r>
      <w:r>
        <w:rPr>
          <w:rFonts w:hint="eastAsia" w:ascii="方正小标宋简体" w:hAnsi="宋体" w:eastAsia="方正小标宋简体" w:cs="Times New Roman"/>
          <w:bCs/>
          <w:sz w:val="44"/>
          <w:szCs w:val="44"/>
        </w:rPr>
        <w:t>的通知</w:t>
      </w:r>
    </w:p>
    <w:p>
      <w:pPr>
        <w:snapToGrid w:val="0"/>
        <w:spacing w:line="480" w:lineRule="exact"/>
        <w:jc w:val="center"/>
        <w:rPr>
          <w:rFonts w:hint="eastAsia" w:ascii="方正小标宋简体" w:hAnsi="宋体" w:eastAsia="方正小标宋简体" w:cs="Times New Roman"/>
          <w:bCs/>
          <w:sz w:val="44"/>
          <w:szCs w:val="44"/>
          <w:lang w:eastAsia="zh-CN"/>
        </w:rPr>
      </w:pPr>
      <w:r>
        <w:rPr>
          <w:rFonts w:hint="eastAsia" w:ascii="方正小标宋简体" w:hAnsi="宋体" w:eastAsia="方正小标宋简体" w:cs="Times New Roman"/>
          <w:bCs/>
          <w:sz w:val="44"/>
          <w:szCs w:val="44"/>
          <w:lang w:eastAsia="zh-CN"/>
        </w:rPr>
        <w:t>（征求意见稿）</w:t>
      </w:r>
    </w:p>
    <w:p>
      <w:pPr>
        <w:spacing w:line="480" w:lineRule="exact"/>
        <w:jc w:val="lef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sz w:val="32"/>
          <w:szCs w:val="32"/>
        </w:rPr>
      </w:pPr>
      <w:r>
        <w:rPr>
          <w:rFonts w:hint="eastAsia" w:ascii="仿宋_GB2312" w:eastAsia="仿宋_GB2312"/>
          <w:sz w:val="32"/>
          <w:szCs w:val="32"/>
        </w:rPr>
        <w:t>各区住房城乡建设委（房管局），东城、西城、石景山区住房城市建设委，经济技术开发区综合执法局，机关各处室、各直属单位</w:t>
      </w:r>
      <w:r>
        <w:rPr>
          <w:rFonts w:hint="eastAsia" w:ascii="仿宋_GB2312" w:eastAsia="仿宋_GB2312"/>
          <w:sz w:val="32"/>
          <w:szCs w:val="32"/>
          <w:lang w:eastAsia="zh-CN"/>
        </w:rPr>
        <w:t>，各有关单位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北京市建筑绿色发展条例</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市住房城乡建设委</w:t>
      </w:r>
      <w:r>
        <w:rPr>
          <w:rFonts w:hint="eastAsia" w:ascii="仿宋_GB2312" w:eastAsia="仿宋_GB2312"/>
          <w:sz w:val="32"/>
          <w:szCs w:val="32"/>
          <w:lang w:eastAsia="zh-CN"/>
        </w:rPr>
        <w:t>依法制定了建筑绿色发展相关行政处罚裁量基准，</w:t>
      </w:r>
      <w:r>
        <w:rPr>
          <w:rFonts w:hint="eastAsia" w:ascii="仿宋_GB2312" w:eastAsia="仿宋_GB2312"/>
          <w:sz w:val="32"/>
          <w:szCs w:val="32"/>
        </w:rPr>
        <w:t>调整</w:t>
      </w:r>
      <w:r>
        <w:rPr>
          <w:rFonts w:hint="eastAsia" w:ascii="仿宋_GB2312" w:eastAsia="仿宋_GB2312"/>
          <w:sz w:val="32"/>
          <w:szCs w:val="32"/>
          <w:lang w:eastAsia="zh-CN"/>
        </w:rPr>
        <w:t>原行政处罚裁量基准</w:t>
      </w:r>
      <w:r>
        <w:rPr>
          <w:rFonts w:hint="eastAsia" w:ascii="仿宋_GB2312" w:eastAsia="仿宋_GB2312"/>
          <w:sz w:val="32"/>
          <w:szCs w:val="32"/>
          <w:lang w:val="en-US" w:eastAsia="zh-CN"/>
        </w:rPr>
        <w:t>3</w:t>
      </w:r>
      <w:r>
        <w:rPr>
          <w:rFonts w:hint="eastAsia" w:ascii="仿宋_GB2312" w:eastAsia="仿宋_GB2312"/>
          <w:sz w:val="32"/>
          <w:szCs w:val="32"/>
        </w:rPr>
        <w:t>项，新增</w:t>
      </w:r>
      <w:r>
        <w:rPr>
          <w:rFonts w:hint="eastAsia" w:ascii="仿宋_GB2312" w:eastAsia="仿宋_GB2312"/>
          <w:sz w:val="32"/>
          <w:szCs w:val="32"/>
          <w:lang w:eastAsia="zh-CN"/>
        </w:rPr>
        <w:t>行政处罚裁量基准</w:t>
      </w:r>
      <w:r>
        <w:rPr>
          <w:rFonts w:hint="eastAsia" w:ascii="仿宋_GB2312" w:eastAsia="仿宋_GB2312"/>
          <w:sz w:val="32"/>
          <w:szCs w:val="32"/>
          <w:lang w:val="en-US" w:eastAsia="zh-CN"/>
        </w:rPr>
        <w:t>4</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现印发给你们，请认真贯彻执行。</w:t>
      </w:r>
    </w:p>
    <w:p>
      <w:pPr>
        <w:spacing w:line="540" w:lineRule="exact"/>
        <w:ind w:firstLine="645"/>
        <w:jc w:val="left"/>
        <w:rPr>
          <w:rFonts w:ascii="仿宋_GB2312" w:eastAsia="仿宋_GB2312"/>
          <w:color w:val="000000"/>
          <w:sz w:val="32"/>
          <w:szCs w:val="32"/>
        </w:rPr>
      </w:pPr>
      <w:r>
        <w:rPr>
          <w:rFonts w:hint="eastAsia" w:ascii="仿宋_GB2312" w:eastAsia="仿宋_GB2312"/>
          <w:sz w:val="32"/>
          <w:szCs w:val="32"/>
        </w:rPr>
        <w:t>各单位、各部门要进一步加大行政执法力度，依法严肃查处违法违规行为，不断提高执法水平，在行使行政处罚职权时，全面考量当事人违法行为的事实、性质、情节及危害程度等相关因素，严格按照行政处罚裁量基准执行。</w:t>
      </w:r>
      <w:r>
        <w:rPr>
          <w:rFonts w:hint="eastAsia" w:ascii="仿宋_GB2312" w:eastAsia="仿宋_GB2312"/>
          <w:sz w:val="32"/>
          <w:szCs w:val="32"/>
          <w:lang w:eastAsia="zh-CN"/>
        </w:rPr>
        <w:t>同时，</w:t>
      </w:r>
      <w:r>
        <w:rPr>
          <w:rFonts w:hint="eastAsia" w:ascii="仿宋_GB2312" w:eastAsia="仿宋_GB2312"/>
          <w:sz w:val="32"/>
          <w:szCs w:val="32"/>
        </w:rPr>
        <w:t>根据“谁处罚、谁公示”的原则，作出行政处罚的机关即为该行政处罚信息的公示主体。各公示主体负责受理申请缩短公示期的相关工作。</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本通知自印发之日起施行，《北京市住房城乡建设系统行政处罚裁量基准》</w:t>
      </w:r>
      <w:r>
        <w:rPr>
          <w:rFonts w:hint="eastAsia" w:ascii="仿宋_GB2312" w:eastAsia="仿宋_GB2312"/>
          <w:sz w:val="32"/>
          <w:szCs w:val="32"/>
          <w:lang w:eastAsia="zh-CN"/>
        </w:rPr>
        <w:t>相关内容</w:t>
      </w:r>
      <w:r>
        <w:rPr>
          <w:rFonts w:hint="eastAsia" w:ascii="仿宋_GB2312" w:eastAsia="仿宋_GB2312"/>
          <w:sz w:val="32"/>
          <w:szCs w:val="32"/>
        </w:rPr>
        <w:t>与本通知不一致的部分，以本通知为准。</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p>
    <w:p>
      <w:pPr>
        <w:spacing w:line="580" w:lineRule="exact"/>
        <w:ind w:left="960" w:hanging="960" w:hanging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《北京市建筑绿色发展条例》行政处罚裁量基准</w:t>
      </w:r>
      <w:r>
        <w:rPr>
          <w:rFonts w:hint="eastAsia" w:ascii="仿宋_GB2312" w:hAnsi="Times New Roman" w:eastAsia="仿宋_GB2312" w:cs="Times New Roman"/>
          <w:sz w:val="32"/>
          <w:szCs w:val="32"/>
        </w:rPr>
        <w:t>(根据法律法规新增</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调整</w:t>
      </w:r>
      <w:r>
        <w:rPr>
          <w:rFonts w:hint="eastAsia" w:ascii="仿宋_GB2312" w:hAnsi="Times New Roman" w:eastAsia="仿宋_GB2312" w:cs="Times New Roman"/>
          <w:sz w:val="32"/>
          <w:szCs w:val="32"/>
          <w:lang w:val="en-US" w:eastAsia="zh-CN"/>
        </w:rPr>
        <w:t>7项</w:t>
      </w:r>
      <w:r>
        <w:rPr>
          <w:rFonts w:hint="eastAsia" w:ascii="仿宋_GB2312" w:hAnsi="Times New Roman" w:eastAsia="仿宋_GB2312" w:cs="Times New Roman"/>
          <w:sz w:val="32"/>
          <w:szCs w:val="32"/>
        </w:rPr>
        <w:t>职权)</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firstLine="3520" w:firstLineChars="11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北京市住房和城乡建设委员会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680" w:hanging="1680" w:hangingChars="600"/>
        <w:rPr>
          <w:rFonts w:hint="eastAsia" w:ascii="仿宋_GB2312" w:eastAsia="仿宋_GB2312"/>
          <w:spacing w:val="-20"/>
          <w:kern w:val="32"/>
          <w:sz w:val="32"/>
          <w:szCs w:val="32"/>
        </w:rPr>
      </w:pP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32"/>
          <w:sz w:val="32"/>
          <w:szCs w:val="32"/>
        </w:rPr>
      </w:pPr>
      <w:r>
        <w:rPr>
          <w:rFonts w:hint="eastAsia" w:ascii="仿宋_GB2312" w:eastAsia="仿宋_GB2312"/>
          <w:kern w:val="3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32"/>
          <w:sz w:val="32"/>
          <w:szCs w:val="32"/>
        </w:rPr>
      </w:pPr>
    </w:p>
    <w:p>
      <w:pPr>
        <w:rPr>
          <w:rFonts w:hint="eastAsia" w:ascii="楷体_GB2312" w:hAnsi="楷体_GB2312" w:eastAsia="楷体_GB2312" w:cs="楷体_GB2312"/>
          <w:bCs/>
          <w:kern w:val="0"/>
          <w:sz w:val="36"/>
          <w:szCs w:val="36"/>
          <w:lang w:eastAsia="zh-CN"/>
        </w:rPr>
        <w:sectPr>
          <w:pgSz w:w="11906" w:h="16838"/>
          <w:pgMar w:top="1701" w:right="1474" w:bottom="1701" w:left="1588"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楷体_GB2312" w:hAnsi="楷体_GB2312" w:eastAsia="楷体_GB2312" w:cs="楷体_GB2312"/>
          <w:bCs/>
          <w:kern w:val="0"/>
          <w:sz w:val="36"/>
          <w:szCs w:val="36"/>
          <w:lang w:eastAsia="zh-CN"/>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国标黑体" w:hAnsi="国标黑体" w:eastAsia="国标黑体" w:cs="国标黑体"/>
          <w:bCs/>
          <w:kern w:val="0"/>
          <w:sz w:val="32"/>
          <w:szCs w:val="32"/>
          <w:lang w:eastAsia="zh-CN"/>
        </w:rPr>
      </w:pPr>
      <w:r>
        <w:rPr>
          <w:rFonts w:hint="eastAsia" w:ascii="国标黑体" w:hAnsi="国标黑体" w:eastAsia="国标黑体" w:cs="国标黑体"/>
          <w:bCs/>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《北京市建筑绿色发展条例》行政处罚裁量基准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(根据法</w:t>
      </w:r>
      <w:r>
        <w:rPr>
          <w:rFonts w:hint="eastAsia" w:ascii="方正小标宋简体" w:hAnsi="宋体" w:eastAsia="方正小标宋简体" w:cs="宋体"/>
          <w:bCs/>
          <w:kern w:val="0"/>
          <w:sz w:val="44"/>
          <w:szCs w:val="44"/>
          <w:lang w:eastAsia="zh-CN"/>
        </w:rPr>
        <w:t>规规章</w:t>
      </w:r>
      <w:r>
        <w:rPr>
          <w:rFonts w:hint="eastAsia" w:ascii="方正小标宋简体" w:hAnsi="宋体" w:eastAsia="方正小标宋简体" w:cs="宋体"/>
          <w:bCs/>
          <w:kern w:val="0"/>
          <w:sz w:val="44"/>
          <w:szCs w:val="44"/>
        </w:rPr>
        <w:t>新增、调整</w:t>
      </w:r>
      <w:r>
        <w:rPr>
          <w:rFonts w:hint="eastAsia" w:ascii="方正小标宋简体" w:hAnsi="宋体" w:eastAsia="方正小标宋简体" w:cs="宋体"/>
          <w:bCs/>
          <w:kern w:val="0"/>
          <w:sz w:val="44"/>
          <w:szCs w:val="44"/>
          <w:lang w:val="en-US" w:eastAsia="zh-CN"/>
        </w:rPr>
        <w:t>7项</w:t>
      </w:r>
      <w:r>
        <w:rPr>
          <w:rFonts w:hint="eastAsia" w:ascii="方正小标宋简体" w:hAnsi="宋体" w:eastAsia="方正小标宋简体" w:cs="宋体"/>
          <w:bCs/>
          <w:kern w:val="0"/>
          <w:sz w:val="44"/>
          <w:szCs w:val="44"/>
        </w:rPr>
        <w:t>职权)</w:t>
      </w:r>
    </w:p>
    <w:tbl>
      <w:tblPr>
        <w:tblStyle w:val="6"/>
        <w:tblW w:w="50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69"/>
        <w:gridCol w:w="1000"/>
        <w:gridCol w:w="1387"/>
        <w:gridCol w:w="1263"/>
        <w:gridCol w:w="1300"/>
        <w:gridCol w:w="800"/>
        <w:gridCol w:w="1412"/>
        <w:gridCol w:w="1663"/>
        <w:gridCol w:w="2087"/>
        <w:gridCol w:w="975"/>
        <w:gridCol w:w="925"/>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职权编号</w:t>
            </w:r>
          </w:p>
        </w:tc>
        <w:tc>
          <w:tcPr>
            <w:tcW w:w="48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职权名称</w:t>
            </w:r>
          </w:p>
        </w:tc>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违法行为认定依据</w:t>
            </w:r>
          </w:p>
        </w:tc>
        <w:tc>
          <w:tcPr>
            <w:tcW w:w="4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违法行为处罚依据</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行使层级</w:t>
            </w:r>
          </w:p>
        </w:tc>
        <w:tc>
          <w:tcPr>
            <w:tcW w:w="49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基准编号</w:t>
            </w:r>
          </w:p>
        </w:tc>
        <w:tc>
          <w:tcPr>
            <w:tcW w:w="58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违法情形</w:t>
            </w:r>
          </w:p>
        </w:tc>
        <w:tc>
          <w:tcPr>
            <w:tcW w:w="73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裁量基准</w:t>
            </w:r>
          </w:p>
        </w:tc>
        <w:tc>
          <w:tcPr>
            <w:tcW w:w="34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违法行为分类</w:t>
            </w:r>
          </w:p>
        </w:tc>
        <w:tc>
          <w:tcPr>
            <w:tcW w:w="32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处罚公示期限</w:t>
            </w:r>
          </w:p>
        </w:tc>
        <w:tc>
          <w:tcPr>
            <w:tcW w:w="38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可依申请缩短公示期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blHeader/>
        </w:trPr>
        <w:tc>
          <w:tcPr>
            <w:tcW w:w="129"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6"/>
                <w:szCs w:val="16"/>
                <w:u w:val="none"/>
              </w:rPr>
            </w:pPr>
          </w:p>
        </w:tc>
        <w:tc>
          <w:tcPr>
            <w:tcW w:w="486"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6"/>
                <w:szCs w:val="16"/>
                <w:u w:val="none"/>
              </w:rPr>
            </w:pPr>
          </w:p>
        </w:tc>
        <w:tc>
          <w:tcPr>
            <w:tcW w:w="44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法规依据</w:t>
            </w:r>
          </w:p>
        </w:tc>
        <w:tc>
          <w:tcPr>
            <w:tcW w:w="4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法规依据</w:t>
            </w:r>
          </w:p>
        </w:tc>
        <w:tc>
          <w:tcPr>
            <w:tcW w:w="280"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c>
          <w:tcPr>
            <w:tcW w:w="494" w:type="pct"/>
            <w:vMerge w:val="continue"/>
            <w:tcBorders>
              <w:tl2br w:val="nil"/>
              <w:tr2bl w:val="nil"/>
            </w:tcBorders>
            <w:shd w:val="clear" w:color="auto" w:fill="auto"/>
            <w:vAlign w:val="center"/>
          </w:tcPr>
          <w:p>
            <w:pPr>
              <w:jc w:val="left"/>
              <w:rPr>
                <w:rFonts w:hint="eastAsia" w:ascii="宋体" w:hAnsi="宋体" w:eastAsia="宋体" w:cs="宋体"/>
                <w:b/>
                <w:i w:val="0"/>
                <w:color w:val="000000"/>
                <w:sz w:val="18"/>
                <w:szCs w:val="18"/>
                <w:u w:val="none"/>
              </w:rPr>
            </w:pPr>
          </w:p>
        </w:tc>
        <w:tc>
          <w:tcPr>
            <w:tcW w:w="582"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c>
          <w:tcPr>
            <w:tcW w:w="731" w:type="pct"/>
            <w:vMerge w:val="continue"/>
            <w:tcBorders>
              <w:tl2br w:val="nil"/>
              <w:tr2bl w:val="nil"/>
            </w:tcBorders>
            <w:shd w:val="clear" w:color="auto" w:fill="auto"/>
            <w:vAlign w:val="center"/>
          </w:tcPr>
          <w:p>
            <w:pPr>
              <w:jc w:val="left"/>
              <w:rPr>
                <w:rFonts w:hint="eastAsia" w:ascii="宋体" w:hAnsi="宋体" w:eastAsia="宋体" w:cs="宋体"/>
                <w:b/>
                <w:i w:val="0"/>
                <w:color w:val="000000"/>
                <w:sz w:val="18"/>
                <w:szCs w:val="18"/>
                <w:u w:val="none"/>
              </w:rPr>
            </w:pPr>
          </w:p>
        </w:tc>
        <w:tc>
          <w:tcPr>
            <w:tcW w:w="341"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c>
          <w:tcPr>
            <w:tcW w:w="324"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c>
          <w:tcPr>
            <w:tcW w:w="381" w:type="pct"/>
            <w:vMerge w:val="continue"/>
            <w:tcBorders>
              <w:tl2br w:val="nil"/>
              <w:tr2bl w:val="nil"/>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w:t>
            </w:r>
          </w:p>
        </w:tc>
        <w:tc>
          <w:tcPr>
            <w:tcW w:w="35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w:t>
            </w:r>
          </w:p>
        </w:tc>
        <w:tc>
          <w:tcPr>
            <w:tcW w:w="48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对建设单位使用列入禁止使用目录的技术、工艺、材料和设备的行为进行处罚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《民用建筑节能条例》第十一条第三款</w:t>
            </w:r>
          </w:p>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《北京市建筑绿色发展条例》第十五条第三款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《民用建筑节能条例》第三十七条第（四）项</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《北京市建筑绿色发展条例》第五十三条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C1615900-1</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C1615900T</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C1615900B010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处20万元以上30万元以下的罚款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C1615900B020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处30万元以上40万元以下的罚款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C1615900B030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处40万元以上50万元以下的罚款，由颁发资质证书的部门责令停业整顿，降低资质等级或者吊销资质证书</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严重</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C1616500</w:t>
            </w:r>
          </w:p>
        </w:tc>
        <w:tc>
          <w:tcPr>
            <w:tcW w:w="486"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对施工单位使用列入禁止使用目录的技术、工艺、材料和设备的行为进行处罚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《民用建筑节能条例》第十一条第三款</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《北京市建筑绿色发展条例》第十五条第三款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《民用建筑节能条例》第四十一条第（三）项</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《北京市建筑绿色发展条例》第五十三条</w:t>
            </w:r>
          </w:p>
        </w:tc>
        <w:tc>
          <w:tcPr>
            <w:tcW w:w="280"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C1616500-1</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21"/>
                <w:szCs w:val="21"/>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noWrap/>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C1616500T</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21"/>
                <w:szCs w:val="21"/>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noWrap/>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C1616500A010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未造成事故的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处10万元以上20万元以下的罚款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24个月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29"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35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486"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442"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455"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28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C1616500A020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造成事故的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处20万元罚款，由颁发资质证书的部门责令停业整顿，降低资质等级或者吊销资质证书</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C1675200</w:t>
            </w:r>
          </w:p>
        </w:tc>
        <w:tc>
          <w:tcPr>
            <w:tcW w:w="486"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对建设、施工或者监理单位未按照规定编制绿色专篇的行为进行处罚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《北京市建筑绿色发展条例》第十六条第一款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《北京市建筑绿色发展条例》第五十四条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C1675200-1</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C1675200T</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C1675200B010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处5万元以上7.5万元以下的罚款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C1675200B020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处7.5万元以上10万元以下的罚款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C1675200B030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处10万元罚款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严重</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sz w:val="16"/>
                <w:szCs w:val="16"/>
                <w:u w:val="none"/>
              </w:rPr>
              <w:t>C1675000</w:t>
            </w:r>
          </w:p>
        </w:tc>
        <w:tc>
          <w:tcPr>
            <w:tcW w:w="486"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对建设单位对建设用地规划条件中的建筑绿色发展要求落实情况查验不合格的建筑工程出具竣工验收合格报告的行为进行处罚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《北京市建筑绿色发展条例》第十九条第一款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《北京市建筑绿色发展条例》第五十五条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C1675000-1</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C1675000T</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C1675000A010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责令改正，处工程合同价款百分之2以上百分至3以下的罚款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C1675000A020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责令改正，处工程合同价款百分之3以上百分之4以下罚款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24个月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C1675000A030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责令改正，处工程合同价款百分之4的罚款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严重</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C1674900</w:t>
            </w:r>
          </w:p>
        </w:tc>
        <w:tc>
          <w:tcPr>
            <w:tcW w:w="486"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对建设单位未在房屋建筑质量保证书和使用说明书，或者房地产开发企业未在销售现场、房屋销售合同和验房指南中明示相关内容的行为进行处罚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《北京市建筑绿色发展条例》第二十条</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《北京市建筑绿色发展条例》第五十六条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C1674900-1</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C1674900T</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C1674900B010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处3万元以上4万元以下的罚款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C1674900B020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处4万元以上5万元以下的罚款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8"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8"/>
                <w:szCs w:val="18"/>
                <w:u w:val="none"/>
                <w:lang w:val="en-US" w:eastAsia="zh-CN" w:bidi="ar"/>
              </w:rPr>
              <w:t>C1674900B030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逾期不改正，违法情节严重的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处5万元罚款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严重</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C1620900</w:t>
            </w:r>
          </w:p>
        </w:tc>
        <w:tc>
          <w:tcPr>
            <w:tcW w:w="48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对建筑所有权人或者受托管理人擅自拆改或者损坏与建筑绿色性能相关设备设施的行为进行处罚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《北京市建筑绿色发展条例》第二十四条第一款</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《北京市民用建筑节能管理办法》第三十三条</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《北京市建筑绿色发展条例》第五十七条</w:t>
            </w:r>
          </w:p>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《北京市民用建筑节能管理办法》第四十二条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C1620900-1</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C1620900T</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9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C1620900C000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逾期不改正的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处1000元以上1万元以下罚款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w:t>
            </w:r>
          </w:p>
        </w:tc>
        <w:tc>
          <w:tcPr>
            <w:tcW w:w="35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C1675100</w:t>
            </w:r>
          </w:p>
        </w:tc>
        <w:tc>
          <w:tcPr>
            <w:tcW w:w="486"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对大型公共建筑连续两年用能超过标准约束值百分之八十的，未按照规定实施节能绿色化改造的的行为进行处罚</w:t>
            </w:r>
          </w:p>
        </w:tc>
        <w:tc>
          <w:tcPr>
            <w:tcW w:w="442"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《北京市建筑绿色发展条例》第二十七条第一款</w:t>
            </w:r>
          </w:p>
        </w:tc>
        <w:tc>
          <w:tcPr>
            <w:tcW w:w="455"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《北京市建筑绿色发展条例》第五十九条</w:t>
            </w:r>
          </w:p>
        </w:tc>
        <w:tc>
          <w:tcPr>
            <w:tcW w:w="2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市级,区级</w:t>
            </w: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8"/>
                <w:szCs w:val="18"/>
                <w:u w:val="none"/>
                <w:lang w:val="en-US" w:eastAsia="zh-CN" w:bidi="ar"/>
              </w:rPr>
              <w:t>C1675100-1</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发现违法行为</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责令改正</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000000"/>
                <w:sz w:val="18"/>
                <w:szCs w:val="18"/>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C1675100T</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000000"/>
                <w:sz w:val="18"/>
                <w:szCs w:val="18"/>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C1675100B010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逾期不改正，违法情节较轻的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处3万元以上6.5万元以下罚款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000000"/>
                <w:sz w:val="18"/>
                <w:szCs w:val="18"/>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C1675100B020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逾期不改正，违法情节一般的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处6.5万元以上10万元以下罚款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一般</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9"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350" w:type="pct"/>
            <w:vMerge w:val="continue"/>
            <w:tcBorders>
              <w:tl2br w:val="nil"/>
              <w:tr2bl w:val="nil"/>
            </w:tcBorders>
            <w:shd w:val="clear" w:color="auto" w:fill="auto"/>
            <w:vAlign w:val="center"/>
          </w:tcPr>
          <w:p>
            <w:pPr>
              <w:jc w:val="center"/>
              <w:rPr>
                <w:rFonts w:hint="eastAsia" w:ascii="宋体" w:hAnsi="宋体" w:eastAsia="宋体" w:cs="宋体"/>
                <w:i w:val="0"/>
                <w:color w:val="auto"/>
                <w:sz w:val="16"/>
                <w:szCs w:val="16"/>
                <w:u w:val="none"/>
              </w:rPr>
            </w:pPr>
          </w:p>
        </w:tc>
        <w:tc>
          <w:tcPr>
            <w:tcW w:w="486"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42" w:type="pct"/>
            <w:vMerge w:val="continue"/>
            <w:tcBorders>
              <w:tl2br w:val="nil"/>
              <w:tr2bl w:val="nil"/>
            </w:tcBorders>
            <w:shd w:val="clear" w:color="auto" w:fill="auto"/>
            <w:vAlign w:val="center"/>
          </w:tcPr>
          <w:p>
            <w:pPr>
              <w:jc w:val="left"/>
              <w:rPr>
                <w:rFonts w:hint="eastAsia" w:ascii="宋体" w:hAnsi="宋体" w:eastAsia="宋体" w:cs="宋体"/>
                <w:i w:val="0"/>
                <w:color w:val="auto"/>
                <w:sz w:val="16"/>
                <w:szCs w:val="16"/>
                <w:u w:val="none"/>
              </w:rPr>
            </w:pPr>
          </w:p>
        </w:tc>
        <w:tc>
          <w:tcPr>
            <w:tcW w:w="455" w:type="pct"/>
            <w:vMerge w:val="continue"/>
            <w:tcBorders>
              <w:tl2br w:val="nil"/>
              <w:tr2bl w:val="nil"/>
            </w:tcBorders>
            <w:shd w:val="clear" w:color="auto" w:fill="auto"/>
            <w:vAlign w:val="center"/>
          </w:tcPr>
          <w:p>
            <w:pPr>
              <w:jc w:val="left"/>
              <w:rPr>
                <w:rFonts w:hint="eastAsia" w:ascii="宋体" w:hAnsi="宋体" w:eastAsia="宋体" w:cs="宋体"/>
                <w:i w:val="0"/>
                <w:color w:val="000000"/>
                <w:sz w:val="18"/>
                <w:szCs w:val="18"/>
                <w:u w:val="none"/>
              </w:rPr>
            </w:pPr>
          </w:p>
        </w:tc>
        <w:tc>
          <w:tcPr>
            <w:tcW w:w="280" w:type="pct"/>
            <w:vMerge w:val="continue"/>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p>
        </w:tc>
        <w:tc>
          <w:tcPr>
            <w:tcW w:w="49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C1675100B030</w:t>
            </w:r>
          </w:p>
        </w:tc>
        <w:tc>
          <w:tcPr>
            <w:tcW w:w="582"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逾期不改正，违法情节严重的</w:t>
            </w:r>
          </w:p>
        </w:tc>
        <w:tc>
          <w:tcPr>
            <w:tcW w:w="731"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处10万元罚款</w:t>
            </w:r>
          </w:p>
        </w:tc>
        <w:tc>
          <w:tcPr>
            <w:tcW w:w="3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严重</w:t>
            </w:r>
          </w:p>
        </w:tc>
        <w:tc>
          <w:tcPr>
            <w:tcW w:w="32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12个月</w:t>
            </w:r>
          </w:p>
        </w:tc>
        <w:tc>
          <w:tcPr>
            <w:tcW w:w="38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6个月</w:t>
            </w: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国标黑体">
    <w:altName w:val="方正黑体_GBK"/>
    <w:panose1 w:val="02000500000000000000"/>
    <w:charset w:val="86"/>
    <w:family w:val="auto"/>
    <w:pitch w:val="default"/>
    <w:sig w:usb0="00000000" w:usb1="00000000" w:usb2="00000000" w:usb3="00000000" w:csb0="00060007"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EC"/>
    <w:rsid w:val="000758EC"/>
    <w:rsid w:val="000A0760"/>
    <w:rsid w:val="00260BFD"/>
    <w:rsid w:val="003C2E13"/>
    <w:rsid w:val="004F2623"/>
    <w:rsid w:val="00520BA0"/>
    <w:rsid w:val="00861793"/>
    <w:rsid w:val="00A402FF"/>
    <w:rsid w:val="00C12725"/>
    <w:rsid w:val="00D907DF"/>
    <w:rsid w:val="00DF0CF3"/>
    <w:rsid w:val="17ADA193"/>
    <w:rsid w:val="1EFF563F"/>
    <w:rsid w:val="1FFF2200"/>
    <w:rsid w:val="2FD7B2C1"/>
    <w:rsid w:val="357FB3EA"/>
    <w:rsid w:val="3ED75234"/>
    <w:rsid w:val="3F7D8380"/>
    <w:rsid w:val="4FFB3D0B"/>
    <w:rsid w:val="5F678918"/>
    <w:rsid w:val="65F7CD3F"/>
    <w:rsid w:val="678D7449"/>
    <w:rsid w:val="6BB5EF81"/>
    <w:rsid w:val="6EBFBEB1"/>
    <w:rsid w:val="6F56946F"/>
    <w:rsid w:val="6FEE6A68"/>
    <w:rsid w:val="6FFEBD5F"/>
    <w:rsid w:val="733D182E"/>
    <w:rsid w:val="738C97E2"/>
    <w:rsid w:val="73C7E5F5"/>
    <w:rsid w:val="768FEF01"/>
    <w:rsid w:val="777F2C7B"/>
    <w:rsid w:val="778D9AAF"/>
    <w:rsid w:val="77E5B1C7"/>
    <w:rsid w:val="77FF8B61"/>
    <w:rsid w:val="7DFEFE9E"/>
    <w:rsid w:val="7EFF836B"/>
    <w:rsid w:val="7F0F00C6"/>
    <w:rsid w:val="7F770F85"/>
    <w:rsid w:val="7F7F213F"/>
    <w:rsid w:val="7FDF1E3A"/>
    <w:rsid w:val="7FE731E5"/>
    <w:rsid w:val="7FFAEF3E"/>
    <w:rsid w:val="7FFF3A96"/>
    <w:rsid w:val="8BFDA898"/>
    <w:rsid w:val="8FFDD148"/>
    <w:rsid w:val="9FBAC597"/>
    <w:rsid w:val="AFBE765E"/>
    <w:rsid w:val="B3BF861E"/>
    <w:rsid w:val="B5DF757C"/>
    <w:rsid w:val="BDF7D333"/>
    <w:rsid w:val="BFFFF2CA"/>
    <w:rsid w:val="DBFFBBCF"/>
    <w:rsid w:val="DC3B5EEA"/>
    <w:rsid w:val="E8ED14C2"/>
    <w:rsid w:val="EF7F1A91"/>
    <w:rsid w:val="EF7FC8A2"/>
    <w:rsid w:val="F3FE85DF"/>
    <w:rsid w:val="F68FB4E9"/>
    <w:rsid w:val="FACB6971"/>
    <w:rsid w:val="FBFF9857"/>
    <w:rsid w:val="FC9B0D95"/>
    <w:rsid w:val="FCDCE1F9"/>
    <w:rsid w:val="FDD76829"/>
    <w:rsid w:val="FEFAE5BB"/>
    <w:rsid w:val="FEFE4BCB"/>
    <w:rsid w:val="FFBC24B9"/>
    <w:rsid w:val="FFFFD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uiPriority w:val="99"/>
    <w:pPr>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Words>
  <Characters>401</Characters>
  <Lines>3</Lines>
  <Paragraphs>1</Paragraphs>
  <TotalTime>521</TotalTime>
  <ScaleCrop>false</ScaleCrop>
  <LinksUpToDate>false</LinksUpToDate>
  <CharactersWithSpaces>470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2016-02-07T10:41:00Z</dcterms:created>
  <dc:creator>微软用户</dc:creator>
  <cp:lastModifiedBy>Tsang</cp:lastModifiedBy>
  <cp:lastPrinted>2024-03-13T23:19:00Z</cp:lastPrinted>
  <dcterms:modified xsi:type="dcterms:W3CDTF">2024-03-18T16:31:53Z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