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《北京市体育领域行政违法行为处罚裁量基准（2023年版）》（征求意见稿）的起草说明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outlineLvl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一、起草</w:t>
      </w:r>
      <w:r>
        <w:rPr>
          <w:rFonts w:hint="eastAsia" w:ascii="黑体" w:hAnsi="黑体" w:eastAsia="黑体" w:cs="黑体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28" w:firstLineChars="200"/>
        <w:textAlignment w:val="auto"/>
        <w:rPr>
          <w:rFonts w:hint="eastAsia" w:cs="仿宋_GB2312"/>
          <w:lang w:val="en-US" w:eastAsia="zh-CN"/>
        </w:rPr>
      </w:pPr>
      <w:r>
        <w:rPr>
          <w:rFonts w:hint="eastAsia" w:cs="仿宋_GB2312"/>
          <w:lang w:val="en-US" w:eastAsia="zh-CN"/>
        </w:rPr>
        <w:t>新修订的《中华人民共和国体育法》《体育赛事活动管理办法》于2023年1月1日正式实施。体育领域行政处罚职权有较大变动，为保证法律法规有效贯彻落实，市体育局逐条梳理行政处罚事项，根据工作实际，形成《北京市体育领域行政违法行为处罚裁量基准（2023年版）》（以下简称《基准》</w:t>
      </w:r>
      <w:bookmarkStart w:id="0" w:name="_GoBack"/>
      <w:bookmarkEnd w:id="0"/>
      <w:r>
        <w:rPr>
          <w:rFonts w:hint="eastAsia" w:cs="仿宋_GB231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28" w:firstLineChars="200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eastAsia"/>
        </w:rPr>
      </w:pPr>
      <w:r>
        <w:rPr>
          <w:rFonts w:hint="eastAsia" w:cs="仿宋_GB2312"/>
          <w:lang w:val="en-US" w:eastAsia="zh-CN"/>
        </w:rPr>
        <w:t>按照国家和本市相关要求，为进一步提高执法效能，提升执法水平，确保执法有据、程序合法、结果合理。北京市体育局认真研究新修订法律法规，逐条梳理现有行政处罚事项，结合工作实际，在《北京市体育领域行政违法行为处罚裁量基准（2020年版）》基础上，经多次征求相关方意见后，起草了本《基准》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outlineLvl w:val="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default"/>
          <w:lang w:val="en" w:eastAsia="zh-CN"/>
        </w:rPr>
      </w:pPr>
      <w:r>
        <w:rPr>
          <w:rFonts w:hint="eastAsia" w:hAnsi="黑体"/>
          <w:sz w:val="32"/>
          <w:szCs w:val="32"/>
          <w:lang w:eastAsia="zh-CN"/>
        </w:rPr>
        <w:t>本</w:t>
      </w:r>
      <w:r>
        <w:rPr>
          <w:rFonts w:ascii="仿宋_GB2312" w:hAnsi="黑体" w:eastAsia="仿宋_GB2312"/>
          <w:sz w:val="32"/>
          <w:szCs w:val="32"/>
        </w:rPr>
        <w:t>《</w:t>
      </w:r>
      <w:r>
        <w:rPr>
          <w:rFonts w:hint="eastAsia" w:ascii="仿宋_GB2312" w:hAnsi="黑体" w:eastAsia="仿宋_GB2312"/>
          <w:sz w:val="32"/>
          <w:szCs w:val="32"/>
        </w:rPr>
        <w:t>基准</w:t>
      </w:r>
      <w:r>
        <w:rPr>
          <w:rFonts w:ascii="仿宋_GB2312" w:hAnsi="黑体" w:eastAsia="仿宋_GB2312"/>
          <w:sz w:val="32"/>
          <w:szCs w:val="32"/>
        </w:rPr>
        <w:t>》</w:t>
      </w:r>
      <w:r>
        <w:rPr>
          <w:rFonts w:hint="eastAsia" w:ascii="仿宋_GB2312" w:hAnsi="黑体" w:eastAsia="仿宋_GB2312"/>
          <w:sz w:val="32"/>
          <w:szCs w:val="32"/>
        </w:rPr>
        <w:t>有</w:t>
      </w:r>
      <w:r>
        <w:rPr>
          <w:rFonts w:ascii="仿宋_GB2312" w:hAnsi="黑体" w:eastAsia="仿宋_GB2312"/>
          <w:sz w:val="32"/>
          <w:szCs w:val="32"/>
        </w:rPr>
        <w:t>三大部分，第一部分总则，主要介绍</w:t>
      </w:r>
      <w:r>
        <w:rPr>
          <w:rFonts w:hint="eastAsia" w:ascii="仿宋_GB2312" w:hAnsi="黑体" w:eastAsia="仿宋_GB2312"/>
          <w:sz w:val="32"/>
          <w:szCs w:val="32"/>
        </w:rPr>
        <w:t>《基准》修订</w:t>
      </w:r>
      <w:r>
        <w:rPr>
          <w:rFonts w:ascii="仿宋_GB2312" w:hAnsi="黑体" w:eastAsia="仿宋_GB2312"/>
          <w:sz w:val="32"/>
          <w:szCs w:val="32"/>
        </w:rPr>
        <w:t>的目的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ascii="仿宋_GB2312" w:hAnsi="黑体" w:eastAsia="仿宋_GB2312"/>
          <w:sz w:val="32"/>
          <w:szCs w:val="32"/>
        </w:rPr>
        <w:t>适用范围、实施主体、裁量档次设定依据等；第二部</w:t>
      </w:r>
      <w:r>
        <w:rPr>
          <w:rFonts w:hint="eastAsia" w:ascii="仿宋_GB2312" w:hAnsi="黑体" w:eastAsia="仿宋_GB2312"/>
          <w:sz w:val="32"/>
          <w:szCs w:val="32"/>
        </w:rPr>
        <w:t>违法</w:t>
      </w:r>
      <w:r>
        <w:rPr>
          <w:rFonts w:ascii="仿宋_GB2312" w:hAnsi="黑体" w:eastAsia="仿宋_GB2312"/>
          <w:sz w:val="32"/>
          <w:szCs w:val="32"/>
        </w:rPr>
        <w:t>行为裁量</w:t>
      </w:r>
      <w:r>
        <w:rPr>
          <w:rFonts w:hint="eastAsia" w:ascii="仿宋_GB2312" w:hAnsi="黑体" w:eastAsia="仿宋_GB2312"/>
          <w:sz w:val="32"/>
          <w:szCs w:val="32"/>
        </w:rPr>
        <w:t>档次，共</w:t>
      </w:r>
      <w:r>
        <w:rPr>
          <w:rFonts w:hint="eastAsia" w:hAnsi="黑体"/>
          <w:sz w:val="32"/>
          <w:szCs w:val="32"/>
          <w:lang w:val="en-US" w:eastAsia="zh-CN"/>
        </w:rPr>
        <w:t>6</w:t>
      </w:r>
      <w:r>
        <w:rPr>
          <w:rFonts w:ascii="仿宋_GB2312" w:hAnsi="黑体" w:eastAsia="仿宋_GB2312"/>
          <w:sz w:val="32"/>
          <w:szCs w:val="32"/>
        </w:rPr>
        <w:t>节，主要分为体育赛事部分</w:t>
      </w:r>
      <w:r>
        <w:rPr>
          <w:rFonts w:hint="eastAsia" w:ascii="仿宋_GB2312" w:hAnsi="黑体" w:eastAsia="仿宋_GB2312"/>
          <w:sz w:val="32"/>
          <w:szCs w:val="32"/>
        </w:rPr>
        <w:t>（</w:t>
      </w:r>
      <w:r>
        <w:rPr>
          <w:rFonts w:hint="eastAsia" w:hAnsi="黑体"/>
          <w:sz w:val="32"/>
          <w:szCs w:val="32"/>
          <w:lang w:val="en-US" w:eastAsia="zh-CN"/>
        </w:rPr>
        <w:t>11</w:t>
      </w:r>
      <w:r>
        <w:rPr>
          <w:rFonts w:hint="eastAsia" w:ascii="仿宋_GB2312" w:hAnsi="黑体" w:eastAsia="仿宋_GB2312"/>
          <w:sz w:val="32"/>
          <w:szCs w:val="32"/>
        </w:rPr>
        <w:t>项）</w:t>
      </w:r>
      <w:r>
        <w:rPr>
          <w:rFonts w:ascii="仿宋_GB2312" w:hAnsi="黑体" w:eastAsia="仿宋_GB2312"/>
          <w:sz w:val="32"/>
          <w:szCs w:val="32"/>
        </w:rPr>
        <w:t>、公共文化体育设施部分（</w:t>
      </w:r>
      <w:r>
        <w:rPr>
          <w:rFonts w:hint="eastAsia" w:hAnsi="黑体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项</w:t>
      </w:r>
      <w:r>
        <w:rPr>
          <w:rFonts w:ascii="仿宋_GB2312" w:hAnsi="黑体" w:eastAsia="仿宋_GB2312"/>
          <w:sz w:val="32"/>
          <w:szCs w:val="32"/>
        </w:rPr>
        <w:t>）</w:t>
      </w:r>
      <w:r>
        <w:rPr>
          <w:rFonts w:hint="eastAsia" w:hAnsi="黑体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体育</w:t>
      </w:r>
      <w:r>
        <w:rPr>
          <w:rFonts w:ascii="仿宋_GB2312" w:hAnsi="黑体" w:eastAsia="仿宋_GB2312"/>
          <w:sz w:val="32"/>
          <w:szCs w:val="32"/>
        </w:rPr>
        <w:t>运动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经营</w:t>
      </w:r>
      <w:r>
        <w:rPr>
          <w:rFonts w:hint="eastAsia" w:hAnsi="黑体"/>
          <w:sz w:val="32"/>
          <w:szCs w:val="32"/>
          <w:lang w:eastAsia="zh-CN"/>
        </w:rPr>
        <w:t>单位</w:t>
      </w:r>
      <w:r>
        <w:rPr>
          <w:rFonts w:ascii="仿宋_GB2312" w:hAnsi="黑体" w:eastAsia="仿宋_GB2312"/>
          <w:sz w:val="32"/>
          <w:szCs w:val="32"/>
        </w:rPr>
        <w:t>部分（</w:t>
      </w:r>
      <w:r>
        <w:rPr>
          <w:rFonts w:hint="eastAsia" w:hAnsi="黑体"/>
          <w:sz w:val="32"/>
          <w:szCs w:val="32"/>
          <w:lang w:val="en-US" w:eastAsia="zh-CN"/>
        </w:rPr>
        <w:t>12</w:t>
      </w:r>
      <w:r>
        <w:rPr>
          <w:rFonts w:hint="eastAsia" w:ascii="仿宋_GB2312" w:hAnsi="黑体" w:eastAsia="仿宋_GB2312"/>
          <w:sz w:val="32"/>
          <w:szCs w:val="32"/>
        </w:rPr>
        <w:t>项</w:t>
      </w:r>
      <w:r>
        <w:rPr>
          <w:rFonts w:ascii="仿宋_GB2312" w:hAnsi="黑体" w:eastAsia="仿宋_GB2312"/>
          <w:sz w:val="32"/>
          <w:szCs w:val="32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hint="eastAsia" w:hAnsi="黑体"/>
          <w:sz w:val="32"/>
          <w:szCs w:val="32"/>
          <w:lang w:eastAsia="zh-CN"/>
        </w:rPr>
        <w:t>《</w:t>
      </w:r>
      <w:r>
        <w:rPr>
          <w:rFonts w:hint="eastAsia" w:ascii="仿宋_GB2312" w:hAnsi="黑体" w:eastAsia="仿宋_GB2312"/>
          <w:sz w:val="32"/>
          <w:szCs w:val="32"/>
        </w:rPr>
        <w:t>北京市单用途预付卡管理条例》部分</w:t>
      </w:r>
      <w:r>
        <w:rPr>
          <w:rFonts w:ascii="仿宋_GB2312" w:hAnsi="黑体" w:eastAsia="仿宋_GB2312"/>
          <w:sz w:val="32"/>
          <w:szCs w:val="32"/>
        </w:rPr>
        <w:t>（</w:t>
      </w:r>
      <w:r>
        <w:rPr>
          <w:rFonts w:hint="eastAsia" w:hAnsi="黑体"/>
          <w:sz w:val="32"/>
          <w:szCs w:val="32"/>
          <w:lang w:val="en-US" w:eastAsia="zh-CN"/>
        </w:rPr>
        <w:t>10</w:t>
      </w:r>
      <w:r>
        <w:rPr>
          <w:rFonts w:hint="eastAsia" w:ascii="仿宋_GB2312" w:hAnsi="黑体" w:eastAsia="仿宋_GB2312"/>
          <w:sz w:val="32"/>
          <w:szCs w:val="32"/>
        </w:rPr>
        <w:t>项</w:t>
      </w:r>
      <w:r>
        <w:rPr>
          <w:rFonts w:ascii="仿宋_GB2312" w:hAnsi="黑体" w:eastAsia="仿宋_GB2312"/>
          <w:sz w:val="32"/>
          <w:szCs w:val="32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ascii="仿宋_GB2312" w:hAnsi="黑体" w:eastAsia="仿宋_GB2312"/>
          <w:sz w:val="32"/>
          <w:szCs w:val="32"/>
        </w:rPr>
        <w:t>体育彩票管理部分（</w:t>
      </w:r>
      <w:r>
        <w:rPr>
          <w:rFonts w:hint="eastAsia" w:ascii="仿宋_GB2312" w:hAnsi="黑体" w:eastAsia="仿宋_GB2312"/>
          <w:sz w:val="32"/>
          <w:szCs w:val="32"/>
        </w:rPr>
        <w:t>5项</w:t>
      </w:r>
      <w:r>
        <w:rPr>
          <w:rFonts w:ascii="仿宋_GB2312" w:hAnsi="黑体" w:eastAsia="仿宋_GB2312"/>
          <w:sz w:val="32"/>
          <w:szCs w:val="32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</w:t>
      </w:r>
      <w:r>
        <w:rPr>
          <w:rFonts w:ascii="仿宋_GB2312" w:hAnsi="黑体" w:eastAsia="仿宋_GB2312"/>
          <w:sz w:val="32"/>
          <w:szCs w:val="32"/>
        </w:rPr>
        <w:t>反兴奋剂部分（</w:t>
      </w:r>
      <w:r>
        <w:rPr>
          <w:rFonts w:hint="eastAsia" w:hAnsi="黑体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项</w:t>
      </w:r>
      <w:r>
        <w:rPr>
          <w:rFonts w:ascii="仿宋_GB2312" w:hAnsi="黑体" w:eastAsia="仿宋_GB2312"/>
          <w:sz w:val="32"/>
          <w:szCs w:val="32"/>
        </w:rPr>
        <w:t>）；第三部分</w:t>
      </w:r>
      <w:r>
        <w:rPr>
          <w:rFonts w:hint="eastAsia" w:ascii="仿宋_GB2312" w:hAnsi="黑体" w:eastAsia="仿宋_GB2312"/>
          <w:sz w:val="32"/>
          <w:szCs w:val="32"/>
        </w:rPr>
        <w:t>实施</w:t>
      </w:r>
      <w:r>
        <w:rPr>
          <w:rFonts w:ascii="仿宋_GB2312" w:hAnsi="黑体" w:eastAsia="仿宋_GB2312"/>
          <w:sz w:val="32"/>
          <w:szCs w:val="32"/>
        </w:rPr>
        <w:t>裁量基准制度的要求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right="0" w:rightChars="0" w:firstLine="628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四、新旧政策差异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textAlignment w:val="auto"/>
        <w:rPr>
          <w:rFonts w:hint="default" w:hAnsi="黑体"/>
          <w:sz w:val="32"/>
          <w:szCs w:val="32"/>
          <w:lang w:val="en-US" w:eastAsia="zh-CN"/>
        </w:rPr>
      </w:pPr>
      <w:r>
        <w:rPr>
          <w:rFonts w:hint="eastAsia" w:hAnsi="黑体"/>
          <w:sz w:val="32"/>
          <w:szCs w:val="32"/>
          <w:lang w:val="en-US" w:eastAsia="zh-CN"/>
        </w:rPr>
        <w:t>进一步创新行政执法方式，全面推广轻微违法免罚和初次违法慎罚制度，本《基准》新增不予处罚事项39项。同时，综合考虑违法行为的性质、情节以及危害程度，对违法情节“较轻”“一般”“严重”的情形进一步明确、细化，努力做到宽严相济、法理相融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right="0" w:rightChars="0" w:firstLine="628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五、关键词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8" w:firstLineChars="200"/>
        <w:textAlignment w:val="auto"/>
        <w:outlineLvl w:val="0"/>
      </w:pPr>
      <w:r>
        <w:rPr>
          <w:rFonts w:hint="eastAsia"/>
          <w:lang w:val="en-US" w:eastAsia="zh-CN"/>
        </w:rPr>
        <w:t>裁量基准</w:t>
      </w:r>
    </w:p>
    <w:sectPr>
      <w:headerReference r:id="rId5" w:type="default"/>
      <w:footerReference r:id="rId6" w:type="default"/>
      <w:pgSz w:w="11906" w:h="16838"/>
      <w:pgMar w:top="1928" w:right="1474" w:bottom="1928" w:left="1587" w:header="851" w:footer="850" w:gutter="0"/>
      <w:pgNumType w:fmt="numberInDash"/>
      <w:cols w:space="720" w:num="1"/>
      <w:docGrid w:type="linesAndChars" w:linePitch="579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8"/>
      </w:pPr>
      <w:r>
        <w:separator/>
      </w:r>
    </w:p>
  </w:endnote>
  <w:endnote w:type="continuationSeparator" w:id="1">
    <w:p>
      <w:pPr>
        <w:spacing w:line="240" w:lineRule="auto"/>
        <w:ind w:firstLine="6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right="11"/>
      <w:jc w:val="right"/>
      <w:rPr>
        <w:rFonts w:hint="eastAsia" w:ascii="Cambria Math" w:eastAsia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0" w:leftChars="0"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0" w:leftChars="0"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28"/>
      </w:pPr>
      <w:r>
        <w:separator/>
      </w:r>
    </w:p>
  </w:footnote>
  <w:footnote w:type="continuationSeparator" w:id="1">
    <w:p>
      <w:pPr>
        <w:spacing w:line="240" w:lineRule="auto"/>
        <w:ind w:firstLine="62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MzE1OTA4YzgxZDhkMDc2MmYwNGYwMWY2YjM2YzgifQ=="/>
  </w:docVars>
  <w:rsids>
    <w:rsidRoot w:val="1DFF5543"/>
    <w:rsid w:val="01267DF5"/>
    <w:rsid w:val="1DFF5543"/>
    <w:rsid w:val="28C622C7"/>
    <w:rsid w:val="3AE22474"/>
    <w:rsid w:val="4B636FC8"/>
    <w:rsid w:val="50686D47"/>
    <w:rsid w:val="506A484E"/>
    <w:rsid w:val="51AB25FA"/>
    <w:rsid w:val="537FD374"/>
    <w:rsid w:val="55A81864"/>
    <w:rsid w:val="58AF402A"/>
    <w:rsid w:val="7DDF670F"/>
    <w:rsid w:val="7F892710"/>
    <w:rsid w:val="DFBF7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68" w:firstLineChars="200"/>
      <w:jc w:val="both"/>
    </w:pPr>
    <w:rPr>
      <w:rFonts w:ascii="仿宋_GB2312" w:hAnsi="仿宋_GB2312" w:eastAsia="仿宋_GB2312" w:cs="仿宋_GB2312"/>
      <w:spacing w:val="-6"/>
      <w:kern w:val="2"/>
      <w:sz w:val="32"/>
      <w:szCs w:val="32"/>
      <w:lang w:val="en-US" w:eastAsia="zh-CN" w:bidi="he-IL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after="330" w:afterLines="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索引 1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  <w:szCs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2023-10-23T21:08:00Z</dcterms:created>
  <dc:creator>tyj</dc:creator>
  <cp:lastModifiedBy>rw</cp:lastModifiedBy>
  <dcterms:modified xsi:type="dcterms:W3CDTF">2023-10-25T07:11:21Z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866E375F9799469ABFD2AC7B5CD2B31B_13</vt:lpwstr>
  </property>
</Properties>
</file>