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</w:p>
    <w:p>
      <w:pPr>
        <w:spacing w:line="560" w:lineRule="exact"/>
        <w:ind w:left="-2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关于《北京市生态环境行政处罚裁量</w:t>
      </w:r>
    </w:p>
    <w:p>
      <w:pPr>
        <w:spacing w:line="560" w:lineRule="exact"/>
        <w:ind w:left="-2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基准（202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年版）》的解读材料</w:t>
      </w:r>
    </w:p>
    <w:p>
      <w:pPr>
        <w:tabs>
          <w:tab w:val="left" w:pos="4100"/>
        </w:tabs>
        <w:adjustRightInd w:val="0"/>
        <w:snapToGrid w:val="0"/>
        <w:spacing w:line="56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tabs>
          <w:tab w:val="left" w:pos="4100"/>
        </w:tabs>
        <w:adjustRightInd w:val="0"/>
        <w:snapToGrid w:val="0"/>
        <w:spacing w:line="640" w:lineRule="exact"/>
        <w:ind w:firstLine="720" w:firstLineChars="200"/>
        <w:rPr>
          <w:rFonts w:ascii="黑体" w:hAnsi="Times New Roman" w:eastAsia="黑体" w:cs="Times New Roman"/>
          <w:kern w:val="0"/>
          <w:sz w:val="36"/>
          <w:szCs w:val="36"/>
        </w:rPr>
      </w:pPr>
      <w:r>
        <w:rPr>
          <w:rFonts w:hint="eastAsia" w:ascii="黑体" w:hAnsi="Times New Roman" w:eastAsia="黑体" w:cs="黑体"/>
          <w:kern w:val="0"/>
          <w:sz w:val="36"/>
          <w:szCs w:val="36"/>
        </w:rPr>
        <w:t>一、制定背景</w:t>
      </w:r>
    </w:p>
    <w:p>
      <w:pPr>
        <w:tabs>
          <w:tab w:val="left" w:pos="4100"/>
        </w:tabs>
        <w:adjustRightInd w:val="0"/>
        <w:snapToGrid w:val="0"/>
        <w:spacing w:line="640" w:lineRule="exact"/>
        <w:ind w:firstLine="720" w:firstLineChars="200"/>
        <w:rPr>
          <w:rFonts w:ascii="仿宋_GB2312" w:hAnsi="Times New Roman" w:eastAsia="仿宋_GB2312" w:cs="仿宋_GB2312"/>
          <w:kern w:val="0"/>
          <w:sz w:val="36"/>
          <w:szCs w:val="36"/>
        </w:rPr>
      </w:pP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一是因《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生态环境行政处罚办法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》于202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年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月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日施行，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其中规定的从轻或减轻处罚的情形与现有自由裁量基准规定不一致，需进行调整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。</w:t>
      </w:r>
    </w:p>
    <w:p>
      <w:pPr>
        <w:tabs>
          <w:tab w:val="left" w:pos="4100"/>
        </w:tabs>
        <w:adjustRightInd w:val="0"/>
        <w:snapToGrid w:val="0"/>
        <w:spacing w:line="640" w:lineRule="exact"/>
        <w:ind w:firstLine="720" w:firstLineChars="200"/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二是北京市推进依法行政工作领导小组办公室《关于进一步规范行政裁量权基准制定和管理工作的实施意见》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要求，各市级部门要进一步健全完善本行业、本领域现有行政处罚裁量权基准。</w:t>
      </w:r>
    </w:p>
    <w:p>
      <w:pPr>
        <w:tabs>
          <w:tab w:val="left" w:pos="4100"/>
        </w:tabs>
        <w:adjustRightInd w:val="0"/>
        <w:snapToGrid w:val="0"/>
        <w:spacing w:line="640" w:lineRule="exact"/>
        <w:ind w:firstLine="720" w:firstLineChars="200"/>
        <w:rPr>
          <w:rFonts w:hint="eastAsia" w:ascii="仿宋_GB2312" w:hAnsi="Times New Roman" w:eastAsia="仿宋_GB2312" w:cs="仿宋_GB2312"/>
          <w:kern w:val="0"/>
          <w:sz w:val="36"/>
          <w:szCs w:val="36"/>
        </w:rPr>
      </w:pP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三是《北京市生态环境行政处罚裁量基准（2022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年修订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版）》发布后，对于执行过程中可能存在歧义的地方，进行了调整和明确。</w:t>
      </w:r>
      <w:bookmarkStart w:id="0" w:name="_GoBack"/>
      <w:bookmarkEnd w:id="0"/>
    </w:p>
    <w:p>
      <w:pPr>
        <w:tabs>
          <w:tab w:val="left" w:pos="4100"/>
        </w:tabs>
        <w:adjustRightInd w:val="0"/>
        <w:snapToGrid w:val="0"/>
        <w:spacing w:line="640" w:lineRule="exact"/>
        <w:ind w:firstLine="720" w:firstLineChars="200"/>
        <w:rPr>
          <w:rFonts w:ascii="黑体" w:hAnsi="Times New Roman" w:eastAsia="黑体" w:cs="Times New Roman"/>
          <w:kern w:val="0"/>
          <w:sz w:val="36"/>
          <w:szCs w:val="36"/>
        </w:rPr>
      </w:pPr>
      <w:r>
        <w:rPr>
          <w:rFonts w:hint="eastAsia" w:ascii="黑体" w:hAnsi="Times New Roman" w:eastAsia="黑体" w:cs="黑体"/>
          <w:kern w:val="0"/>
          <w:sz w:val="36"/>
          <w:szCs w:val="36"/>
        </w:rPr>
        <w:t>二、目标任务</w:t>
      </w:r>
    </w:p>
    <w:p>
      <w:pPr>
        <w:tabs>
          <w:tab w:val="left" w:pos="4100"/>
        </w:tabs>
        <w:adjustRightInd w:val="0"/>
        <w:snapToGrid w:val="0"/>
        <w:spacing w:line="640" w:lineRule="exact"/>
        <w:ind w:firstLine="720" w:firstLineChars="200"/>
        <w:rPr>
          <w:rFonts w:ascii="仿宋_GB2312" w:hAnsi="Times New Roman" w:eastAsia="仿宋_GB2312" w:cs="仿宋_GB2312"/>
          <w:kern w:val="0"/>
          <w:sz w:val="36"/>
          <w:szCs w:val="36"/>
        </w:rPr>
      </w:pP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从制度上规范行政处罚行为，在执法中实现合法性和合理性的和谐统一，做到公平公正、过罚相当、处罚与教育相结合。</w:t>
      </w:r>
    </w:p>
    <w:p>
      <w:pPr>
        <w:tabs>
          <w:tab w:val="left" w:pos="4100"/>
        </w:tabs>
        <w:adjustRightInd w:val="0"/>
        <w:snapToGrid w:val="0"/>
        <w:spacing w:line="640" w:lineRule="exact"/>
        <w:ind w:firstLine="720" w:firstLineChars="200"/>
        <w:rPr>
          <w:rFonts w:ascii="黑体" w:hAnsi="Times New Roman" w:eastAsia="黑体" w:cs="Times New Roman"/>
          <w:kern w:val="0"/>
          <w:sz w:val="36"/>
          <w:szCs w:val="36"/>
        </w:rPr>
      </w:pPr>
      <w:r>
        <w:rPr>
          <w:rFonts w:hint="eastAsia" w:ascii="黑体" w:hAnsi="Times New Roman" w:eastAsia="黑体" w:cs="黑体"/>
          <w:kern w:val="0"/>
          <w:sz w:val="36"/>
          <w:szCs w:val="36"/>
        </w:rPr>
        <w:t>三、主要内容</w:t>
      </w:r>
    </w:p>
    <w:p>
      <w:pPr>
        <w:spacing w:line="640" w:lineRule="exact"/>
        <w:ind w:firstLine="720" w:firstLineChars="200"/>
        <w:rPr>
          <w:rFonts w:ascii="仿宋_GB2312" w:hAnsi="Times New Roman" w:eastAsia="仿宋_GB2312" w:cs="仿宋_GB2312"/>
          <w:kern w:val="0"/>
          <w:sz w:val="36"/>
          <w:szCs w:val="36"/>
        </w:rPr>
      </w:pP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本次主要对总则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部分从轻或减轻处罚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情形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、不予处罚的情形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进行修订，并对行政处罚裁量权基准表第二部分、第三部分进行修改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，新增通用裁量表。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720" w:firstLineChars="200"/>
        <w:rPr>
          <w:rFonts w:ascii="楷体_GB2312" w:eastAsia="楷体_GB2312" w:cs="宋体"/>
          <w:kern w:val="0"/>
          <w:sz w:val="36"/>
          <w:szCs w:val="36"/>
        </w:rPr>
      </w:pPr>
      <w:r>
        <w:rPr>
          <w:rFonts w:hint="eastAsia" w:ascii="楷体_GB2312" w:eastAsia="楷体_GB2312" w:cs="宋体"/>
          <w:kern w:val="0"/>
          <w:sz w:val="36"/>
          <w:szCs w:val="36"/>
        </w:rPr>
        <w:t>对总则部分</w:t>
      </w:r>
      <w:r>
        <w:rPr>
          <w:rFonts w:hint="eastAsia" w:ascii="楷体_GB2312" w:eastAsia="楷体_GB2312" w:cs="宋体"/>
          <w:kern w:val="0"/>
          <w:sz w:val="36"/>
          <w:szCs w:val="36"/>
          <w:lang w:eastAsia="zh-CN"/>
        </w:rPr>
        <w:t>从轻或减轻处罚的</w:t>
      </w:r>
      <w:r>
        <w:rPr>
          <w:rFonts w:hint="eastAsia" w:ascii="楷体_GB2312" w:eastAsia="楷体_GB2312" w:cs="宋体"/>
          <w:kern w:val="0"/>
          <w:sz w:val="36"/>
          <w:szCs w:val="36"/>
        </w:rPr>
        <w:t>情形进行修订</w:t>
      </w:r>
      <w:r>
        <w:rPr>
          <w:rFonts w:hint="eastAsia" w:ascii="楷体_GB2312" w:eastAsia="楷体_GB2312" w:cs="宋体"/>
          <w:kern w:val="0"/>
          <w:sz w:val="36"/>
          <w:szCs w:val="36"/>
          <w:lang w:eastAsia="zh-CN"/>
        </w:rPr>
        <w:t>，由原有的</w:t>
      </w:r>
      <w:r>
        <w:rPr>
          <w:rFonts w:hint="eastAsia" w:ascii="楷体_GB2312" w:eastAsia="楷体_GB2312" w:cs="宋体"/>
          <w:kern w:val="0"/>
          <w:sz w:val="36"/>
          <w:szCs w:val="36"/>
          <w:lang w:val="en-US" w:eastAsia="zh-CN"/>
        </w:rPr>
        <w:t>4种情形调整为5种情形，主动承担</w:t>
      </w:r>
      <w:r>
        <w:rPr>
          <w:rFonts w:hint="eastAsia" w:ascii="楷体_GB2312" w:eastAsia="楷体_GB2312" w:cs="宋体"/>
          <w:kern w:val="0"/>
          <w:sz w:val="36"/>
          <w:szCs w:val="36"/>
        </w:rPr>
        <w:t>生态环境损害赔偿义务的，</w:t>
      </w:r>
      <w:r>
        <w:rPr>
          <w:rFonts w:hint="eastAsia" w:ascii="楷体_GB2312" w:eastAsia="楷体_GB2312" w:cs="宋体"/>
          <w:kern w:val="0"/>
          <w:sz w:val="36"/>
          <w:szCs w:val="36"/>
          <w:lang w:eastAsia="zh-CN"/>
        </w:rPr>
        <w:t>仍然</w:t>
      </w:r>
      <w:r>
        <w:rPr>
          <w:rFonts w:hint="eastAsia" w:ascii="楷体_GB2312" w:eastAsia="楷体_GB2312" w:cs="宋体"/>
          <w:kern w:val="0"/>
          <w:sz w:val="36"/>
          <w:szCs w:val="36"/>
        </w:rPr>
        <w:t>作为从轻、减轻或免予处理的情节。</w:t>
      </w:r>
    </w:p>
    <w:p>
      <w:pPr>
        <w:numPr>
          <w:ilvl w:val="-1"/>
          <w:numId w:val="0"/>
        </w:numPr>
        <w:adjustRightInd w:val="0"/>
        <w:snapToGrid w:val="0"/>
        <w:spacing w:line="640" w:lineRule="exact"/>
        <w:ind w:firstLine="0" w:firstLineChars="0"/>
        <w:rPr>
          <w:rFonts w:hint="eastAsia" w:ascii="仿宋_GB2312" w:hAnsi="Times New Roman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</w:rPr>
        <w:t>应当从轻或者减轻处罚的情形</w:t>
      </w:r>
      <w:r>
        <w:rPr>
          <w:rFonts w:hint="eastAsia" w:ascii="仿宋_GB2312" w:hAnsi="Times New Roman" w:eastAsia="仿宋_GB2312" w:cs="仿宋_GB2312"/>
          <w:kern w:val="0"/>
          <w:sz w:val="36"/>
          <w:szCs w:val="36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1．主动消除或者减轻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生态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环境违法行为危害后果的；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2．受他人胁迫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或者诱骗实施生态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环境违法行为的；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  <w:t>3. 主动供述生态环境主管部门尚未掌握的生态环境违法行为的；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．配合生态环境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主管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部门查处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生态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环境违法行为有立功表现的；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 w:hAnsiTheme="minorHAnsi"/>
          <w:color w:val="000000" w:themeColor="text1"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．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法律、法规、规章规定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其他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应当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从轻或者减轻行政处罚的。</w:t>
      </w:r>
    </w:p>
    <w:p>
      <w:pPr>
        <w:numPr>
          <w:ilvl w:val="0"/>
          <w:numId w:val="2"/>
        </w:numPr>
        <w:adjustRightInd w:val="0"/>
        <w:snapToGrid w:val="0"/>
        <w:spacing w:line="640" w:lineRule="exact"/>
        <w:ind w:firstLine="720" w:firstLineChars="200"/>
        <w:rPr>
          <w:rFonts w:ascii="楷体_GB2312" w:hAnsi="Times New Roman" w:eastAsia="楷体_GB2312" w:cs="仿宋_GB2312"/>
          <w:color w:val="000000" w:themeColor="text1"/>
          <w:kern w:val="0"/>
          <w:sz w:val="36"/>
          <w:szCs w:val="36"/>
        </w:rPr>
      </w:pPr>
      <w:r>
        <w:rPr>
          <w:rFonts w:hint="eastAsia" w:ascii="楷体_GB2312" w:hAnsi="Times New Roman" w:eastAsia="楷体_GB2312" w:cs="仿宋_GB2312"/>
          <w:color w:val="000000" w:themeColor="text1"/>
          <w:kern w:val="0"/>
          <w:sz w:val="36"/>
          <w:szCs w:val="36"/>
          <w:lang w:eastAsia="zh-CN"/>
        </w:rPr>
        <w:t>对总则部分不予处罚的情形进行调整，因《北京市生态环境领域不予行政处罚事项清单》已明确了具体情形，故删除原列举式表述，改为概括式表述。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不予处罚的情形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1.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列入《北京市生态环境领域不予行政处罚事项清单》中的违法行为，其中的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整改日期起算点除有特殊规定外，均为执法人员现场检查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次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日。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  <w:t>2.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未列入《北京市生态环境领域不予行政处罚事项清单》，但符合《行政处罚法》第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  <w:t>33条、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《生态环境行政处罚办法》第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val="en-US" w:eastAsia="zh-CN"/>
        </w:rPr>
        <w:t>42条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规定的，从其规定。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720" w:firstLineChars="200"/>
        <w:rPr>
          <w:rFonts w:hint="eastAsia" w:ascii="仿宋_GB2312" w:eastAsia="仿宋_GB2312" w:cs="宋体" w:hAnsiTheme="minorHAnsi"/>
          <w:color w:val="000000" w:themeColor="text1"/>
          <w:kern w:val="0"/>
          <w:sz w:val="36"/>
          <w:szCs w:val="36"/>
        </w:rPr>
      </w:pP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对当事人的违法行为依法不予行政处罚的，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  <w:lang w:eastAsia="zh-CN"/>
        </w:rPr>
        <w:t>生态环境主管部门</w:t>
      </w:r>
      <w:r>
        <w:rPr>
          <w:rFonts w:hint="eastAsia" w:ascii="仿宋_GB2312" w:eastAsia="仿宋_GB2312" w:cs="宋体"/>
          <w:color w:val="000000" w:themeColor="text1"/>
          <w:kern w:val="0"/>
          <w:sz w:val="36"/>
          <w:szCs w:val="36"/>
        </w:rPr>
        <w:t>应当对当事人采取签订承诺书等方式进行教育、引导。</w:t>
      </w:r>
    </w:p>
    <w:p>
      <w:pPr>
        <w:adjustRightInd w:val="0"/>
        <w:snapToGrid w:val="0"/>
        <w:spacing w:line="640" w:lineRule="exact"/>
        <w:ind w:firstLine="720" w:firstLineChars="200"/>
        <w:rPr>
          <w:rFonts w:ascii="楷体_GB2312" w:hAnsi="Times New Roman" w:eastAsia="楷体_GB2312" w:cs="仿宋_GB2312"/>
          <w:kern w:val="0"/>
          <w:sz w:val="36"/>
          <w:szCs w:val="36"/>
        </w:rPr>
      </w:pPr>
      <w:r>
        <w:rPr>
          <w:rFonts w:hint="eastAsia" w:ascii="楷体_GB2312" w:eastAsia="楷体_GB2312" w:cs="宋体"/>
          <w:kern w:val="0"/>
          <w:sz w:val="36"/>
          <w:szCs w:val="36"/>
        </w:rPr>
        <w:t>（三）</w:t>
      </w:r>
      <w:r>
        <w:rPr>
          <w:rFonts w:hint="eastAsia" w:ascii="楷体_GB2312" w:eastAsia="楷体_GB2312" w:cs="宋体"/>
          <w:kern w:val="0"/>
          <w:sz w:val="36"/>
          <w:szCs w:val="36"/>
          <w:lang w:eastAsia="zh-CN"/>
        </w:rPr>
        <w:t>新增</w:t>
      </w:r>
      <w:r>
        <w:rPr>
          <w:rFonts w:hint="eastAsia" w:ascii="楷体_GB2312" w:hAnsi="Times New Roman" w:eastAsia="楷体_GB2312" w:cs="仿宋_GB2312"/>
          <w:kern w:val="0"/>
          <w:sz w:val="36"/>
          <w:szCs w:val="36"/>
        </w:rPr>
        <w:t>第</w:t>
      </w:r>
      <w:r>
        <w:rPr>
          <w:rFonts w:hint="eastAsia" w:ascii="楷体_GB2312" w:hAnsi="Times New Roman" w:eastAsia="楷体_GB2312" w:cs="仿宋_GB2312"/>
          <w:kern w:val="0"/>
          <w:sz w:val="36"/>
          <w:szCs w:val="36"/>
          <w:lang w:eastAsia="zh-CN"/>
        </w:rPr>
        <w:t>一</w:t>
      </w:r>
      <w:r>
        <w:rPr>
          <w:rFonts w:hint="eastAsia" w:ascii="楷体_GB2312" w:hAnsi="Times New Roman" w:eastAsia="楷体_GB2312" w:cs="仿宋_GB2312"/>
          <w:kern w:val="0"/>
          <w:sz w:val="36"/>
          <w:szCs w:val="36"/>
        </w:rPr>
        <w:t>部分表（</w:t>
      </w:r>
      <w:r>
        <w:rPr>
          <w:rFonts w:hint="eastAsia" w:ascii="楷体_GB2312" w:hAnsi="Times New Roman" w:eastAsia="楷体_GB2312" w:cs="仿宋_GB2312"/>
          <w:kern w:val="0"/>
          <w:sz w:val="36"/>
          <w:szCs w:val="36"/>
          <w:lang w:eastAsia="zh-CN"/>
        </w:rPr>
        <w:t>三</w:t>
      </w:r>
      <w:r>
        <w:rPr>
          <w:rFonts w:hint="eastAsia" w:ascii="楷体_GB2312" w:hAnsi="Times New Roman" w:eastAsia="楷体_GB2312" w:cs="仿宋_GB2312"/>
          <w:kern w:val="0"/>
          <w:sz w:val="36"/>
          <w:szCs w:val="36"/>
        </w:rPr>
        <w:t>）</w:t>
      </w:r>
    </w:p>
    <w:p>
      <w:pPr>
        <w:widowControl/>
        <w:spacing w:line="640" w:lineRule="exact"/>
        <w:ind w:firstLine="720" w:firstLineChars="200"/>
        <w:jc w:val="left"/>
        <w:rPr>
          <w:rFonts w:hint="eastAsia" w:ascii="仿宋_GB2312" w:eastAsia="仿宋_GB2312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6"/>
          <w:szCs w:val="36"/>
        </w:rPr>
        <w:t>对“</w:t>
      </w:r>
      <w:r>
        <w:rPr>
          <w:rFonts w:hint="eastAsia" w:ascii="仿宋_GB2312" w:eastAsia="仿宋_GB2312" w:cs="宋体" w:hAnsiTheme="minorHAnsi"/>
          <w:kern w:val="0"/>
          <w:sz w:val="36"/>
          <w:szCs w:val="36"/>
          <w:lang w:eastAsia="zh-CN"/>
        </w:rPr>
        <w:t>在环境保护设施验收中</w:t>
      </w:r>
      <w:r>
        <w:rPr>
          <w:rFonts w:hint="eastAsia" w:ascii="仿宋_GB2312" w:eastAsia="仿宋_GB2312" w:cs="宋体" w:hAnsiTheme="minorHAnsi"/>
          <w:kern w:val="0"/>
          <w:sz w:val="36"/>
          <w:szCs w:val="36"/>
        </w:rPr>
        <w:t>弄虚作假</w:t>
      </w:r>
      <w:r>
        <w:rPr>
          <w:rFonts w:hint="eastAsia" w:ascii="仿宋_GB2312" w:eastAsia="仿宋_GB2312" w:cs="宋体"/>
          <w:kern w:val="0"/>
          <w:sz w:val="36"/>
          <w:szCs w:val="36"/>
        </w:rPr>
        <w:t>”</w:t>
      </w:r>
      <w:r>
        <w:rPr>
          <w:rFonts w:hint="eastAsia" w:ascii="仿宋_GB2312" w:eastAsia="仿宋_GB2312" w:cs="宋体"/>
          <w:kern w:val="0"/>
          <w:sz w:val="36"/>
          <w:szCs w:val="36"/>
          <w:lang w:eastAsia="zh-CN"/>
        </w:rPr>
        <w:t>违法行为，根据报告表项目与报告书项目，结合不同弄虚作假的情形，确定裁量幅度</w:t>
      </w:r>
      <w:r>
        <w:rPr>
          <w:rFonts w:hint="eastAsia" w:ascii="仿宋_GB2312" w:eastAsia="仿宋_GB2312" w:cs="宋体"/>
          <w:kern w:val="0"/>
          <w:sz w:val="36"/>
          <w:szCs w:val="36"/>
        </w:rPr>
        <w:t>。</w:t>
      </w:r>
    </w:p>
    <w:p>
      <w:pPr>
        <w:widowControl/>
        <w:spacing w:line="640" w:lineRule="exact"/>
        <w:ind w:firstLine="720" w:firstLineChars="200"/>
        <w:jc w:val="left"/>
        <w:rPr>
          <w:rFonts w:ascii="楷体_GB2312" w:eastAsia="楷体_GB2312" w:cs="宋体"/>
          <w:kern w:val="0"/>
          <w:sz w:val="36"/>
          <w:szCs w:val="36"/>
        </w:rPr>
      </w:pPr>
      <w:r>
        <w:rPr>
          <w:rFonts w:hint="eastAsia" w:ascii="楷体_GB2312" w:eastAsia="楷体_GB2312" w:cs="宋体"/>
          <w:kern w:val="0"/>
          <w:sz w:val="36"/>
          <w:szCs w:val="36"/>
        </w:rPr>
        <w:t>（四）</w:t>
      </w:r>
      <w:r>
        <w:rPr>
          <w:rFonts w:hint="eastAsia" w:ascii="楷体_GB2312" w:eastAsia="楷体_GB2312" w:cs="宋体"/>
          <w:kern w:val="0"/>
          <w:sz w:val="36"/>
          <w:szCs w:val="36"/>
          <w:lang w:eastAsia="zh-CN"/>
        </w:rPr>
        <w:t>调整第三部分表（十二）、（十六）和（二十一）</w:t>
      </w:r>
    </w:p>
    <w:p>
      <w:pPr>
        <w:widowControl/>
        <w:spacing w:line="640" w:lineRule="exact"/>
        <w:ind w:firstLine="720" w:firstLineChars="200"/>
        <w:jc w:val="left"/>
        <w:rPr>
          <w:rFonts w:hint="eastAsia" w:ascii="仿宋_GB2312" w:eastAsia="仿宋_GB2312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6"/>
          <w:szCs w:val="36"/>
          <w:lang w:eastAsia="zh-CN"/>
        </w:rPr>
        <w:t>表（十二）中加油站不符合在线监控管理规定，结合标准调整了部分表述，结合执法实际将原</w:t>
      </w:r>
      <w:r>
        <w:rPr>
          <w:rFonts w:hint="eastAsia" w:ascii="仿宋_GB2312" w:eastAsia="仿宋_GB2312" w:cs="宋体"/>
          <w:bCs w:val="0"/>
          <w:kern w:val="0"/>
          <w:sz w:val="36"/>
          <w:szCs w:val="36"/>
        </w:rPr>
        <w:t>数据丢失、重复和错误记录比例大于</w:t>
      </w:r>
      <w:r>
        <w:rPr>
          <w:rFonts w:hint="eastAsia" w:ascii="仿宋_GB2312" w:eastAsia="仿宋_GB2312" w:cs="宋体"/>
          <w:bCs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 w:cs="宋体"/>
          <w:bCs w:val="0"/>
          <w:kern w:val="0"/>
          <w:sz w:val="36"/>
          <w:szCs w:val="36"/>
        </w:rPr>
        <w:t xml:space="preserve">% </w:t>
      </w:r>
      <w:r>
        <w:rPr>
          <w:rFonts w:hint="eastAsia" w:ascii="仿宋_GB2312" w:eastAsia="仿宋_GB2312" w:cs="宋体"/>
          <w:bCs w:val="0"/>
          <w:kern w:val="0"/>
          <w:sz w:val="36"/>
          <w:szCs w:val="36"/>
          <w:lang w:eastAsia="zh-CN"/>
        </w:rPr>
        <w:t>调整为大于</w:t>
      </w:r>
      <w:r>
        <w:rPr>
          <w:rFonts w:hint="eastAsia" w:ascii="仿宋_GB2312" w:eastAsia="仿宋_GB2312" w:cs="宋体"/>
          <w:bCs w:val="0"/>
          <w:kern w:val="0"/>
          <w:sz w:val="36"/>
          <w:szCs w:val="36"/>
          <w:lang w:val="en-US" w:eastAsia="zh-CN"/>
        </w:rPr>
        <w:t>10</w:t>
      </w:r>
      <w:r>
        <w:rPr>
          <w:rFonts w:hint="eastAsia" w:ascii="仿宋_GB2312" w:eastAsia="仿宋_GB2312" w:cs="宋体"/>
          <w:bCs w:val="0"/>
          <w:kern w:val="0"/>
          <w:sz w:val="36"/>
          <w:szCs w:val="36"/>
        </w:rPr>
        <w:t>%</w:t>
      </w:r>
      <w:r>
        <w:rPr>
          <w:rFonts w:hint="eastAsia" w:ascii="仿宋_GB2312" w:eastAsia="仿宋_GB2312" w:cs="宋体"/>
          <w:kern w:val="0"/>
          <w:sz w:val="36"/>
          <w:szCs w:val="36"/>
        </w:rPr>
        <w:t>。</w:t>
      </w:r>
    </w:p>
    <w:p>
      <w:pPr>
        <w:widowControl/>
        <w:spacing w:line="640" w:lineRule="exact"/>
        <w:ind w:firstLine="720" w:firstLineChars="200"/>
        <w:jc w:val="left"/>
        <w:rPr>
          <w:rFonts w:hint="eastAsia" w:ascii="仿宋_GB2312" w:eastAsia="仿宋_GB2312" w:cs="宋体"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 w:cs="宋体"/>
          <w:kern w:val="0"/>
          <w:sz w:val="36"/>
          <w:szCs w:val="36"/>
          <w:lang w:eastAsia="zh-CN"/>
        </w:rPr>
        <w:t>将原表（十六）中</w:t>
      </w:r>
      <w:r>
        <w:rPr>
          <w:rFonts w:hint="eastAsia" w:ascii="仿宋_GB2312" w:eastAsia="仿宋_GB2312" w:cs="宋体" w:hAnsiTheme="minorHAnsi"/>
          <w:kern w:val="0"/>
          <w:sz w:val="36"/>
          <w:szCs w:val="36"/>
        </w:rPr>
        <w:t>禁止使用高排放非道路移动机械</w:t>
      </w:r>
      <w:r>
        <w:rPr>
          <w:rFonts w:hint="eastAsia" w:ascii="仿宋_GB2312" w:eastAsia="仿宋_GB2312" w:cs="宋体"/>
          <w:kern w:val="0"/>
          <w:sz w:val="36"/>
          <w:szCs w:val="36"/>
          <w:lang w:eastAsia="zh-CN"/>
        </w:rPr>
        <w:t>管理规定的自由裁量内容单列，细化裁量幅度，调整为表（十七）。</w:t>
      </w:r>
    </w:p>
    <w:p>
      <w:pPr>
        <w:widowControl/>
        <w:spacing w:line="640" w:lineRule="exact"/>
        <w:ind w:firstLine="720" w:firstLineChars="200"/>
        <w:jc w:val="left"/>
        <w:rPr>
          <w:rFonts w:hint="eastAsia" w:ascii="仿宋_GB2312" w:eastAsia="仿宋_GB2312" w:cs="宋体"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 w:cs="宋体" w:hAnsiTheme="minorHAnsi"/>
          <w:kern w:val="0"/>
          <w:sz w:val="36"/>
          <w:szCs w:val="36"/>
          <w:lang w:eastAsia="zh-CN"/>
        </w:rPr>
        <w:t>将原表（二十一）</w:t>
      </w:r>
      <w:r>
        <w:rPr>
          <w:rFonts w:hint="eastAsia" w:ascii="仿宋_GB2312" w:eastAsia="仿宋_GB2312" w:cs="宋体" w:hAnsiTheme="minorHAnsi"/>
          <w:kern w:val="0"/>
          <w:sz w:val="36"/>
          <w:szCs w:val="36"/>
        </w:rPr>
        <w:t>重点行业违反机动车排放污染防治责任制度</w:t>
      </w:r>
      <w:r>
        <w:rPr>
          <w:rFonts w:hint="eastAsia" w:ascii="仿宋_GB2312" w:eastAsia="仿宋_GB2312" w:cs="宋体" w:hAnsiTheme="minorHAnsi"/>
          <w:kern w:val="0"/>
          <w:sz w:val="36"/>
          <w:szCs w:val="36"/>
          <w:lang w:eastAsia="zh-CN"/>
        </w:rPr>
        <w:t>，结合执法实践进一步细化，调整为表（二十二）。</w:t>
      </w:r>
    </w:p>
    <w:p>
      <w:pPr>
        <w:widowControl/>
        <w:numPr>
          <w:ilvl w:val="0"/>
          <w:numId w:val="3"/>
        </w:numPr>
        <w:spacing w:line="640" w:lineRule="exact"/>
        <w:ind w:firstLine="720" w:firstLineChars="200"/>
        <w:jc w:val="left"/>
        <w:rPr>
          <w:rFonts w:hint="eastAsia" w:ascii="楷体_GB2312" w:hAnsi="Times New Roman" w:eastAsia="楷体_GB2312" w:cs="仿宋_GB2312"/>
          <w:kern w:val="0"/>
          <w:sz w:val="36"/>
          <w:szCs w:val="36"/>
        </w:rPr>
      </w:pPr>
      <w:r>
        <w:rPr>
          <w:rFonts w:hint="eastAsia" w:ascii="楷体_GB2312" w:eastAsia="楷体_GB2312" w:cs="宋体"/>
          <w:kern w:val="0"/>
          <w:sz w:val="36"/>
          <w:szCs w:val="36"/>
          <w:lang w:eastAsia="zh-CN"/>
        </w:rPr>
        <w:t>新增通用裁量表</w:t>
      </w:r>
    </w:p>
    <w:p>
      <w:pPr>
        <w:spacing w:line="640" w:lineRule="exact"/>
        <w:ind w:firstLine="720" w:firstLineChars="200"/>
        <w:jc w:val="left"/>
        <w:rPr>
          <w:rFonts w:hint="eastAsia" w:ascii="仿宋_GB2312" w:eastAsia="仿宋_GB2312" w:cs="宋体" w:hAnsiTheme="minorHAnsi"/>
          <w:kern w:val="0"/>
          <w:sz w:val="36"/>
          <w:szCs w:val="36"/>
        </w:rPr>
      </w:pPr>
      <w:r>
        <w:rPr>
          <w:rFonts w:hint="eastAsia" w:ascii="楷体_GB2312" w:hAnsi="Times New Roman" w:eastAsia="楷体_GB2312" w:cs="仿宋_GB2312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 w:cs="宋体" w:hAnsiTheme="minorHAnsi"/>
          <w:kern w:val="0"/>
          <w:sz w:val="36"/>
          <w:szCs w:val="36"/>
          <w:lang w:val="en-US" w:eastAsia="zh-CN"/>
        </w:rPr>
        <w:t>对于</w:t>
      </w:r>
      <w:r>
        <w:rPr>
          <w:rFonts w:hint="eastAsia" w:ascii="仿宋_GB2312" w:eastAsia="仿宋_GB2312" w:cs="宋体" w:hAnsiTheme="minorHAnsi"/>
          <w:kern w:val="0"/>
          <w:sz w:val="36"/>
          <w:szCs w:val="36"/>
        </w:rPr>
        <w:t>行政处罚裁量权基准表</w:t>
      </w:r>
      <w:r>
        <w:rPr>
          <w:rFonts w:hint="eastAsia" w:ascii="仿宋_GB2312" w:eastAsia="仿宋_GB2312" w:cs="宋体" w:hAnsiTheme="minorHAnsi"/>
          <w:kern w:val="0"/>
          <w:sz w:val="36"/>
          <w:szCs w:val="36"/>
          <w:lang w:eastAsia="zh-CN"/>
        </w:rPr>
        <w:t>前九部分未列明自由裁量的情形，新增通用裁量表，明确裁量要素、判定标准和计算方法。</w:t>
      </w:r>
    </w:p>
    <w:p>
      <w:pPr>
        <w:spacing w:line="640" w:lineRule="exact"/>
        <w:ind w:firstLine="720" w:firstLineChars="200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9EC35"/>
    <w:multiLevelType w:val="singleLevel"/>
    <w:tmpl w:val="DF79EC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7CA78A"/>
    <w:multiLevelType w:val="singleLevel"/>
    <w:tmpl w:val="077CA78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EDA1CB2"/>
    <w:multiLevelType w:val="singleLevel"/>
    <w:tmpl w:val="1EDA1CB2"/>
    <w:lvl w:ilvl="0" w:tentative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3BD"/>
    <w:rsid w:val="00023192"/>
    <w:rsid w:val="000853BD"/>
    <w:rsid w:val="000B6588"/>
    <w:rsid w:val="000C24CB"/>
    <w:rsid w:val="00100446"/>
    <w:rsid w:val="0019776E"/>
    <w:rsid w:val="001F27E6"/>
    <w:rsid w:val="001F7FE7"/>
    <w:rsid w:val="00204564"/>
    <w:rsid w:val="00265C00"/>
    <w:rsid w:val="002E14FC"/>
    <w:rsid w:val="002F3237"/>
    <w:rsid w:val="003818CC"/>
    <w:rsid w:val="003A6B88"/>
    <w:rsid w:val="00417ECD"/>
    <w:rsid w:val="004368C3"/>
    <w:rsid w:val="00445090"/>
    <w:rsid w:val="00450DE8"/>
    <w:rsid w:val="0050708B"/>
    <w:rsid w:val="005070A4"/>
    <w:rsid w:val="006026CB"/>
    <w:rsid w:val="006C1354"/>
    <w:rsid w:val="00725E7C"/>
    <w:rsid w:val="007362FE"/>
    <w:rsid w:val="007B04CF"/>
    <w:rsid w:val="007B42E6"/>
    <w:rsid w:val="009228B9"/>
    <w:rsid w:val="0095083F"/>
    <w:rsid w:val="00993C12"/>
    <w:rsid w:val="009C667C"/>
    <w:rsid w:val="00A735A8"/>
    <w:rsid w:val="00AE174E"/>
    <w:rsid w:val="00AF5710"/>
    <w:rsid w:val="00BF4390"/>
    <w:rsid w:val="00BF6678"/>
    <w:rsid w:val="00C53841"/>
    <w:rsid w:val="00C60880"/>
    <w:rsid w:val="00C86B89"/>
    <w:rsid w:val="00CF0D32"/>
    <w:rsid w:val="00D3796F"/>
    <w:rsid w:val="00D60CD4"/>
    <w:rsid w:val="00E00DCE"/>
    <w:rsid w:val="00E66215"/>
    <w:rsid w:val="00E762C4"/>
    <w:rsid w:val="00F04228"/>
    <w:rsid w:val="00F74DCD"/>
    <w:rsid w:val="03D50307"/>
    <w:rsid w:val="04413A5F"/>
    <w:rsid w:val="172C7378"/>
    <w:rsid w:val="21AB2622"/>
    <w:rsid w:val="24C16E7A"/>
    <w:rsid w:val="2D3B5474"/>
    <w:rsid w:val="2F2C7203"/>
    <w:rsid w:val="37F46534"/>
    <w:rsid w:val="3B683F72"/>
    <w:rsid w:val="4BF93FFA"/>
    <w:rsid w:val="4D8011BC"/>
    <w:rsid w:val="50E46BA4"/>
    <w:rsid w:val="52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3"/>
    <w:qFormat/>
    <w:uiPriority w:val="0"/>
    <w:pPr>
      <w:spacing w:line="480" w:lineRule="exact"/>
      <w:ind w:firstLine="645"/>
    </w:pPr>
    <w:rPr>
      <w:rFonts w:ascii="黑体" w:hAnsi="Times New Roman" w:eastAsia="黑体" w:cs="Times New Roman"/>
      <w:sz w:val="32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3"/>
    <w:qFormat/>
    <w:uiPriority w:val="0"/>
    <w:rPr>
      <w:rFonts w:ascii="黑体" w:hAnsi="Times New Roman" w:eastAsia="黑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326</Words>
  <Characters>1859</Characters>
  <Lines>15</Lines>
  <Paragraphs>4</Paragraphs>
  <TotalTime>23</TotalTime>
  <ScaleCrop>false</ScaleCrop>
  <LinksUpToDate>false</LinksUpToDate>
  <CharactersWithSpaces>2181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2022-06-07T00:58:00Z</dcterms:created>
  <dc:creator>易琨</dc:creator>
  <cp:lastModifiedBy>www</cp:lastModifiedBy>
  <dcterms:modified xsi:type="dcterms:W3CDTF">2023-10-08T02:38:08Z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