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北京经济技术开发区202</w:t>
      </w:r>
      <w:r>
        <w:rPr>
          <w:rFonts w:ascii="方正小标宋简体" w:hAnsi="宋体" w:eastAsia="方正小标宋简体"/>
          <w:color w:val="000000" w:themeColor="text1"/>
          <w:sz w:val="44"/>
          <w:szCs w:val="44"/>
          <w14:textFill>
            <w14:solidFill>
              <w14:schemeClr w14:val="tx1"/>
            </w14:solidFill>
          </w14:textFill>
        </w:rPr>
        <w:t>3</w:t>
      </w:r>
      <w:r>
        <w:rPr>
          <w:rFonts w:hint="eastAsia" w:ascii="方正小标宋简体" w:hAnsi="宋体" w:eastAsia="方正小标宋简体"/>
          <w:color w:val="000000" w:themeColor="text1"/>
          <w:sz w:val="44"/>
          <w:szCs w:val="44"/>
          <w14:textFill>
            <w14:solidFill>
              <w14:schemeClr w14:val="tx1"/>
            </w14:solidFill>
          </w14:textFill>
        </w:rPr>
        <w:t>年度</w:t>
      </w:r>
    </w:p>
    <w:p>
      <w:pPr>
        <w:jc w:val="center"/>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000000" w:themeColor="text1"/>
          <w:sz w:val="44"/>
          <w:szCs w:val="44"/>
          <w14:textFill>
            <w14:solidFill>
              <w14:schemeClr w14:val="tx1"/>
            </w14:solidFill>
          </w14:textFill>
        </w:rPr>
        <w:t>绿色发展资金支持政策</w:t>
      </w:r>
      <w:r>
        <w:rPr>
          <w:rFonts w:hint="eastAsia" w:ascii="方正小标宋简体" w:hAnsi="宋体" w:eastAsia="方正小标宋简体"/>
          <w:color w:val="auto"/>
          <w:sz w:val="44"/>
          <w:szCs w:val="44"/>
          <w:lang w:eastAsia="zh-CN"/>
        </w:rPr>
        <w:t>（征求意见稿）</w:t>
      </w:r>
    </w:p>
    <w:p>
      <w:pPr>
        <w:pStyle w:val="3"/>
        <w:spacing w:before="156" w:beforeLines="50" w:after="156" w:afterLines="50"/>
        <w:ind w:firstLine="0"/>
        <w:jc w:val="center"/>
        <w:rPr>
          <w:rFonts w:hint="eastAsia"/>
          <w:b w:val="0"/>
          <w:bCs/>
        </w:rPr>
      </w:pPr>
    </w:p>
    <w:p>
      <w:pPr>
        <w:pStyle w:val="3"/>
        <w:spacing w:before="156" w:beforeLines="50" w:after="156" w:afterLines="50"/>
        <w:ind w:firstLine="0"/>
        <w:jc w:val="center"/>
        <w:rPr>
          <w:b w:val="0"/>
          <w:bCs/>
        </w:rPr>
      </w:pPr>
      <w:r>
        <w:rPr>
          <w:rFonts w:hint="eastAsia"/>
          <w:b w:val="0"/>
          <w:bCs/>
        </w:rPr>
        <w:t>第一章 总则</w:t>
      </w:r>
    </w:p>
    <w:p>
      <w:bookmarkStart w:id="0" w:name="_Hlk122863263"/>
      <w:r>
        <w:rPr>
          <w:rFonts w:hint="eastAsia"/>
        </w:rPr>
        <w:t>为践行绿色低碳循环发展理念，深入推进生态文明建设，促进北京经济技术开发区（以下简称“经开区”）污染减排和节能降碳，持续推进“无废城市”建设，发展绿色建筑，</w:t>
      </w:r>
      <w:bookmarkEnd w:id="0"/>
      <w:r>
        <w:rPr>
          <w:rFonts w:hint="eastAsia"/>
        </w:rPr>
        <w:t>加快推动碳达峰碳中和工作，建设宜居宜业绿色新城，结合年度重点工作，特制定本政策。</w:t>
      </w:r>
    </w:p>
    <w:p>
      <w:pPr>
        <w:ind w:firstLine="640" w:firstLineChars="200"/>
        <w:rPr>
          <w:rFonts w:ascii="仿宋_GB2312" w:hAnsi="华文仿宋"/>
          <w:color w:val="000000"/>
          <w:szCs w:val="32"/>
        </w:rPr>
      </w:pPr>
      <w:r>
        <w:rPr>
          <w:rFonts w:hint="eastAsia" w:ascii="仿宋_GB2312" w:hAnsi="宋体" w:cs="宋体"/>
          <w:color w:val="000000"/>
          <w:szCs w:val="32"/>
        </w:rPr>
        <w:t>所有申报主体应</w:t>
      </w:r>
      <w:r>
        <w:rPr>
          <w:rFonts w:hint="eastAsia" w:ascii="仿宋_GB2312" w:hAnsi="宋体" w:cs="宋体"/>
          <w:color w:val="000000"/>
          <w:szCs w:val="32"/>
          <w:lang w:eastAsia="zh-CN"/>
        </w:rPr>
        <w:t>在政策规定的适用范围内</w:t>
      </w:r>
      <w:r>
        <w:rPr>
          <w:rFonts w:hint="eastAsia" w:ascii="仿宋_GB2312" w:hAnsi="宋体" w:cs="宋体"/>
          <w:color w:val="000000"/>
          <w:szCs w:val="32"/>
        </w:rPr>
        <w:t>依法注册、纳税、入统</w:t>
      </w:r>
      <w:r>
        <w:rPr>
          <w:rFonts w:hint="eastAsia" w:ascii="仿宋_GB2312" w:hAnsi="宋体" w:cs="宋体"/>
          <w:color w:val="000000"/>
          <w:szCs w:val="32"/>
          <w:lang w:eastAsia="zh-CN"/>
        </w:rPr>
        <w:t>，</w:t>
      </w:r>
      <w:r>
        <w:rPr>
          <w:rFonts w:hint="eastAsia" w:ascii="仿宋_GB2312" w:hAnsi="宋体" w:cs="宋体"/>
          <w:color w:val="000000"/>
          <w:szCs w:val="32"/>
        </w:rPr>
        <w:t>近三年无重大行政处罚记录、</w:t>
      </w:r>
      <w:r>
        <w:rPr>
          <w:rFonts w:hint="eastAsia" w:ascii="Calibri" w:hAnsi="Calibri" w:cs="Times New Roman"/>
          <w:szCs w:val="24"/>
        </w:rPr>
        <w:t>刑事犯罪</w:t>
      </w:r>
      <w:r>
        <w:rPr>
          <w:rFonts w:hint="eastAsia" w:ascii="仿宋_GB2312" w:hAnsi="宋体" w:cs="宋体"/>
          <w:color w:val="000000"/>
          <w:szCs w:val="32"/>
        </w:rPr>
        <w:t>记录、重大生产安全事故和突发环境事件，未列入严重违法失信主体名单。本政策属于事后奖励，</w:t>
      </w:r>
      <w:r>
        <w:rPr>
          <w:rFonts w:hint="eastAsia" w:ascii="仿宋_GB2312" w:hAnsi="华文仿宋"/>
          <w:color w:val="000000"/>
          <w:szCs w:val="32"/>
        </w:rPr>
        <w:t>申报项目</w:t>
      </w:r>
      <w:r>
        <w:rPr>
          <w:rFonts w:hint="eastAsia" w:ascii="仿宋_GB2312" w:hAnsi="宋体" w:cs="宋体"/>
          <w:color w:val="000000"/>
          <w:szCs w:val="32"/>
        </w:rPr>
        <w:t>工程</w:t>
      </w:r>
      <w:r>
        <w:rPr>
          <w:rFonts w:hint="eastAsia" w:ascii="仿宋_GB2312" w:hAnsi="华文仿宋"/>
          <w:color w:val="000000"/>
          <w:szCs w:val="32"/>
        </w:rPr>
        <w:t>进度原则上须已实施完成，含税实际支付金额达到含税项目总投资的</w:t>
      </w:r>
      <w:r>
        <w:rPr>
          <w:rFonts w:ascii="仿宋_GB2312" w:hAnsi="华文仿宋"/>
          <w:color w:val="000000"/>
          <w:szCs w:val="32"/>
        </w:rPr>
        <w:t>90%（含）以上。</w:t>
      </w:r>
    </w:p>
    <w:p>
      <w:pPr>
        <w:pStyle w:val="3"/>
        <w:spacing w:before="156" w:beforeLines="50" w:after="156" w:afterLines="50"/>
        <w:ind w:firstLine="0"/>
        <w:jc w:val="center"/>
        <w:rPr>
          <w:b w:val="0"/>
          <w:bCs/>
        </w:rPr>
      </w:pPr>
      <w:r>
        <w:rPr>
          <w:rFonts w:hint="eastAsia"/>
          <w:b w:val="0"/>
          <w:bCs/>
        </w:rPr>
        <w:t>第二章 支持内容</w:t>
      </w:r>
    </w:p>
    <w:p>
      <w:r>
        <w:rPr>
          <w:rFonts w:hint="eastAsia"/>
        </w:rPr>
        <w:t>本政策以生态环境保护和节能降碳为主要目标，以实际效果为导向，发挥财政资金引导作用，确保财政资金使用效益，重点支持污染防治、节能降碳、绿色建筑三大类项目。</w:t>
      </w:r>
    </w:p>
    <w:p>
      <w:pPr>
        <w:ind w:firstLine="630"/>
        <w:rPr>
          <w:rFonts w:ascii="楷体_GB2312" w:eastAsia="楷体_GB2312"/>
          <w:b/>
          <w:bCs/>
          <w:szCs w:val="32"/>
        </w:rPr>
      </w:pPr>
      <w:r>
        <w:rPr>
          <w:rFonts w:hint="eastAsia" w:ascii="楷体_GB2312" w:eastAsia="楷体_GB2312"/>
          <w:b/>
          <w:bCs/>
          <w:szCs w:val="32"/>
        </w:rPr>
        <w:t>一、污染防治类</w:t>
      </w:r>
    </w:p>
    <w:p>
      <w:pPr>
        <w:pStyle w:val="3"/>
        <w:ind w:firstLine="640" w:firstLineChars="200"/>
        <w:jc w:val="left"/>
        <w:rPr>
          <w:rFonts w:eastAsia="仿宋_GB2312"/>
          <w:b w:val="0"/>
          <w:kern w:val="2"/>
        </w:rPr>
      </w:pPr>
      <w:bookmarkStart w:id="1" w:name="_Toc129097041"/>
      <w:r>
        <w:rPr>
          <w:rFonts w:hint="eastAsia" w:eastAsia="仿宋_GB2312"/>
          <w:b w:val="0"/>
          <w:kern w:val="2"/>
        </w:rPr>
        <w:t>（一）大气污染防治环保技术改造类项目</w:t>
      </w:r>
      <w:bookmarkEnd w:id="1"/>
    </w:p>
    <w:p>
      <w:pPr>
        <w:ind w:firstLine="640" w:firstLineChars="200"/>
      </w:pPr>
      <w:r>
        <w:rPr>
          <w:rFonts w:hint="eastAsia"/>
        </w:rPr>
        <w:t>鼓励企业通过实施源头削减、过程控制、末端治理升级等手段开展挥发性有机物治理、氮氧化物治理、二氧化硫和烟粉尘治理、有毒废气治理、异味和臭味治理、以及其他大气污染物治理，原则上对上述项目按照改造项目实际支付金额（不含税）的</w:t>
      </w:r>
      <w:r>
        <w:rPr>
          <w:rFonts w:hint="eastAsia" w:ascii="仿宋_GB2312"/>
        </w:rPr>
        <w:t>30%</w:t>
      </w:r>
      <w:r>
        <w:t>给予奖励。</w:t>
      </w:r>
    </w:p>
    <w:p>
      <w:pPr>
        <w:pStyle w:val="3"/>
        <w:ind w:firstLine="640" w:firstLineChars="200"/>
        <w:jc w:val="left"/>
        <w:rPr>
          <w:rFonts w:eastAsia="仿宋_GB2312"/>
          <w:b w:val="0"/>
          <w:kern w:val="2"/>
        </w:rPr>
      </w:pPr>
      <w:r>
        <w:rPr>
          <w:rFonts w:hint="eastAsia" w:eastAsia="仿宋_GB2312"/>
          <w:b w:val="0"/>
          <w:kern w:val="2"/>
        </w:rPr>
        <w:t>（二）水污染防治环保技术改造类项目</w:t>
      </w:r>
    </w:p>
    <w:p>
      <w:r>
        <w:rPr>
          <w:rFonts w:hint="eastAsia"/>
        </w:rPr>
        <w:t>鼓励企业实施工业污水深度治理、污水再生利用、临时污水处理设施等项目。</w:t>
      </w:r>
    </w:p>
    <w:p>
      <w:r>
        <w:rPr>
          <w:rFonts w:hint="eastAsia" w:ascii="仿宋_GB2312"/>
        </w:rPr>
        <w:t>1.工</w:t>
      </w:r>
      <w:r>
        <w:rPr>
          <w:rFonts w:hint="eastAsia"/>
        </w:rPr>
        <w:t>业污水深度治理，鼓励涉及工业污水排放的企业，通过提升废水处理工艺，提高废水污染防治水平，进一步减少水污染物的排放。</w:t>
      </w:r>
    </w:p>
    <w:p>
      <w:r>
        <w:rPr>
          <w:rFonts w:hint="eastAsia" w:ascii="仿宋_GB2312"/>
        </w:rPr>
        <w:t>2.</w:t>
      </w:r>
      <w:r>
        <w:rPr>
          <w:rFonts w:hint="eastAsia"/>
        </w:rPr>
        <w:t>污水再生利用，鼓励企业</w:t>
      </w:r>
      <w:r>
        <w:rPr>
          <w:rFonts w:ascii="仿宋_GB2312" w:hAnsi="仿宋_GB2312" w:cs="仿宋_GB2312"/>
          <w:szCs w:val="32"/>
        </w:rPr>
        <w:t>污水资源化利用</w:t>
      </w:r>
      <w:r>
        <w:rPr>
          <w:rFonts w:hint="eastAsia" w:ascii="仿宋_GB2312" w:hAnsi="仿宋_GB2312" w:cs="仿宋_GB2312"/>
          <w:szCs w:val="32"/>
        </w:rPr>
        <w:t>和再生回用</w:t>
      </w:r>
      <w:r>
        <w:rPr>
          <w:rFonts w:hint="eastAsia"/>
        </w:rPr>
        <w:t>。</w:t>
      </w:r>
    </w:p>
    <w:p>
      <w:r>
        <w:rPr>
          <w:rFonts w:hint="eastAsia" w:ascii="仿宋_GB2312"/>
        </w:rPr>
        <w:t>3.</w:t>
      </w:r>
      <w:r>
        <w:rPr>
          <w:rFonts w:hint="eastAsia"/>
        </w:rPr>
        <w:t>临时污水处理设施，是指经开区管委会确定的解决经开区重点环境问题而临时建设的污水处理设施项目。</w:t>
      </w:r>
    </w:p>
    <w:p>
      <w:r>
        <w:rPr>
          <w:rFonts w:hint="eastAsia"/>
        </w:rPr>
        <w:t>原则上对上述项目按照建设实际支付金额（不含税）的</w:t>
      </w:r>
      <w:r>
        <w:rPr>
          <w:rFonts w:ascii="仿宋_GB2312"/>
        </w:rPr>
        <w:t>30%</w:t>
      </w:r>
      <w:r>
        <w:rPr>
          <w:rFonts w:hint="eastAsia"/>
        </w:rPr>
        <w:t>给予奖励。</w:t>
      </w:r>
    </w:p>
    <w:p>
      <w:pPr>
        <w:pStyle w:val="3"/>
        <w:ind w:firstLine="640" w:firstLineChars="200"/>
        <w:jc w:val="left"/>
        <w:rPr>
          <w:rFonts w:eastAsia="仿宋_GB2312"/>
          <w:b w:val="0"/>
          <w:kern w:val="2"/>
        </w:rPr>
      </w:pPr>
      <w:bookmarkStart w:id="2" w:name="_Toc129097044"/>
      <w:r>
        <w:rPr>
          <w:rFonts w:hint="eastAsia" w:eastAsia="仿宋_GB2312"/>
          <w:b w:val="0"/>
          <w:kern w:val="2"/>
        </w:rPr>
        <w:t>（</w:t>
      </w:r>
      <w:r>
        <w:rPr>
          <w:rFonts w:hint="eastAsia" w:eastAsia="仿宋_GB2312"/>
          <w:b w:val="0"/>
          <w:kern w:val="2"/>
          <w:lang w:eastAsia="zh-CN"/>
        </w:rPr>
        <w:t>三</w:t>
      </w:r>
      <w:r>
        <w:rPr>
          <w:rFonts w:hint="eastAsia" w:eastAsia="仿宋_GB2312"/>
          <w:b w:val="0"/>
          <w:kern w:val="2"/>
        </w:rPr>
        <w:t>）</w:t>
      </w:r>
      <w:bookmarkStart w:id="3" w:name="_Hlk123250134"/>
      <w:r>
        <w:rPr>
          <w:rFonts w:hint="eastAsia" w:eastAsia="仿宋_GB2312"/>
          <w:b w:val="0"/>
          <w:kern w:val="2"/>
        </w:rPr>
        <w:t>燃气锅炉深度治理项目</w:t>
      </w:r>
      <w:bookmarkEnd w:id="2"/>
      <w:bookmarkEnd w:id="3"/>
    </w:p>
    <w:p>
      <w:pPr>
        <w:numPr>
          <w:ilvl w:val="255"/>
          <w:numId w:val="0"/>
        </w:numPr>
        <w:ind w:firstLine="640" w:firstLineChars="200"/>
        <w:rPr>
          <w:rFonts w:hint="eastAsia" w:ascii="仿宋_GB2312"/>
        </w:rPr>
      </w:pPr>
      <w:bookmarkStart w:id="4" w:name="_Hlk122874256"/>
      <w:r>
        <w:rPr>
          <w:rFonts w:hint="eastAsia" w:ascii="仿宋_GB2312"/>
        </w:rPr>
        <w:t>鼓励企事业单位开展燃气锅炉深度治理，实施超低氮改造。对于2017年3月31日之前建成的燃气锅炉，支持通过整体更换锅炉的方式，有效降低氮氧化物排放浓度，改造后氮氧化物浓度稳定达到30mg/m</w:t>
      </w:r>
      <w:r>
        <w:rPr>
          <w:rFonts w:hint="eastAsia" w:ascii="仿宋_GB2312"/>
          <w:vertAlign w:val="superscript"/>
        </w:rPr>
        <w:t>3</w:t>
      </w:r>
      <w:r>
        <w:rPr>
          <w:rFonts w:hint="eastAsia" w:ascii="仿宋_GB2312"/>
        </w:rPr>
        <w:t>以内的，具体指标需满足《北京市燃气锅炉低氮改造验收要求》中的相关规定。原则上对上述项目根据实际支付金额（不含税）比例给予奖励，其中一般企事业单位奖励比例为50%，差额预算拨款单位奖励比例为50%，全额预算拨款单位的奖励比例为100%。</w:t>
      </w:r>
    </w:p>
    <w:p>
      <w:pPr>
        <w:pStyle w:val="3"/>
        <w:ind w:firstLine="640" w:firstLineChars="200"/>
        <w:jc w:val="left"/>
        <w:rPr>
          <w:rFonts w:eastAsia="仿宋_GB2312"/>
          <w:b w:val="0"/>
          <w:kern w:val="2"/>
        </w:rPr>
      </w:pPr>
      <w:r>
        <w:rPr>
          <w:rFonts w:hint="eastAsia" w:eastAsia="仿宋_GB2312"/>
          <w:b w:val="0"/>
          <w:kern w:val="2"/>
        </w:rPr>
        <w:t>（</w:t>
      </w:r>
      <w:r>
        <w:rPr>
          <w:rFonts w:hint="eastAsia" w:eastAsia="仿宋_GB2312"/>
          <w:b w:val="0"/>
          <w:kern w:val="2"/>
          <w:lang w:eastAsia="zh-CN"/>
        </w:rPr>
        <w:t>四</w:t>
      </w:r>
      <w:r>
        <w:rPr>
          <w:rFonts w:hint="eastAsia" w:eastAsia="仿宋_GB2312"/>
          <w:b w:val="0"/>
          <w:kern w:val="2"/>
        </w:rPr>
        <w:t>）环保在线监控类项目</w:t>
      </w:r>
    </w:p>
    <w:p>
      <w:r>
        <w:rPr>
          <w:rFonts w:hint="eastAsia"/>
        </w:rPr>
        <w:t>鼓励企业安装污水或废气污染物在线监控（不含餐饮废气在线监控），通过验收，并与环境保护行政主管部门监控平台联网的（</w:t>
      </w:r>
      <w:r>
        <w:rPr>
          <w:rFonts w:hint="eastAsia" w:ascii="仿宋_GB2312"/>
        </w:rPr>
        <w:t>在重点排污单位期间安装在线监控设备除外），原则上</w:t>
      </w:r>
      <w:r>
        <w:rPr>
          <w:rFonts w:ascii="仿宋_GB2312"/>
        </w:rPr>
        <w:t>对上述项目按照</w:t>
      </w:r>
      <w:r>
        <w:rPr>
          <w:rFonts w:hint="eastAsia" w:ascii="仿宋_GB2312"/>
        </w:rPr>
        <w:t>实际支付金额（不含税）的30%</w:t>
      </w:r>
      <w:r>
        <w:t>给予奖励。</w:t>
      </w:r>
    </w:p>
    <w:bookmarkEnd w:id="4"/>
    <w:p>
      <w:pPr>
        <w:pStyle w:val="3"/>
        <w:ind w:firstLine="640" w:firstLineChars="200"/>
        <w:jc w:val="left"/>
        <w:rPr>
          <w:rFonts w:eastAsia="仿宋_GB2312"/>
          <w:b w:val="0"/>
          <w:kern w:val="2"/>
        </w:rPr>
      </w:pPr>
      <w:bookmarkStart w:id="5" w:name="_Toc129097045"/>
      <w:r>
        <w:rPr>
          <w:rFonts w:hint="eastAsia" w:eastAsia="仿宋_GB2312"/>
          <w:b w:val="0"/>
          <w:kern w:val="2"/>
        </w:rPr>
        <w:t>（五）餐饮废气高效治理设施整体更新类项目</w:t>
      </w:r>
      <w:bookmarkEnd w:id="5"/>
    </w:p>
    <w:p>
      <w:r>
        <w:rPr>
          <w:rFonts w:hint="eastAsia"/>
        </w:rPr>
        <w:t>鼓励于</w:t>
      </w:r>
      <w:r>
        <w:rPr>
          <w:rFonts w:hint="eastAsia" w:ascii="仿宋_GB2312"/>
        </w:rPr>
        <w:t>2019</w:t>
      </w:r>
      <w:r>
        <w:rPr>
          <w:rFonts w:hint="eastAsia"/>
        </w:rPr>
        <w:t>年之前建成的餐饮服务型单位或个体工商户实施的整体更换复合式高效油烟净化设施的项目，原则上按排风机、油烟净化设备铭牌标识的排风量进行核定，取两者之间最小值，每</w:t>
      </w:r>
      <w:r>
        <w:rPr>
          <w:rFonts w:hint="eastAsia" w:ascii="仿宋_GB2312"/>
        </w:rPr>
        <w:t>1m</w:t>
      </w:r>
      <w:r>
        <w:rPr>
          <w:rFonts w:hint="eastAsia" w:ascii="仿宋_GB2312"/>
          <w:vertAlign w:val="superscript"/>
        </w:rPr>
        <w:t>3</w:t>
      </w:r>
      <w:r>
        <w:rPr>
          <w:rFonts w:hint="eastAsia" w:ascii="仿宋_GB2312"/>
        </w:rPr>
        <w:t>/h</w:t>
      </w:r>
      <w:r>
        <w:rPr>
          <w:rFonts w:hint="eastAsia"/>
        </w:rPr>
        <w:t>风量奖励</w:t>
      </w:r>
      <w:r>
        <w:rPr>
          <w:rFonts w:hint="eastAsia" w:ascii="仿宋_GB2312"/>
        </w:rPr>
        <w:t>2</w:t>
      </w:r>
      <w:r>
        <w:rPr>
          <w:rFonts w:hint="eastAsia"/>
        </w:rPr>
        <w:t>元。</w:t>
      </w:r>
    </w:p>
    <w:p>
      <w:pPr>
        <w:pStyle w:val="3"/>
        <w:ind w:firstLine="640" w:firstLineChars="200"/>
        <w:jc w:val="left"/>
        <w:rPr>
          <w:rFonts w:eastAsia="仿宋_GB2312"/>
          <w:b w:val="0"/>
          <w:kern w:val="2"/>
        </w:rPr>
      </w:pPr>
      <w:bookmarkStart w:id="6" w:name="_Toc129097046"/>
      <w:r>
        <w:rPr>
          <w:rFonts w:hint="eastAsia" w:eastAsia="仿宋_GB2312"/>
          <w:b w:val="0"/>
          <w:kern w:val="2"/>
        </w:rPr>
        <w:t>（六）排污企业转型升级类项目</w:t>
      </w:r>
      <w:bookmarkEnd w:id="6"/>
    </w:p>
    <w:p>
      <w:pPr>
        <w:rPr>
          <w:rFonts w:ascii="仿宋_GB2312" w:hAnsi="仿宋"/>
          <w:color w:val="000000"/>
          <w:spacing w:val="-6"/>
          <w:highlight w:val="yellow"/>
        </w:rPr>
      </w:pPr>
      <w:r>
        <w:rPr>
          <w:rFonts w:hint="eastAsia" w:ascii="仿宋_GB2312"/>
          <w:bCs/>
        </w:rPr>
        <w:t>鼓励重点VOCs排放企业（年度VOCs排放量不低于0.1吨的企业）整体退出北京市或污染环节关停并退出北京市</w:t>
      </w:r>
      <w:r>
        <w:rPr>
          <w:rFonts w:hint="eastAsia" w:ascii="仿宋_GB2312" w:hAnsi="华文仿宋"/>
          <w:color w:val="000000"/>
        </w:rPr>
        <w:t>，符合经开区产业结构调整和转型升级政策，</w:t>
      </w:r>
      <w:r>
        <w:rPr>
          <w:rFonts w:hint="eastAsia" w:ascii="仿宋_GB2312" w:hAnsi="华文仿宋"/>
        </w:rPr>
        <w:t>且已完成企业营业执照注销或相关生产设备拆除的</w:t>
      </w:r>
      <w:r>
        <w:rPr>
          <w:rFonts w:hint="eastAsia" w:ascii="仿宋_GB2312" w:hAnsi="华文仿宋"/>
          <w:color w:val="000000"/>
        </w:rPr>
        <w:t>，</w:t>
      </w:r>
      <w:r>
        <w:rPr>
          <w:rFonts w:hint="eastAsia" w:ascii="仿宋_GB2312" w:hAnsi="仿宋"/>
          <w:color w:val="000000"/>
          <w:spacing w:val="-6"/>
        </w:rPr>
        <w:t>支持资金实行与污染物减排量等指标挂钩的方式，按照</w:t>
      </w:r>
      <w:r>
        <w:rPr>
          <w:rFonts w:hint="eastAsia" w:ascii="仿宋_GB2312" w:hAnsi="华文仿宋"/>
          <w:color w:val="000000"/>
        </w:rPr>
        <w:t>污染物</w:t>
      </w:r>
      <w:r>
        <w:rPr>
          <w:rFonts w:hint="eastAsia" w:ascii="仿宋_GB2312" w:hAnsi="仿宋"/>
          <w:color w:val="000000"/>
          <w:spacing w:val="-6"/>
        </w:rPr>
        <w:t>减排量，分档确定奖励资金，奖励资金范围50-250万元。</w:t>
      </w:r>
    </w:p>
    <w:p>
      <w:pPr>
        <w:pStyle w:val="3"/>
        <w:ind w:firstLine="640" w:firstLineChars="200"/>
        <w:jc w:val="left"/>
        <w:rPr>
          <w:rFonts w:eastAsia="仿宋_GB2312"/>
          <w:b w:val="0"/>
          <w:kern w:val="2"/>
        </w:rPr>
      </w:pPr>
      <w:bookmarkStart w:id="7" w:name="_Toc129097047"/>
      <w:r>
        <w:rPr>
          <w:rFonts w:hint="eastAsia" w:eastAsia="仿宋_GB2312"/>
          <w:b w:val="0"/>
          <w:kern w:val="2"/>
        </w:rPr>
        <w:t>（七）“无废城市”建设项目</w:t>
      </w:r>
      <w:bookmarkEnd w:id="7"/>
    </w:p>
    <w:p>
      <w:pPr>
        <w:rPr>
          <w:rFonts w:ascii="仿宋_GB2312"/>
        </w:rPr>
      </w:pPr>
      <w:r>
        <w:rPr>
          <w:rFonts w:hint="eastAsia" w:ascii="仿宋_GB2312"/>
        </w:rPr>
        <w:t>鼓励企业通过优化管理、改进设计、原辅材料替换、工艺改进、技术改造或末端治理设施安装升级，对工业固体废弃物、生活垃圾、建筑垃圾、厨余垃圾、园林垃圾、城市污泥、废弃资源等各类固体废物进行源头减量、综合利用或者安全处置等项目，</w:t>
      </w:r>
      <w:r>
        <w:rPr>
          <w:rFonts w:hint="eastAsia" w:ascii="仿宋_GB2312" w:hAnsi="仿宋"/>
          <w:spacing w:val="-6"/>
        </w:rPr>
        <w:t>优先支持参与经开区“无废城市”建设的项目，</w:t>
      </w:r>
      <w:r>
        <w:rPr>
          <w:rFonts w:hint="eastAsia" w:ascii="仿宋_GB2312"/>
        </w:rPr>
        <w:t>原则上按照项目实际支付金额（不含税）的30%给予奖励。</w:t>
      </w:r>
    </w:p>
    <w:p>
      <w:pPr>
        <w:pStyle w:val="3"/>
        <w:ind w:firstLine="640" w:firstLineChars="200"/>
        <w:jc w:val="left"/>
        <w:rPr>
          <w:rFonts w:eastAsia="仿宋_GB2312"/>
          <w:b w:val="0"/>
          <w:kern w:val="2"/>
        </w:rPr>
      </w:pPr>
      <w:bookmarkStart w:id="8" w:name="_Toc129097050"/>
      <w:r>
        <w:rPr>
          <w:rFonts w:hint="eastAsia" w:eastAsia="仿宋_GB2312"/>
          <w:b w:val="0"/>
          <w:kern w:val="2"/>
        </w:rPr>
        <w:t>（</w:t>
      </w:r>
      <w:r>
        <w:rPr>
          <w:rFonts w:hint="eastAsia" w:eastAsia="仿宋_GB2312"/>
          <w:b w:val="0"/>
          <w:kern w:val="2"/>
          <w:lang w:eastAsia="zh-CN"/>
        </w:rPr>
        <w:t>八</w:t>
      </w:r>
      <w:r>
        <w:rPr>
          <w:rFonts w:hint="eastAsia" w:eastAsia="仿宋_GB2312"/>
          <w:b w:val="0"/>
          <w:kern w:val="2"/>
        </w:rPr>
        <w:t>）空气重污染应急减排绩效评价级别提升项目</w:t>
      </w:r>
      <w:bookmarkEnd w:id="8"/>
    </w:p>
    <w:p>
      <w:r>
        <w:rPr>
          <w:rFonts w:hint="eastAsia"/>
        </w:rPr>
        <w:t>企业通过行业主管部门组织开展的空气重污染应急减排绩效评价，</w:t>
      </w:r>
      <w:r>
        <w:rPr>
          <w:rFonts w:hint="eastAsia" w:ascii="仿宋_GB2312"/>
        </w:rPr>
        <w:t>2022</w:t>
      </w:r>
      <w:r>
        <w:rPr>
          <w:rFonts w:hint="eastAsia"/>
        </w:rPr>
        <w:t>年相比</w:t>
      </w:r>
      <w:r>
        <w:rPr>
          <w:rFonts w:hint="eastAsia" w:ascii="仿宋_GB2312"/>
        </w:rPr>
        <w:t>2021年或2023年相比2022年，评价</w:t>
      </w:r>
      <w:r>
        <w:rPr>
          <w:rFonts w:hint="eastAsia"/>
        </w:rPr>
        <w:t>级别由</w:t>
      </w:r>
      <w:r>
        <w:rPr>
          <w:rFonts w:hint="eastAsia" w:ascii="仿宋_GB2312"/>
        </w:rPr>
        <w:t>D</w:t>
      </w:r>
      <w:r>
        <w:rPr>
          <w:rFonts w:hint="eastAsia"/>
        </w:rPr>
        <w:t>级提升为</w:t>
      </w:r>
      <w:r>
        <w:rPr>
          <w:rFonts w:hint="eastAsia" w:ascii="仿宋_GB2312"/>
        </w:rPr>
        <w:t>C</w:t>
      </w:r>
      <w:r>
        <w:rPr>
          <w:rFonts w:hint="eastAsia"/>
        </w:rPr>
        <w:t>级</w:t>
      </w:r>
      <w:r>
        <w:rPr>
          <w:rFonts w:hint="eastAsia"/>
          <w:lang w:eastAsia="zh-CN"/>
        </w:rPr>
        <w:t>的</w:t>
      </w:r>
      <w:r>
        <w:rPr>
          <w:rFonts w:hint="eastAsia"/>
        </w:rPr>
        <w:t>奖励</w:t>
      </w:r>
      <w:r>
        <w:rPr>
          <w:rFonts w:hint="eastAsia" w:ascii="仿宋_GB2312"/>
        </w:rPr>
        <w:t>10万</w:t>
      </w:r>
      <w:r>
        <w:rPr>
          <w:rFonts w:hint="eastAsia"/>
        </w:rPr>
        <w:t>元，</w:t>
      </w:r>
      <w:r>
        <w:rPr>
          <w:rFonts w:hint="eastAsia" w:ascii="仿宋_GB2312"/>
        </w:rPr>
        <w:t>C级提升为B</w:t>
      </w:r>
      <w:r>
        <w:rPr>
          <w:rFonts w:hint="eastAsia"/>
        </w:rPr>
        <w:t>级（包括地方</w:t>
      </w:r>
      <w:r>
        <w:rPr>
          <w:rFonts w:hint="eastAsia" w:ascii="仿宋_GB2312"/>
        </w:rPr>
        <w:t>B级</w:t>
      </w:r>
      <w:r>
        <w:rPr>
          <w:rFonts w:hint="eastAsia"/>
        </w:rPr>
        <w:t>）</w:t>
      </w:r>
      <w:r>
        <w:rPr>
          <w:rFonts w:hint="eastAsia"/>
          <w:lang w:eastAsia="zh-CN"/>
        </w:rPr>
        <w:t>的</w:t>
      </w:r>
      <w:r>
        <w:rPr>
          <w:rFonts w:hint="eastAsia"/>
        </w:rPr>
        <w:t>奖励</w:t>
      </w:r>
      <w:r>
        <w:rPr>
          <w:rFonts w:hint="eastAsia" w:ascii="仿宋_GB2312"/>
        </w:rPr>
        <w:t>20</w:t>
      </w:r>
      <w:r>
        <w:rPr>
          <w:rFonts w:hint="eastAsia"/>
        </w:rPr>
        <w:t>万元，</w:t>
      </w:r>
      <w:r>
        <w:rPr>
          <w:rFonts w:hint="eastAsia" w:ascii="仿宋_GB2312"/>
        </w:rPr>
        <w:t>B级</w:t>
      </w:r>
      <w:r>
        <w:rPr>
          <w:rFonts w:hint="eastAsia"/>
        </w:rPr>
        <w:t>提升为</w:t>
      </w:r>
      <w:r>
        <w:rPr>
          <w:rFonts w:hint="eastAsia" w:ascii="仿宋_GB2312"/>
        </w:rPr>
        <w:t>A级</w:t>
      </w:r>
      <w:r>
        <w:rPr>
          <w:rFonts w:hint="eastAsia"/>
        </w:rPr>
        <w:t>（包括地方</w:t>
      </w:r>
      <w:r>
        <w:rPr>
          <w:rFonts w:hint="eastAsia" w:ascii="仿宋_GB2312"/>
        </w:rPr>
        <w:t>A级</w:t>
      </w:r>
      <w:r>
        <w:rPr>
          <w:rFonts w:hint="eastAsia"/>
        </w:rPr>
        <w:t>）的奖励</w:t>
      </w:r>
      <w:r>
        <w:rPr>
          <w:rFonts w:hint="eastAsia" w:ascii="仿宋_GB2312"/>
        </w:rPr>
        <w:t>30万</w:t>
      </w:r>
      <w:r>
        <w:rPr>
          <w:rFonts w:hint="eastAsia"/>
        </w:rPr>
        <w:t>元，跨级提级企业按照上述奖励金额加和奖励，对</w:t>
      </w:r>
      <w:r>
        <w:rPr>
          <w:rFonts w:hint="eastAsia" w:ascii="仿宋_GB2312"/>
        </w:rPr>
        <w:t>2020-2023</w:t>
      </w:r>
      <w:r>
        <w:rPr>
          <w:rFonts w:hint="eastAsia"/>
        </w:rPr>
        <w:t>年期间连续三年绩效评级为</w:t>
      </w:r>
      <w:r>
        <w:rPr>
          <w:rFonts w:hint="eastAsia" w:ascii="仿宋_GB2312"/>
        </w:rPr>
        <w:t>A级（包括地方A</w:t>
      </w:r>
      <w:r>
        <w:rPr>
          <w:rFonts w:hint="eastAsia"/>
        </w:rPr>
        <w:t>级）的单位一次性奖励</w:t>
      </w:r>
      <w:r>
        <w:rPr>
          <w:rFonts w:hint="eastAsia" w:ascii="仿宋_GB2312"/>
        </w:rPr>
        <w:t>20万</w:t>
      </w:r>
      <w:r>
        <w:rPr>
          <w:rFonts w:hint="eastAsia" w:ascii="仿宋_GB2312"/>
          <w:lang w:eastAsia="zh-CN"/>
        </w:rPr>
        <w:t>，</w:t>
      </w:r>
      <w:r>
        <w:rPr>
          <w:rFonts w:hint="eastAsia" w:ascii="仿宋_GB2312" w:hAnsi="宋体" w:cs="宋体"/>
          <w:color w:val="000000"/>
          <w:szCs w:val="32"/>
        </w:rPr>
        <w:t>该类项目为免申即享项目</w:t>
      </w:r>
      <w:r>
        <w:rPr>
          <w:rFonts w:hint="eastAsia"/>
        </w:rPr>
        <w:t>。</w:t>
      </w:r>
    </w:p>
    <w:p>
      <w:pPr>
        <w:pStyle w:val="3"/>
        <w:ind w:firstLine="640" w:firstLineChars="200"/>
        <w:jc w:val="left"/>
        <w:rPr>
          <w:rFonts w:eastAsia="仿宋_GB2312"/>
          <w:b w:val="0"/>
          <w:kern w:val="2"/>
        </w:rPr>
      </w:pPr>
      <w:bookmarkStart w:id="9" w:name="_Toc129097051"/>
      <w:r>
        <w:rPr>
          <w:rFonts w:hint="eastAsia" w:eastAsia="仿宋_GB2312"/>
          <w:b w:val="0"/>
          <w:kern w:val="2"/>
        </w:rPr>
        <w:t>（</w:t>
      </w:r>
      <w:r>
        <w:rPr>
          <w:rFonts w:hint="eastAsia" w:eastAsia="仿宋_GB2312"/>
          <w:b w:val="0"/>
          <w:kern w:val="2"/>
          <w:lang w:eastAsia="zh-CN"/>
        </w:rPr>
        <w:t>九</w:t>
      </w:r>
      <w:r>
        <w:rPr>
          <w:rFonts w:hint="eastAsia" w:eastAsia="仿宋_GB2312"/>
          <w:b w:val="0"/>
          <w:kern w:val="2"/>
        </w:rPr>
        <w:t>）先进低碳技术试点优秀项目</w:t>
      </w:r>
      <w:bookmarkEnd w:id="9"/>
    </w:p>
    <w:p>
      <w:pPr>
        <w:rPr>
          <w:highlight w:val="yellow"/>
        </w:rPr>
      </w:pPr>
      <w:r>
        <w:rPr>
          <w:rFonts w:hint="eastAsia"/>
        </w:rPr>
        <w:t>鼓励重点领域关键低碳技术优先应用，鼓励多种先进低碳技术集成应用。对获得北京市生态环境局公布的先进低碳技术试点优秀项目给予一次性</w:t>
      </w:r>
      <w:r>
        <w:rPr>
          <w:rFonts w:ascii="仿宋_GB2312"/>
        </w:rPr>
        <w:t>50</w:t>
      </w:r>
      <w:r>
        <w:rPr>
          <w:rFonts w:hint="eastAsia"/>
        </w:rPr>
        <w:t>万元奖励，该类项目为免申即享项目。</w:t>
      </w:r>
      <w:bookmarkStart w:id="10" w:name="_Toc129097052"/>
    </w:p>
    <w:p>
      <w:pPr>
        <w:pStyle w:val="3"/>
        <w:ind w:firstLine="640" w:firstLineChars="200"/>
        <w:jc w:val="left"/>
        <w:rPr>
          <w:rFonts w:eastAsia="仿宋_GB2312"/>
          <w:b w:val="0"/>
          <w:kern w:val="2"/>
        </w:rPr>
      </w:pPr>
      <w:r>
        <w:rPr>
          <w:rFonts w:hint="eastAsia" w:eastAsia="仿宋_GB2312"/>
          <w:b w:val="0"/>
          <w:kern w:val="2"/>
        </w:rPr>
        <w:t>（十）低碳领跑者试点项目</w:t>
      </w:r>
      <w:bookmarkEnd w:id="10"/>
    </w:p>
    <w:p>
      <w:r>
        <w:rPr>
          <w:rFonts w:hint="eastAsia" w:ascii="仿宋_GB2312" w:hAnsi="宋体" w:cs="宋体"/>
          <w:color w:val="000000"/>
          <w:szCs w:val="32"/>
        </w:rPr>
        <w:t>鼓励以低碳领跑者作为行业标杆，为行业低碳发展提供可复制、可借鉴的模式和经验，带动重点行业、重点领域低碳转型。对获得北京市生态环境局公布的低碳领跑者试点项目给予一次性50万元奖励，该类项目为免申即享项目。</w:t>
      </w:r>
    </w:p>
    <w:p>
      <w:pPr>
        <w:pStyle w:val="3"/>
        <w:ind w:firstLine="640" w:firstLineChars="200"/>
        <w:jc w:val="left"/>
        <w:rPr>
          <w:rFonts w:eastAsia="仿宋_GB2312"/>
          <w:b w:val="0"/>
          <w:kern w:val="2"/>
        </w:rPr>
      </w:pPr>
      <w:bookmarkStart w:id="11" w:name="_Toc129097053"/>
      <w:r>
        <w:rPr>
          <w:rFonts w:hint="eastAsia" w:eastAsia="仿宋_GB2312"/>
          <w:b w:val="0"/>
          <w:kern w:val="2"/>
        </w:rPr>
        <w:t>（十</w:t>
      </w:r>
      <w:r>
        <w:rPr>
          <w:rFonts w:hint="eastAsia" w:eastAsia="仿宋_GB2312"/>
          <w:b w:val="0"/>
          <w:kern w:val="2"/>
          <w:lang w:eastAsia="zh-CN"/>
        </w:rPr>
        <w:t>一</w:t>
      </w:r>
      <w:r>
        <w:rPr>
          <w:rFonts w:hint="eastAsia" w:eastAsia="仿宋_GB2312"/>
          <w:b w:val="0"/>
          <w:kern w:val="2"/>
        </w:rPr>
        <w:t>）水效领跑者项目</w:t>
      </w:r>
      <w:bookmarkEnd w:id="11"/>
    </w:p>
    <w:p>
      <w:pPr>
        <w:rPr>
          <w:rFonts w:hint="eastAsia" w:ascii="仿宋_GB2312"/>
          <w:color w:val="000000"/>
          <w:szCs w:val="32"/>
        </w:rPr>
      </w:pPr>
      <w:r>
        <w:rPr>
          <w:rFonts w:hint="eastAsia"/>
        </w:rPr>
        <w:t>鼓励重点用水企业提高节水效率，对获得国家工业和信息化部、水利部、国家发展改革委和市场监管总局联合开展遴选出的“水效领跑者”，并经国家工业和信息化部公示，给予一次性</w:t>
      </w:r>
      <w:r>
        <w:rPr>
          <w:rFonts w:hint="eastAsia" w:ascii="仿宋_GB2312"/>
        </w:rPr>
        <w:t>50</w:t>
      </w:r>
      <w:r>
        <w:rPr>
          <w:rFonts w:hint="eastAsia"/>
        </w:rPr>
        <w:t>万元奖励，</w:t>
      </w:r>
      <w:r>
        <w:rPr>
          <w:rFonts w:hint="eastAsia" w:ascii="仿宋_GB2312"/>
          <w:color w:val="000000"/>
          <w:szCs w:val="32"/>
        </w:rPr>
        <w:t>该类项目为免申即享项目。</w:t>
      </w:r>
    </w:p>
    <w:p>
      <w:pPr>
        <w:pStyle w:val="3"/>
        <w:ind w:firstLine="640" w:firstLineChars="200"/>
        <w:jc w:val="left"/>
        <w:rPr>
          <w:rFonts w:eastAsia="仿宋_GB2312"/>
          <w:b w:val="0"/>
          <w:kern w:val="2"/>
        </w:rPr>
      </w:pPr>
      <w:r>
        <w:rPr>
          <w:rFonts w:hint="eastAsia" w:eastAsia="仿宋_GB2312"/>
          <w:b w:val="0"/>
          <w:kern w:val="2"/>
        </w:rPr>
        <w:t>（</w:t>
      </w:r>
      <w:r>
        <w:rPr>
          <w:rFonts w:hint="eastAsia" w:eastAsia="仿宋_GB2312"/>
          <w:b w:val="0"/>
          <w:kern w:val="2"/>
          <w:lang w:eastAsia="zh-CN"/>
        </w:rPr>
        <w:t>十二</w:t>
      </w:r>
      <w:r>
        <w:rPr>
          <w:rFonts w:hint="eastAsia" w:eastAsia="仿宋_GB2312"/>
          <w:b w:val="0"/>
          <w:kern w:val="2"/>
        </w:rPr>
        <w:t>）生态环境领域其它</w:t>
      </w:r>
      <w:r>
        <w:rPr>
          <w:rFonts w:hint="eastAsia" w:eastAsia="仿宋_GB2312"/>
          <w:b w:val="0"/>
          <w:kern w:val="2"/>
          <w:lang w:eastAsia="zh-CN"/>
        </w:rPr>
        <w:t>示范</w:t>
      </w:r>
      <w:r>
        <w:rPr>
          <w:rFonts w:hint="eastAsia" w:eastAsia="仿宋_GB2312"/>
          <w:b w:val="0"/>
          <w:kern w:val="2"/>
        </w:rPr>
        <w:t>类项目</w:t>
      </w:r>
    </w:p>
    <w:p>
      <w:r>
        <w:rPr>
          <w:rStyle w:val="12"/>
          <w:rFonts w:hint="eastAsia" w:ascii="仿宋_GB2312"/>
        </w:rPr>
        <w:t>鼓励企业开展</w:t>
      </w:r>
      <w:r>
        <w:rPr>
          <w:rFonts w:hint="eastAsia" w:ascii="仿宋_GB2312"/>
        </w:rPr>
        <w:t>噪声治理、土壤修复、温室气体减排、有毒有害原料（产品）替代、新污染物治理等有利于减少区域污染，改善环境质量，在生态环境建设中起到示范带头作用的项目，原则上按照项目实际支付金额（不含税）的30%给予奖励。</w:t>
      </w:r>
    </w:p>
    <w:p>
      <w:pPr>
        <w:pStyle w:val="3"/>
        <w:ind w:firstLine="640" w:firstLineChars="200"/>
        <w:jc w:val="left"/>
        <w:rPr>
          <w:rFonts w:eastAsia="仿宋_GB2312"/>
          <w:b w:val="0"/>
          <w:kern w:val="2"/>
        </w:rPr>
      </w:pPr>
      <w:r>
        <w:rPr>
          <w:rFonts w:hint="eastAsia" w:eastAsia="仿宋_GB2312"/>
          <w:b w:val="0"/>
          <w:kern w:val="2"/>
        </w:rPr>
        <w:t>（十</w:t>
      </w:r>
      <w:r>
        <w:rPr>
          <w:rFonts w:hint="eastAsia" w:eastAsia="仿宋_GB2312"/>
          <w:b w:val="0"/>
          <w:kern w:val="2"/>
          <w:lang w:eastAsia="zh-CN"/>
        </w:rPr>
        <w:t>三</w:t>
      </w:r>
      <w:r>
        <w:rPr>
          <w:rFonts w:hint="eastAsia" w:eastAsia="仿宋_GB2312"/>
          <w:b w:val="0"/>
          <w:kern w:val="2"/>
        </w:rPr>
        <w:t>）企业自有燃油燃气商用车置换为电动或氢能源等新能源商用车项目</w:t>
      </w:r>
    </w:p>
    <w:p>
      <w:pPr>
        <w:ind w:firstLine="640" w:firstLineChars="200"/>
        <w:rPr>
          <w:rFonts w:ascii="仿宋_GB2312" w:hAnsi="华文仿宋"/>
          <w:color w:val="000000"/>
          <w:szCs w:val="32"/>
        </w:rPr>
      </w:pPr>
      <w:r>
        <w:rPr>
          <w:rFonts w:ascii="仿宋_GB2312" w:hAnsi="华文仿宋"/>
          <w:color w:val="000000"/>
          <w:szCs w:val="32"/>
        </w:rPr>
        <w:t>2021</w:t>
      </w:r>
      <w:r>
        <w:rPr>
          <w:rFonts w:hint="eastAsia" w:ascii="仿宋_GB2312" w:hAnsi="华文仿宋"/>
          <w:color w:val="000000"/>
          <w:szCs w:val="32"/>
        </w:rPr>
        <w:t>年</w:t>
      </w:r>
      <w:r>
        <w:rPr>
          <w:rFonts w:ascii="仿宋_GB2312" w:hAnsi="华文仿宋"/>
          <w:color w:val="000000"/>
          <w:szCs w:val="32"/>
        </w:rPr>
        <w:t>11月1日起至2023年</w:t>
      </w:r>
      <w:r>
        <w:rPr>
          <w:rFonts w:hint="eastAsia" w:ascii="仿宋_GB2312" w:hAnsi="华文仿宋"/>
          <w:color w:val="000000"/>
          <w:szCs w:val="32"/>
        </w:rPr>
        <w:t>12</w:t>
      </w:r>
      <w:r>
        <w:rPr>
          <w:rFonts w:ascii="仿宋_GB2312" w:hAnsi="华文仿宋"/>
          <w:color w:val="000000"/>
          <w:szCs w:val="32"/>
        </w:rPr>
        <w:t>月</w:t>
      </w:r>
      <w:r>
        <w:rPr>
          <w:rFonts w:hint="eastAsia" w:ascii="仿宋_GB2312" w:hAnsi="华文仿宋"/>
          <w:color w:val="000000"/>
          <w:szCs w:val="32"/>
        </w:rPr>
        <w:t>31</w:t>
      </w:r>
      <w:r>
        <w:rPr>
          <w:rFonts w:ascii="仿宋_GB2312" w:hAnsi="华文仿宋"/>
          <w:color w:val="000000"/>
          <w:szCs w:val="32"/>
        </w:rPr>
        <w:t>日</w:t>
      </w:r>
      <w:r>
        <w:rPr>
          <w:rFonts w:hint="eastAsia" w:ascii="仿宋_GB2312" w:hAnsi="华文仿宋"/>
          <w:color w:val="000000"/>
          <w:szCs w:val="32"/>
        </w:rPr>
        <w:t>，</w:t>
      </w:r>
      <w:r>
        <w:rPr>
          <w:rFonts w:hint="eastAsia" w:ascii="仿宋_GB2312" w:hAnsi="华文仿宋"/>
          <w:color w:val="000000"/>
          <w:szCs w:val="32"/>
          <w:lang w:eastAsia="zh-CN"/>
        </w:rPr>
        <w:t>经开区</w:t>
      </w:r>
      <w:r>
        <w:rPr>
          <w:rFonts w:hint="eastAsia" w:ascii="仿宋_GB2312" w:hAnsi="华文仿宋"/>
          <w:color w:val="000000"/>
          <w:szCs w:val="32"/>
        </w:rPr>
        <w:t>现有企业，将名下现有的京籍燃油燃气货车、大中型客车和专项作业车等商用车淘汰转出北京市或报废，并更新为相应的纯电动车或氢能源等新能源货车、大中型客车和专项作业车的，给予资金奖励。置换新能源车的企业，按照淘汰或转出的燃油燃气车数量和置换的新能源车数量，两者取小值确定奖励车辆规模。每辆车的具体奖励标准如下：</w:t>
      </w:r>
    </w:p>
    <w:p>
      <w:pPr>
        <w:ind w:firstLine="640" w:firstLineChars="200"/>
        <w:rPr>
          <w:rFonts w:ascii="仿宋_GB2312" w:hAnsi="华文仿宋"/>
          <w:color w:val="000000"/>
          <w:szCs w:val="32"/>
        </w:rPr>
      </w:pPr>
      <w:r>
        <w:rPr>
          <w:rFonts w:hint="eastAsia" w:ascii="仿宋_GB2312" w:hAnsi="华文仿宋"/>
          <w:color w:val="000000"/>
          <w:szCs w:val="32"/>
        </w:rPr>
        <w:t>（1）燃油燃气</w:t>
      </w:r>
      <w:r>
        <w:rPr>
          <w:rFonts w:ascii="仿宋_GB2312" w:hAnsi="华文仿宋"/>
          <w:color w:val="000000"/>
          <w:szCs w:val="32"/>
        </w:rPr>
        <w:t>货车置换为新能源货车的，按照新能源车辆终端售价的30%</w:t>
      </w:r>
      <w:r>
        <w:rPr>
          <w:rFonts w:hint="eastAsia" w:ascii="仿宋_GB2312" w:hAnsi="华文仿宋"/>
          <w:color w:val="000000"/>
          <w:szCs w:val="32"/>
        </w:rPr>
        <w:t>给予奖励，每辆车最高不超过18万元</w:t>
      </w:r>
      <w:r>
        <w:rPr>
          <w:rFonts w:ascii="仿宋_GB2312" w:hAnsi="华文仿宋"/>
          <w:color w:val="000000"/>
          <w:szCs w:val="32"/>
        </w:rPr>
        <w:t>。</w:t>
      </w:r>
    </w:p>
    <w:p>
      <w:pPr>
        <w:ind w:firstLine="640" w:firstLineChars="200"/>
        <w:rPr>
          <w:rFonts w:ascii="仿宋_GB2312" w:hAnsi="华文仿宋"/>
          <w:color w:val="000000"/>
          <w:szCs w:val="32"/>
        </w:rPr>
      </w:pPr>
      <w:r>
        <w:rPr>
          <w:rFonts w:hint="eastAsia" w:ascii="仿宋_GB2312" w:hAnsi="华文仿宋"/>
          <w:color w:val="000000"/>
          <w:szCs w:val="32"/>
        </w:rPr>
        <w:t>（2）燃油燃气</w:t>
      </w:r>
      <w:r>
        <w:rPr>
          <w:rFonts w:ascii="仿宋_GB2312" w:hAnsi="华文仿宋"/>
          <w:color w:val="000000"/>
          <w:szCs w:val="32"/>
        </w:rPr>
        <w:t>大中型客车置换为新能源大中型客车的，按照新能源车辆终端售价的30%</w:t>
      </w:r>
      <w:r>
        <w:rPr>
          <w:rFonts w:hint="eastAsia" w:ascii="仿宋_GB2312" w:hAnsi="华文仿宋"/>
          <w:color w:val="000000"/>
          <w:szCs w:val="32"/>
        </w:rPr>
        <w:t>给予奖励，其中置换为电动车的最高不超过</w:t>
      </w:r>
      <w:r>
        <w:rPr>
          <w:rFonts w:ascii="仿宋_GB2312" w:hAnsi="华文仿宋"/>
          <w:color w:val="000000"/>
          <w:szCs w:val="32"/>
        </w:rPr>
        <w:t>30</w:t>
      </w:r>
      <w:r>
        <w:rPr>
          <w:rFonts w:hint="eastAsia" w:ascii="仿宋_GB2312" w:hAnsi="华文仿宋"/>
          <w:color w:val="000000"/>
          <w:szCs w:val="32"/>
        </w:rPr>
        <w:t>万元，置换为氢能源车的最高不超过</w:t>
      </w:r>
      <w:r>
        <w:rPr>
          <w:rFonts w:ascii="仿宋_GB2312" w:hAnsi="华文仿宋"/>
          <w:color w:val="000000"/>
          <w:szCs w:val="32"/>
        </w:rPr>
        <w:t>35</w:t>
      </w:r>
      <w:r>
        <w:rPr>
          <w:rFonts w:hint="eastAsia" w:ascii="仿宋_GB2312" w:hAnsi="华文仿宋"/>
          <w:color w:val="000000"/>
          <w:szCs w:val="32"/>
        </w:rPr>
        <w:t>万元。</w:t>
      </w:r>
    </w:p>
    <w:p>
      <w:pPr>
        <w:ind w:firstLine="640" w:firstLineChars="200"/>
        <w:rPr>
          <w:rFonts w:ascii="仿宋_GB2312" w:hAnsi="华文仿宋"/>
          <w:color w:val="000000"/>
          <w:szCs w:val="32"/>
        </w:rPr>
      </w:pPr>
      <w:r>
        <w:rPr>
          <w:rFonts w:hint="eastAsia" w:ascii="仿宋_GB2312" w:hAnsi="华文仿宋"/>
          <w:color w:val="000000"/>
          <w:szCs w:val="32"/>
        </w:rPr>
        <w:t>（3）燃油燃气专项作业</w:t>
      </w:r>
      <w:r>
        <w:rPr>
          <w:rFonts w:ascii="仿宋_GB2312" w:hAnsi="华文仿宋"/>
          <w:color w:val="000000"/>
          <w:szCs w:val="32"/>
        </w:rPr>
        <w:t>车置换为新能源</w:t>
      </w:r>
      <w:r>
        <w:rPr>
          <w:rFonts w:hint="eastAsia" w:ascii="仿宋_GB2312" w:hAnsi="华文仿宋"/>
          <w:color w:val="000000"/>
          <w:szCs w:val="32"/>
        </w:rPr>
        <w:t>专项作业</w:t>
      </w:r>
      <w:r>
        <w:rPr>
          <w:rFonts w:ascii="仿宋_GB2312" w:hAnsi="华文仿宋"/>
          <w:color w:val="000000"/>
          <w:szCs w:val="32"/>
        </w:rPr>
        <w:t>车的，按照新能源车辆终端售价的50%</w:t>
      </w:r>
      <w:r>
        <w:rPr>
          <w:rFonts w:hint="eastAsia" w:ascii="仿宋_GB2312" w:hAnsi="华文仿宋"/>
          <w:color w:val="000000"/>
          <w:szCs w:val="32"/>
        </w:rPr>
        <w:t>给予奖励，置换为电动车的最高不超过</w:t>
      </w:r>
      <w:r>
        <w:rPr>
          <w:rFonts w:ascii="仿宋_GB2312" w:hAnsi="华文仿宋"/>
          <w:color w:val="000000"/>
          <w:szCs w:val="32"/>
        </w:rPr>
        <w:t>90万元</w:t>
      </w:r>
      <w:r>
        <w:rPr>
          <w:rFonts w:hint="eastAsia" w:ascii="仿宋_GB2312" w:hAnsi="华文仿宋"/>
          <w:color w:val="000000"/>
          <w:szCs w:val="32"/>
        </w:rPr>
        <w:t>，置换为氢能源车的最高不超过</w:t>
      </w:r>
      <w:r>
        <w:rPr>
          <w:rFonts w:ascii="仿宋_GB2312" w:hAnsi="华文仿宋"/>
          <w:color w:val="000000"/>
          <w:szCs w:val="32"/>
        </w:rPr>
        <w:t>130</w:t>
      </w:r>
      <w:r>
        <w:rPr>
          <w:rFonts w:hint="eastAsia" w:ascii="仿宋_GB2312" w:hAnsi="华文仿宋"/>
          <w:color w:val="000000"/>
          <w:szCs w:val="32"/>
        </w:rPr>
        <w:t>万元</w:t>
      </w:r>
      <w:r>
        <w:rPr>
          <w:rFonts w:ascii="仿宋_GB2312" w:hAnsi="华文仿宋"/>
          <w:color w:val="000000"/>
          <w:szCs w:val="32"/>
        </w:rPr>
        <w:t>。</w:t>
      </w:r>
    </w:p>
    <w:p>
      <w:pPr>
        <w:pStyle w:val="3"/>
        <w:ind w:firstLine="640" w:firstLineChars="200"/>
        <w:jc w:val="left"/>
        <w:rPr>
          <w:rFonts w:eastAsia="仿宋_GB2312"/>
          <w:b w:val="0"/>
          <w:kern w:val="2"/>
        </w:rPr>
      </w:pPr>
      <w:r>
        <w:rPr>
          <w:rFonts w:hint="eastAsia" w:eastAsia="仿宋_GB2312"/>
          <w:b w:val="0"/>
          <w:kern w:val="2"/>
        </w:rPr>
        <w:t>（十</w:t>
      </w:r>
      <w:r>
        <w:rPr>
          <w:rFonts w:hint="eastAsia" w:eastAsia="仿宋_GB2312"/>
          <w:b w:val="0"/>
          <w:kern w:val="2"/>
          <w:lang w:eastAsia="zh-CN"/>
        </w:rPr>
        <w:t>四</w:t>
      </w:r>
      <w:r>
        <w:rPr>
          <w:rFonts w:hint="eastAsia" w:eastAsia="仿宋_GB2312"/>
          <w:b w:val="0"/>
          <w:kern w:val="2"/>
        </w:rPr>
        <w:t>）企业租赁燃油燃气大中型客车置换为电动或氢能源等新能源客车项目</w:t>
      </w:r>
    </w:p>
    <w:p>
      <w:pPr>
        <w:ind w:firstLine="640" w:firstLineChars="200"/>
        <w:rPr>
          <w:rFonts w:ascii="仿宋_GB2312" w:hAnsi="华文仿宋"/>
          <w:color w:val="000000"/>
          <w:szCs w:val="32"/>
        </w:rPr>
      </w:pPr>
      <w:r>
        <w:rPr>
          <w:rFonts w:ascii="仿宋_GB2312" w:hAnsi="华文仿宋"/>
          <w:color w:val="000000"/>
          <w:szCs w:val="32"/>
        </w:rPr>
        <w:t>2021</w:t>
      </w:r>
      <w:r>
        <w:rPr>
          <w:rFonts w:hint="eastAsia" w:ascii="仿宋_GB2312" w:hAnsi="华文仿宋"/>
          <w:color w:val="000000"/>
          <w:szCs w:val="32"/>
        </w:rPr>
        <w:t>年</w:t>
      </w:r>
      <w:r>
        <w:rPr>
          <w:rFonts w:ascii="仿宋_GB2312" w:hAnsi="华文仿宋"/>
          <w:color w:val="000000"/>
          <w:szCs w:val="32"/>
        </w:rPr>
        <w:t>11月1日起至2023年</w:t>
      </w:r>
      <w:r>
        <w:rPr>
          <w:rFonts w:hint="eastAsia" w:ascii="仿宋_GB2312" w:hAnsi="华文仿宋"/>
          <w:color w:val="000000"/>
          <w:szCs w:val="32"/>
        </w:rPr>
        <w:t>12</w:t>
      </w:r>
      <w:r>
        <w:rPr>
          <w:rFonts w:ascii="仿宋_GB2312" w:hAnsi="华文仿宋"/>
          <w:color w:val="000000"/>
          <w:szCs w:val="32"/>
        </w:rPr>
        <w:t>月</w:t>
      </w:r>
      <w:r>
        <w:rPr>
          <w:rFonts w:hint="eastAsia" w:ascii="仿宋_GB2312" w:hAnsi="华文仿宋"/>
          <w:color w:val="000000"/>
          <w:szCs w:val="32"/>
        </w:rPr>
        <w:t>31</w:t>
      </w:r>
      <w:r>
        <w:rPr>
          <w:rFonts w:ascii="仿宋_GB2312" w:hAnsi="华文仿宋"/>
          <w:color w:val="000000"/>
          <w:szCs w:val="32"/>
        </w:rPr>
        <w:t>日</w:t>
      </w:r>
      <w:r>
        <w:rPr>
          <w:rFonts w:hint="eastAsia" w:ascii="仿宋_GB2312" w:hAnsi="华文仿宋"/>
          <w:color w:val="000000"/>
          <w:szCs w:val="32"/>
        </w:rPr>
        <w:t>，经开区现有企业，将现有长期租赁（一年及以上）的京籍燃油燃气大中型客车改租为纯电动或氢能源等新能源车辆的，且承诺今后不再租赁燃油燃气大中型客车的给予资金奖励。根据置换改租的新能源车数量确定奖励车辆规模，每辆车的具体奖励标准为一次性奖励</w:t>
      </w:r>
      <w:r>
        <w:rPr>
          <w:rFonts w:ascii="仿宋_GB2312" w:hAnsi="华文仿宋"/>
          <w:color w:val="000000"/>
          <w:szCs w:val="32"/>
        </w:rPr>
        <w:t>6</w:t>
      </w:r>
      <w:r>
        <w:rPr>
          <w:rFonts w:hint="eastAsia" w:ascii="仿宋_GB2312" w:hAnsi="华文仿宋"/>
          <w:color w:val="000000"/>
          <w:szCs w:val="32"/>
        </w:rPr>
        <w:t>万元。</w:t>
      </w:r>
    </w:p>
    <w:p>
      <w:pPr>
        <w:pStyle w:val="3"/>
        <w:ind w:firstLine="640" w:firstLineChars="200"/>
        <w:jc w:val="left"/>
        <w:rPr>
          <w:rFonts w:eastAsia="仿宋_GB2312"/>
          <w:b w:val="0"/>
          <w:kern w:val="2"/>
        </w:rPr>
      </w:pPr>
      <w:bookmarkStart w:id="12" w:name="_Toc129097055"/>
      <w:r>
        <w:rPr>
          <w:rFonts w:hint="eastAsia" w:eastAsia="仿宋_GB2312"/>
          <w:b w:val="0"/>
          <w:kern w:val="2"/>
        </w:rPr>
        <w:t>（十五）绿色制造体系称号类项目</w:t>
      </w:r>
      <w:bookmarkEnd w:id="12"/>
    </w:p>
    <w:p>
      <w:pPr>
        <w:ind w:firstLine="640" w:firstLineChars="200"/>
        <w:rPr>
          <w:rFonts w:ascii="仿宋_GB2312"/>
          <w:color w:val="000000"/>
          <w:szCs w:val="32"/>
        </w:rPr>
      </w:pPr>
      <w:r>
        <w:rPr>
          <w:rFonts w:hint="eastAsia" w:ascii="仿宋_GB2312"/>
          <w:color w:val="000000"/>
          <w:szCs w:val="32"/>
        </w:rPr>
        <w:t>鼓励企业积极提升绿色发展水平，对获得国家工业和信息化部</w:t>
      </w:r>
      <w:r>
        <w:rPr>
          <w:rFonts w:hint="eastAsia" w:ascii="仿宋_GB2312" w:hAnsi="华文仿宋"/>
          <w:color w:val="000000"/>
          <w:szCs w:val="32"/>
        </w:rPr>
        <w:t>评选出的“绿色工厂”、“绿色设计产品”、“绿色供应链管理示范企业”等国家级绿色制造体系称号的项目给予</w:t>
      </w:r>
      <w:r>
        <w:rPr>
          <w:rFonts w:ascii="仿宋_GB2312" w:hAnsi="华文仿宋"/>
          <w:color w:val="000000"/>
          <w:szCs w:val="32"/>
        </w:rPr>
        <w:t>奖励。</w:t>
      </w:r>
      <w:r>
        <w:rPr>
          <w:rFonts w:hint="eastAsia" w:ascii="仿宋_GB2312" w:hAnsi="华文仿宋"/>
          <w:color w:val="000000"/>
          <w:szCs w:val="32"/>
        </w:rPr>
        <w:t>其中，“绿色工厂”、“绿色供应链”以企业为单位奖励</w:t>
      </w:r>
      <w:r>
        <w:rPr>
          <w:rFonts w:ascii="仿宋_GB2312" w:hAnsi="华文仿宋"/>
          <w:color w:val="000000"/>
          <w:szCs w:val="32"/>
        </w:rPr>
        <w:t>100</w:t>
      </w:r>
      <w:r>
        <w:rPr>
          <w:rFonts w:hint="eastAsia" w:ascii="仿宋_GB2312" w:hAnsi="华文仿宋"/>
          <w:color w:val="000000"/>
          <w:szCs w:val="32"/>
        </w:rPr>
        <w:t>万元；“绿色设计产品”以企业产品为单位，每个产品奖励</w:t>
      </w:r>
      <w:r>
        <w:rPr>
          <w:rFonts w:ascii="仿宋_GB2312" w:hAnsi="华文仿宋"/>
          <w:color w:val="000000"/>
          <w:szCs w:val="32"/>
        </w:rPr>
        <w:t>20</w:t>
      </w:r>
      <w:r>
        <w:rPr>
          <w:rFonts w:hint="eastAsia" w:ascii="仿宋_GB2312" w:hAnsi="华文仿宋"/>
          <w:color w:val="000000"/>
          <w:szCs w:val="32"/>
        </w:rPr>
        <w:t>万元（同一家企业最多奖励</w:t>
      </w:r>
      <w:r>
        <w:rPr>
          <w:rFonts w:ascii="仿宋_GB2312" w:hAnsi="华文仿宋"/>
          <w:color w:val="000000"/>
          <w:szCs w:val="32"/>
        </w:rPr>
        <w:t>100</w:t>
      </w:r>
      <w:r>
        <w:rPr>
          <w:rFonts w:hint="eastAsia" w:ascii="仿宋_GB2312" w:hAnsi="华文仿宋"/>
          <w:color w:val="000000"/>
          <w:szCs w:val="32"/>
        </w:rPr>
        <w:t>万元）</w:t>
      </w:r>
      <w:r>
        <w:rPr>
          <w:rFonts w:hint="eastAsia" w:ascii="仿宋_GB2312"/>
          <w:color w:val="000000"/>
          <w:szCs w:val="32"/>
        </w:rPr>
        <w:t>，该类项目为免申即享项目。</w:t>
      </w:r>
    </w:p>
    <w:p>
      <w:pPr>
        <w:ind w:firstLine="630"/>
        <w:rPr>
          <w:rFonts w:ascii="楷体_GB2312" w:eastAsia="楷体_GB2312"/>
          <w:b/>
          <w:bCs/>
          <w:szCs w:val="32"/>
          <w:highlight w:val="yellow"/>
        </w:rPr>
      </w:pPr>
      <w:bookmarkStart w:id="13" w:name="_Hlk123250601"/>
      <w:r>
        <w:rPr>
          <w:rFonts w:hint="eastAsia" w:ascii="楷体_GB2312" w:eastAsia="楷体_GB2312"/>
          <w:b/>
          <w:bCs/>
          <w:szCs w:val="32"/>
        </w:rPr>
        <w:t>二、节能降碳</w:t>
      </w:r>
      <w:bookmarkEnd w:id="13"/>
      <w:r>
        <w:rPr>
          <w:rFonts w:hint="eastAsia" w:ascii="楷体_GB2312" w:eastAsia="楷体_GB2312"/>
          <w:b/>
          <w:bCs/>
          <w:szCs w:val="32"/>
        </w:rPr>
        <w:t>类</w:t>
      </w:r>
    </w:p>
    <w:p>
      <w:pPr>
        <w:pStyle w:val="3"/>
        <w:ind w:firstLine="640" w:firstLineChars="200"/>
        <w:jc w:val="left"/>
        <w:rPr>
          <w:rFonts w:eastAsia="仿宋_GB2312"/>
          <w:b w:val="0"/>
          <w:kern w:val="2"/>
        </w:rPr>
      </w:pPr>
      <w:bookmarkStart w:id="14" w:name="_Toc129097056"/>
      <w:r>
        <w:rPr>
          <w:rFonts w:hint="eastAsia" w:eastAsia="仿宋_GB2312"/>
          <w:b w:val="0"/>
          <w:kern w:val="2"/>
        </w:rPr>
        <w:t>（十六）节能减碳技改类项目</w:t>
      </w:r>
      <w:bookmarkEnd w:id="14"/>
    </w:p>
    <w:p>
      <w:pPr>
        <w:rPr>
          <w:rFonts w:ascii="仿宋_GB2312"/>
        </w:rPr>
      </w:pPr>
      <w:r>
        <w:rPr>
          <w:rFonts w:hint="eastAsia" w:ascii="仿宋_GB2312"/>
        </w:rPr>
        <w:t>鼓励工业、交通、建筑、服务行业等领域企业对现有生产工艺和设备开展节能技术改造，项目内容包括但不限于压缩空气系统改造、锅炉（窑炉）改造、余热余压利用、电机系统节能、能量系统优化、大型公建综合节能、供热系统节能等节能技术改造。根据节能量给予奖励，其中</w:t>
      </w:r>
      <w:r>
        <w:rPr>
          <w:rFonts w:hint="eastAsia" w:ascii="仿宋_GB2312"/>
          <w:color w:val="000000" w:themeColor="text1"/>
          <w14:textFill>
            <w14:solidFill>
              <w14:schemeClr w14:val="tx1"/>
            </w14:solidFill>
          </w14:textFill>
        </w:rPr>
        <w:t>工业项目节约每吨标准煤奖励600元，非工业项目节约每吨标准煤奖励800元。</w:t>
      </w:r>
      <w:r>
        <w:rPr>
          <w:rFonts w:hint="eastAsia" w:ascii="仿宋_GB2312"/>
        </w:rPr>
        <w:t>项目应建设完成，且已通过北京市发展改革委的最终审核并公示。</w:t>
      </w:r>
    </w:p>
    <w:p>
      <w:pPr>
        <w:pStyle w:val="3"/>
        <w:ind w:firstLine="640" w:firstLineChars="200"/>
        <w:jc w:val="left"/>
        <w:rPr>
          <w:rFonts w:eastAsia="仿宋_GB2312"/>
          <w:b w:val="0"/>
          <w:kern w:val="2"/>
        </w:rPr>
      </w:pPr>
      <w:bookmarkStart w:id="15" w:name="_Toc129097057"/>
      <w:r>
        <w:rPr>
          <w:rFonts w:hint="eastAsia" w:eastAsia="仿宋_GB2312"/>
          <w:b w:val="0"/>
          <w:kern w:val="2"/>
        </w:rPr>
        <w:t>（十七）</w:t>
      </w:r>
      <w:bookmarkStart w:id="16" w:name="_Hlk123250362"/>
      <w:r>
        <w:rPr>
          <w:rFonts w:hint="eastAsia" w:eastAsia="仿宋_GB2312"/>
          <w:b w:val="0"/>
          <w:kern w:val="2"/>
        </w:rPr>
        <w:t>分布式光伏发电类项目</w:t>
      </w:r>
      <w:bookmarkEnd w:id="15"/>
      <w:bookmarkEnd w:id="16"/>
    </w:p>
    <w:p>
      <w:r>
        <w:rPr>
          <w:rFonts w:hint="eastAsia"/>
        </w:rPr>
        <w:t>鼓励亦庄新城企事业单位</w:t>
      </w:r>
      <w:r>
        <w:t>在用户所在场地建设运行，以用户侧自发自用为主，多余电量上网的分布式光伏发电项目。原则上项目应</w:t>
      </w:r>
      <w:r>
        <w:rPr>
          <w:rFonts w:hint="eastAsia"/>
        </w:rPr>
        <w:t>已经建设</w:t>
      </w:r>
      <w:r>
        <w:t>完工且</w:t>
      </w:r>
      <w:r>
        <w:rPr>
          <w:rFonts w:hint="eastAsia"/>
        </w:rPr>
        <w:t>并</w:t>
      </w:r>
      <w:r>
        <w:t>网发电。</w:t>
      </w:r>
      <w:r>
        <w:rPr>
          <w:rFonts w:hint="eastAsia"/>
        </w:rPr>
        <w:t>奖励标准</w:t>
      </w:r>
      <w:r>
        <w:t>为：</w:t>
      </w:r>
    </w:p>
    <w:p>
      <w:pPr>
        <w:ind w:firstLine="627" w:firstLineChars="196"/>
        <w:rPr>
          <w:rFonts w:ascii="仿宋_GB2312"/>
          <w:color w:val="000000"/>
          <w:szCs w:val="32"/>
        </w:rPr>
      </w:pPr>
      <w:r>
        <w:rPr>
          <w:rFonts w:hint="eastAsia" w:ascii="仿宋_GB2312"/>
          <w:color w:val="000000"/>
          <w:szCs w:val="32"/>
        </w:rPr>
        <w:t>1.常规类项目，一般工商业电价、大工业电价或农业电价的项目，</w:t>
      </w:r>
      <w:r>
        <w:rPr>
          <w:rFonts w:hint="eastAsia" w:ascii="仿宋_GB2312"/>
          <w:color w:val="000000" w:themeColor="text1"/>
          <w:szCs w:val="32"/>
          <w14:textFill>
            <w14:solidFill>
              <w14:schemeClr w14:val="tx1"/>
            </w14:solidFill>
          </w14:textFill>
        </w:rPr>
        <w:t>按并网规模每千瓦奖励</w:t>
      </w:r>
      <w:r>
        <w:rPr>
          <w:rFonts w:ascii="仿宋_GB2312"/>
          <w:color w:val="000000" w:themeColor="text1"/>
          <w:szCs w:val="32"/>
          <w14:textFill>
            <w14:solidFill>
              <w14:schemeClr w14:val="tx1"/>
            </w14:solidFill>
          </w14:textFill>
        </w:rPr>
        <w:t>800</w:t>
      </w:r>
      <w:r>
        <w:rPr>
          <w:rFonts w:hint="eastAsia" w:ascii="仿宋_GB2312"/>
          <w:color w:val="000000" w:themeColor="text1"/>
          <w:szCs w:val="32"/>
          <w14:textFill>
            <w14:solidFill>
              <w14:schemeClr w14:val="tx1"/>
            </w14:solidFill>
          </w14:textFill>
        </w:rPr>
        <w:t>元</w:t>
      </w:r>
      <w:r>
        <w:rPr>
          <w:rFonts w:hint="eastAsia" w:ascii="仿宋_GB2312"/>
          <w:color w:val="000000"/>
          <w:szCs w:val="32"/>
        </w:rPr>
        <w:t>。</w:t>
      </w:r>
    </w:p>
    <w:p>
      <w:pPr>
        <w:ind w:firstLine="627" w:firstLineChars="196"/>
        <w:rPr>
          <w:rFonts w:ascii="仿宋_GB2312"/>
          <w:color w:val="000000"/>
          <w:szCs w:val="32"/>
        </w:rPr>
      </w:pPr>
      <w:r>
        <w:rPr>
          <w:rFonts w:hint="eastAsia" w:ascii="仿宋_GB2312"/>
          <w:color w:val="000000"/>
          <w:szCs w:val="32"/>
        </w:rPr>
        <w:t>2.学校、社会福利场所等执行居民电价的非居民用户项目，按并网规模每千瓦奖励</w:t>
      </w:r>
      <w:r>
        <w:rPr>
          <w:rFonts w:ascii="仿宋_GB2312"/>
          <w:color w:val="000000"/>
          <w:szCs w:val="32"/>
        </w:rPr>
        <w:t>1000</w:t>
      </w:r>
      <w:r>
        <w:rPr>
          <w:rFonts w:hint="eastAsia" w:ascii="仿宋_GB2312"/>
          <w:color w:val="000000"/>
          <w:szCs w:val="32"/>
        </w:rPr>
        <w:t>元。</w:t>
      </w:r>
    </w:p>
    <w:p>
      <w:pPr>
        <w:ind w:firstLine="627" w:firstLineChars="196"/>
        <w:rPr>
          <w:rFonts w:ascii="仿宋_GB2312" w:hAnsi="仿宋"/>
          <w:color w:val="000000"/>
          <w:szCs w:val="32"/>
        </w:rPr>
      </w:pPr>
      <w:r>
        <w:rPr>
          <w:rFonts w:hint="eastAsia" w:ascii="仿宋_GB2312"/>
          <w:color w:val="000000"/>
          <w:szCs w:val="32"/>
        </w:rPr>
        <w:t>3.高端应用，全部实现光伏建筑一体化应用（光伏组件为建筑构件）的项目，按并网规模每千瓦奖励</w:t>
      </w:r>
      <w:r>
        <w:rPr>
          <w:rFonts w:ascii="仿宋_GB2312"/>
          <w:color w:val="000000"/>
          <w:szCs w:val="32"/>
        </w:rPr>
        <w:t>1000</w:t>
      </w:r>
      <w:r>
        <w:rPr>
          <w:rFonts w:hint="eastAsia" w:ascii="仿宋_GB2312"/>
          <w:color w:val="000000"/>
          <w:szCs w:val="32"/>
        </w:rPr>
        <w:t>元。</w:t>
      </w:r>
    </w:p>
    <w:p>
      <w:pPr>
        <w:ind w:firstLine="640" w:firstLineChars="200"/>
        <w:rPr>
          <w:rFonts w:ascii="仿宋_GB2312"/>
          <w:color w:val="000000"/>
          <w:szCs w:val="32"/>
        </w:rPr>
      </w:pPr>
      <w:r>
        <w:rPr>
          <w:rFonts w:hint="eastAsia" w:ascii="仿宋_GB2312" w:hAnsi="仿宋"/>
          <w:color w:val="000000"/>
          <w:szCs w:val="32"/>
        </w:rPr>
        <w:t>若项目为第三方投资，</w:t>
      </w:r>
      <w:r>
        <w:rPr>
          <w:rFonts w:ascii="仿宋_GB2312" w:hAnsi="仿宋"/>
          <w:color w:val="000000"/>
          <w:szCs w:val="32"/>
        </w:rPr>
        <w:t>项目投资方和场地</w:t>
      </w:r>
      <w:r>
        <w:rPr>
          <w:rFonts w:hint="eastAsia" w:ascii="仿宋_GB2312" w:hAnsi="仿宋"/>
          <w:color w:val="000000"/>
          <w:szCs w:val="32"/>
        </w:rPr>
        <w:t>业主</w:t>
      </w:r>
      <w:r>
        <w:rPr>
          <w:rFonts w:ascii="仿宋_GB2312" w:hAnsi="仿宋"/>
          <w:color w:val="000000"/>
          <w:szCs w:val="32"/>
        </w:rPr>
        <w:t>方</w:t>
      </w:r>
      <w:r>
        <w:rPr>
          <w:rFonts w:hint="eastAsia" w:ascii="仿宋_GB2312" w:hAnsi="仿宋"/>
          <w:color w:val="000000"/>
          <w:szCs w:val="32"/>
        </w:rPr>
        <w:t>分开申请，</w:t>
      </w:r>
      <w:r>
        <w:rPr>
          <w:rFonts w:hint="eastAsia" w:ascii="仿宋_GB2312" w:hAnsi="仿宋"/>
          <w:color w:val="000000"/>
          <w:spacing w:val="-6"/>
          <w:szCs w:val="32"/>
        </w:rPr>
        <w:t>各享受</w:t>
      </w:r>
      <w:r>
        <w:rPr>
          <w:rFonts w:ascii="仿宋_GB2312" w:hAnsi="仿宋"/>
          <w:color w:val="000000"/>
          <w:szCs w:val="32"/>
        </w:rPr>
        <w:t>奖励</w:t>
      </w:r>
      <w:r>
        <w:rPr>
          <w:rFonts w:hint="eastAsia" w:ascii="仿宋_GB2312" w:hAnsi="仿宋"/>
          <w:color w:val="000000"/>
          <w:szCs w:val="32"/>
        </w:rPr>
        <w:t>资金的</w:t>
      </w:r>
      <w:r>
        <w:rPr>
          <w:rFonts w:ascii="仿宋_GB2312" w:hAnsi="仿宋"/>
          <w:color w:val="000000"/>
          <w:spacing w:val="-6"/>
          <w:szCs w:val="32"/>
        </w:rPr>
        <w:t>50%</w:t>
      </w:r>
      <w:r>
        <w:rPr>
          <w:rFonts w:hint="eastAsia" w:ascii="仿宋_GB2312"/>
          <w:color w:val="000000"/>
          <w:szCs w:val="32"/>
        </w:rPr>
        <w:t>。</w:t>
      </w:r>
    </w:p>
    <w:p>
      <w:pPr>
        <w:pStyle w:val="3"/>
        <w:ind w:firstLine="640" w:firstLineChars="200"/>
        <w:jc w:val="left"/>
        <w:rPr>
          <w:rFonts w:eastAsia="仿宋_GB2312"/>
          <w:b w:val="0"/>
          <w:kern w:val="2"/>
        </w:rPr>
      </w:pPr>
      <w:bookmarkStart w:id="17" w:name="_Toc129097058"/>
      <w:r>
        <w:rPr>
          <w:rFonts w:hint="eastAsia" w:eastAsia="仿宋_GB2312"/>
          <w:b w:val="0"/>
          <w:kern w:val="2"/>
        </w:rPr>
        <w:t>（十八）浅层地源、余热、再生水（污水）源等热泵项目</w:t>
      </w:r>
    </w:p>
    <w:p>
      <w:pPr>
        <w:ind w:firstLine="640" w:firstLineChars="200"/>
        <w:jc w:val="left"/>
        <w:rPr>
          <w:rFonts w:ascii="仿宋_GB2312" w:hAnsi="仿宋"/>
          <w:b/>
          <w:color w:val="000000"/>
          <w:szCs w:val="32"/>
        </w:rPr>
      </w:pPr>
      <w:r>
        <w:rPr>
          <w:rFonts w:hint="eastAsia" w:ascii="仿宋_GB2312" w:hAnsi="仿宋"/>
          <w:color w:val="000000"/>
          <w:szCs w:val="32"/>
        </w:rPr>
        <w:t>1.鼓励各类新建、改扩建建筑优先推广浅层地源热泵系统，鼓励燃气、燃油锅炉用户改造使用浅层地源热泵系统，鼓励设施农业利用浅层地源热泵系统供暖，鼓励再生水（污水）主干管网沿线范围内建筑使用热泵供暖。对新建、改扩建热泵系统热源和一次管网投资给予资金支持，原则上按照不超过投资金额（不含税）的20%给予奖励（投资支持范围包括：地埋管、再生水、污水取热装置及配套设施，设备机房，热泵机组及配套设施，设备机房至用户建筑间一次管网，智能控制及监测系统等）。</w:t>
      </w:r>
    </w:p>
    <w:p>
      <w:pPr>
        <w:ind w:firstLine="640" w:firstLineChars="200"/>
        <w:rPr>
          <w:rFonts w:ascii="仿宋_GB2312" w:hAnsi="仿宋"/>
          <w:color w:val="000000"/>
          <w:szCs w:val="32"/>
        </w:rPr>
      </w:pPr>
      <w:r>
        <w:rPr>
          <w:rFonts w:hint="eastAsia" w:ascii="仿宋_GB2312" w:hAnsi="仿宋"/>
          <w:color w:val="000000"/>
          <w:szCs w:val="32"/>
        </w:rPr>
        <w:t>2.鼓励新建燃气供暖项目建设余热热泵系统，具备改造条件的既有燃气热电厂和锅炉房加装余热热泵回收装置，对余热热泵系统项目热源和一次管网投资给予资金支持，原则上按照不超过投资额（不含税）的20%给予奖励（投资支持范围包括：取热装置、热泵机组及配套设施、热源厂内余热系统一次管网、智能控制及监测系统等）。</w:t>
      </w:r>
    </w:p>
    <w:p>
      <w:pPr>
        <w:ind w:firstLine="640" w:firstLineChars="200"/>
        <w:rPr>
          <w:rFonts w:ascii="仿宋_GB2312" w:hAnsi="仿宋"/>
          <w:color w:val="000000"/>
          <w:szCs w:val="32"/>
        </w:rPr>
      </w:pPr>
      <w:r>
        <w:rPr>
          <w:rFonts w:hint="eastAsia" w:ascii="仿宋_GB2312" w:hAnsi="仿宋"/>
          <w:color w:val="000000"/>
          <w:szCs w:val="32"/>
        </w:rPr>
        <w:t xml:space="preserve">项目应建设完成，并已获得北京市发展改革委的全部补贴资金支持，且通过北京市发展改革委的最终审核公示。 </w:t>
      </w:r>
      <w:bookmarkEnd w:id="17"/>
      <w:bookmarkStart w:id="18" w:name="_Toc129097059"/>
    </w:p>
    <w:p>
      <w:pPr>
        <w:pStyle w:val="3"/>
        <w:ind w:firstLine="640" w:firstLineChars="200"/>
        <w:jc w:val="left"/>
        <w:rPr>
          <w:rFonts w:eastAsia="仿宋_GB2312"/>
          <w:b w:val="0"/>
          <w:kern w:val="2"/>
        </w:rPr>
      </w:pPr>
      <w:r>
        <w:rPr>
          <w:rFonts w:hint="eastAsia" w:eastAsia="仿宋_GB2312"/>
          <w:b w:val="0"/>
          <w:kern w:val="2"/>
        </w:rPr>
        <w:t>（十九）绿电交易类项目</w:t>
      </w:r>
      <w:bookmarkEnd w:id="18"/>
    </w:p>
    <w:p>
      <w:pPr>
        <w:ind w:firstLine="640" w:firstLineChars="200"/>
        <w:rPr>
          <w:rFonts w:ascii="仿宋_GB2312"/>
          <w:color w:val="000000"/>
          <w:szCs w:val="32"/>
        </w:rPr>
      </w:pPr>
      <w:r>
        <w:rPr>
          <w:rFonts w:hint="eastAsia" w:ascii="仿宋_GB2312"/>
          <w:color w:val="000000"/>
          <w:szCs w:val="32"/>
        </w:rPr>
        <w:t>鼓励企业参与北京市绿色电力交易，对2</w:t>
      </w:r>
      <w:r>
        <w:rPr>
          <w:rFonts w:ascii="仿宋_GB2312"/>
          <w:color w:val="000000"/>
          <w:szCs w:val="32"/>
        </w:rPr>
        <w:t>021</w:t>
      </w:r>
      <w:r>
        <w:rPr>
          <w:rFonts w:hint="eastAsia" w:ascii="仿宋_GB2312"/>
          <w:color w:val="000000"/>
          <w:szCs w:val="32"/>
        </w:rPr>
        <w:t>年-</w:t>
      </w:r>
      <w:r>
        <w:rPr>
          <w:rFonts w:ascii="仿宋_GB2312"/>
          <w:color w:val="000000"/>
          <w:szCs w:val="32"/>
        </w:rPr>
        <w:t>202</w:t>
      </w:r>
      <w:r>
        <w:rPr>
          <w:rFonts w:hint="eastAsia" w:ascii="仿宋_GB2312"/>
          <w:color w:val="000000"/>
          <w:szCs w:val="32"/>
        </w:rPr>
        <w:t>3年期间参与北京市绿色电力交易，并成功购买绿色电力的企业给予资金奖励，按交易电量每度电奖励</w:t>
      </w:r>
      <w:r>
        <w:rPr>
          <w:rFonts w:ascii="仿宋_GB2312"/>
          <w:color w:val="000000"/>
          <w:szCs w:val="32"/>
        </w:rPr>
        <w:t>0.01</w:t>
      </w:r>
      <w:r>
        <w:rPr>
          <w:rFonts w:hint="eastAsia" w:ascii="仿宋_GB2312"/>
          <w:color w:val="000000"/>
          <w:szCs w:val="32"/>
        </w:rPr>
        <w:t>元。</w:t>
      </w:r>
    </w:p>
    <w:p>
      <w:pPr>
        <w:pStyle w:val="3"/>
        <w:ind w:firstLine="640" w:firstLineChars="200"/>
        <w:jc w:val="left"/>
        <w:rPr>
          <w:rFonts w:eastAsia="仿宋_GB2312"/>
          <w:b w:val="0"/>
          <w:kern w:val="2"/>
        </w:rPr>
      </w:pPr>
      <w:bookmarkStart w:id="19" w:name="_Toc129097061"/>
      <w:r>
        <w:rPr>
          <w:rFonts w:hint="eastAsia" w:eastAsia="仿宋_GB2312"/>
          <w:b w:val="0"/>
          <w:kern w:val="2"/>
        </w:rPr>
        <w:t>（二十）节能减碳咨询项目</w:t>
      </w:r>
      <w:bookmarkEnd w:id="19"/>
    </w:p>
    <w:p>
      <w:r>
        <w:rPr>
          <w:rFonts w:hint="eastAsia" w:ascii="仿宋_GB2312"/>
          <w:color w:val="000000"/>
          <w:szCs w:val="32"/>
        </w:rPr>
        <w:t>鼓励亦庄新城内的协会、联盟、咨询机构等咨询服务单位开展</w:t>
      </w:r>
      <w:r>
        <w:rPr>
          <w:rFonts w:ascii="仿宋_GB2312"/>
          <w:color w:val="000000"/>
          <w:szCs w:val="32"/>
        </w:rPr>
        <w:t>节能</w:t>
      </w:r>
      <w:r>
        <w:rPr>
          <w:rFonts w:hint="eastAsia" w:ascii="仿宋_GB2312"/>
          <w:color w:val="000000"/>
          <w:szCs w:val="32"/>
        </w:rPr>
        <w:t>降</w:t>
      </w:r>
      <w:r>
        <w:rPr>
          <w:rFonts w:ascii="仿宋_GB2312"/>
          <w:color w:val="000000"/>
          <w:szCs w:val="32"/>
        </w:rPr>
        <w:t>碳、清洁生</w:t>
      </w:r>
      <w:r>
        <w:rPr>
          <w:rFonts w:hint="eastAsia" w:ascii="仿宋_GB2312"/>
          <w:color w:val="000000"/>
          <w:szCs w:val="32"/>
        </w:rPr>
        <w:t>产、能源</w:t>
      </w:r>
      <w:r>
        <w:rPr>
          <w:rFonts w:ascii="仿宋_GB2312"/>
          <w:color w:val="000000"/>
          <w:szCs w:val="32"/>
        </w:rPr>
        <w:t>审计、碳核查、碳中和认证</w:t>
      </w:r>
      <w:r>
        <w:rPr>
          <w:rFonts w:hint="eastAsia" w:ascii="仿宋_GB2312"/>
          <w:color w:val="000000"/>
          <w:szCs w:val="32"/>
        </w:rPr>
        <w:t>等技术咨询策划业务，2</w:t>
      </w:r>
      <w:r>
        <w:rPr>
          <w:rFonts w:ascii="仿宋_GB2312"/>
          <w:color w:val="000000"/>
          <w:szCs w:val="32"/>
        </w:rPr>
        <w:t>022</w:t>
      </w:r>
      <w:r>
        <w:rPr>
          <w:rFonts w:hint="eastAsia" w:ascii="仿宋_GB2312"/>
          <w:color w:val="000000"/>
          <w:szCs w:val="32"/>
        </w:rPr>
        <w:t>年度或2023年度分别对5家及以上区内市级重点用能单位或碳排放单位开展</w:t>
      </w:r>
      <w:r>
        <w:rPr>
          <w:rFonts w:hint="eastAsia" w:ascii="仿宋_GB2312" w:hAnsi="华文仿宋"/>
          <w:color w:val="000000"/>
          <w:szCs w:val="32"/>
        </w:rPr>
        <w:t>以上</w:t>
      </w:r>
      <w:r>
        <w:rPr>
          <w:rFonts w:hint="eastAsia" w:ascii="仿宋_GB2312"/>
          <w:color w:val="000000"/>
          <w:szCs w:val="32"/>
        </w:rPr>
        <w:t>技术咨询策划业务的咨询服务单位，每年度给予1</w:t>
      </w:r>
      <w:r>
        <w:rPr>
          <w:rFonts w:ascii="仿宋_GB2312"/>
          <w:color w:val="000000"/>
          <w:szCs w:val="32"/>
        </w:rPr>
        <w:t>0</w:t>
      </w:r>
      <w:r>
        <w:rPr>
          <w:rFonts w:hint="eastAsia" w:ascii="仿宋_GB2312"/>
          <w:color w:val="000000"/>
          <w:szCs w:val="32"/>
        </w:rPr>
        <w:t>万元奖励。</w:t>
      </w:r>
    </w:p>
    <w:p>
      <w:pPr>
        <w:pStyle w:val="3"/>
        <w:ind w:firstLine="640" w:firstLineChars="200"/>
        <w:jc w:val="left"/>
        <w:rPr>
          <w:rFonts w:eastAsia="仿宋_GB2312"/>
          <w:b w:val="0"/>
          <w:kern w:val="2"/>
        </w:rPr>
      </w:pPr>
      <w:bookmarkStart w:id="20" w:name="_Toc129097062"/>
      <w:r>
        <w:rPr>
          <w:rFonts w:hint="eastAsia" w:eastAsia="仿宋_GB2312"/>
          <w:b w:val="0"/>
          <w:kern w:val="2"/>
        </w:rPr>
        <w:t>（二十一）碳中和认证项目</w:t>
      </w:r>
      <w:bookmarkEnd w:id="20"/>
    </w:p>
    <w:p>
      <w:pPr>
        <w:rPr>
          <w:rFonts w:ascii="仿宋_GB2312"/>
          <w:color w:val="000000"/>
          <w:szCs w:val="32"/>
        </w:rPr>
      </w:pPr>
      <w:r>
        <w:rPr>
          <w:rFonts w:ascii="仿宋_GB2312"/>
          <w:color w:val="000000"/>
          <w:szCs w:val="32"/>
        </w:rPr>
        <w:tab/>
      </w:r>
      <w:r>
        <w:rPr>
          <w:rFonts w:hint="eastAsia" w:ascii="仿宋_GB2312"/>
          <w:color w:val="000000"/>
          <w:szCs w:val="32"/>
        </w:rPr>
        <w:t>鼓励企业、园区实施碳达峰和碳中和行动，通过实施光伏、风电、地源热泵、碳汇抵消、绿电绿证交易等措施实现企业、园区、部分厂房或车间净零碳排放。</w:t>
      </w:r>
    </w:p>
    <w:p>
      <w:pPr>
        <w:rPr>
          <w:rFonts w:ascii="仿宋_GB2312"/>
          <w:color w:val="000000"/>
          <w:szCs w:val="32"/>
        </w:rPr>
      </w:pPr>
      <w:r>
        <w:rPr>
          <w:rFonts w:hint="eastAsia" w:ascii="仿宋_GB2312"/>
          <w:color w:val="000000"/>
          <w:szCs w:val="32"/>
        </w:rPr>
        <w:t>1.对首次获得碳中和认证的规上工业企业给予一次性50万元奖励，其中自建新能源设施实际发电量应不低于电网购电量的10%。</w:t>
      </w:r>
    </w:p>
    <w:p>
      <w:pPr>
        <w:rPr>
          <w:rFonts w:ascii="仿宋_GB2312"/>
          <w:color w:val="000000"/>
          <w:szCs w:val="32"/>
        </w:rPr>
      </w:pPr>
      <w:r>
        <w:rPr>
          <w:rFonts w:hint="eastAsia" w:ascii="仿宋_GB2312"/>
          <w:color w:val="000000"/>
          <w:szCs w:val="32"/>
        </w:rPr>
        <w:t>2.对首次获得碳中和认证的限额以上非工业企业给予一次性50万元奖励，其中自建新能源设施实际发电量应不低于电网购电量的10%，且碳中和年度的电耗在400万度以上。</w:t>
      </w:r>
    </w:p>
    <w:p>
      <w:pPr>
        <w:rPr>
          <w:rFonts w:ascii="仿宋_GB2312"/>
          <w:color w:val="000000"/>
          <w:szCs w:val="32"/>
        </w:rPr>
      </w:pPr>
      <w:r>
        <w:rPr>
          <w:rFonts w:hint="eastAsia" w:ascii="仿宋_GB2312"/>
          <w:color w:val="000000"/>
          <w:szCs w:val="32"/>
        </w:rPr>
        <w:t>3.对首次获得碳中和认证的城市更新园区给予一次性50万元奖励，自建新能源设施实际发电量应不低于电网购电量的5%。</w:t>
      </w:r>
    </w:p>
    <w:p>
      <w:pPr>
        <w:rPr>
          <w:rFonts w:ascii="仿宋_GB2312"/>
          <w:color w:val="000000"/>
          <w:szCs w:val="32"/>
        </w:rPr>
      </w:pPr>
      <w:r>
        <w:rPr>
          <w:rFonts w:hint="eastAsia" w:ascii="仿宋_GB2312"/>
          <w:color w:val="000000"/>
          <w:szCs w:val="32"/>
        </w:rPr>
        <w:t>4.对首次获得部分厂房或车间碳中和认证的重点碳排放单位给予一次性50万元奖励，其中厂房或车间的自建新能源设施实际发电量应不低于电网购电量的10%，且该厂房或车间碳中和年度的电耗400万度以上。</w:t>
      </w:r>
    </w:p>
    <w:p>
      <w:pPr>
        <w:rPr>
          <w:rFonts w:ascii="仿宋_GB2312"/>
          <w:color w:val="000000"/>
          <w:szCs w:val="32"/>
        </w:rPr>
      </w:pPr>
      <w:r>
        <w:rPr>
          <w:rFonts w:hint="eastAsia" w:ascii="仿宋_GB2312"/>
          <w:color w:val="000000"/>
          <w:szCs w:val="32"/>
        </w:rPr>
        <w:t>5.对已获得经开区绿色发展资金支持的碳中和认证项目，继续按上述政策要求获得碳中和认证的，给予10万元奖励。</w:t>
      </w:r>
    </w:p>
    <w:p>
      <w:pPr>
        <w:rPr>
          <w:rFonts w:ascii="仿宋_GB2312"/>
          <w:color w:val="000000"/>
          <w:szCs w:val="32"/>
        </w:rPr>
      </w:pPr>
      <w:r>
        <w:rPr>
          <w:rFonts w:hint="eastAsia" w:ascii="仿宋_GB2312"/>
          <w:color w:val="000000"/>
          <w:szCs w:val="32"/>
        </w:rPr>
        <w:t>所有申报单位需经有资质的碳排放核查企业进行碳核查（具有中国合格评定国家认可委员会（CNAS）官方认证的ISO14064-1组织温室气体声明核查资质）。</w:t>
      </w:r>
    </w:p>
    <w:p>
      <w:pPr>
        <w:pStyle w:val="3"/>
        <w:ind w:firstLine="640" w:firstLineChars="200"/>
        <w:jc w:val="left"/>
        <w:rPr>
          <w:rFonts w:eastAsia="仿宋_GB2312"/>
          <w:b w:val="0"/>
          <w:kern w:val="2"/>
        </w:rPr>
      </w:pPr>
      <w:bookmarkStart w:id="21" w:name="_Toc129097060"/>
      <w:r>
        <w:rPr>
          <w:rFonts w:hint="eastAsia" w:eastAsia="仿宋_GB2312"/>
          <w:b w:val="0"/>
          <w:kern w:val="2"/>
        </w:rPr>
        <w:t>（二十二）重点用能单位节能指标考核优秀单位项目</w:t>
      </w:r>
      <w:bookmarkEnd w:id="21"/>
    </w:p>
    <w:p>
      <w:pPr>
        <w:tabs>
          <w:tab w:val="left" w:pos="630"/>
        </w:tabs>
        <w:rPr>
          <w:rFonts w:ascii="仿宋_GB2312"/>
          <w:color w:val="000000"/>
          <w:szCs w:val="32"/>
        </w:rPr>
      </w:pPr>
      <w:r>
        <w:rPr>
          <w:rFonts w:hint="eastAsia"/>
        </w:rPr>
        <w:tab/>
      </w:r>
      <w:r>
        <w:rPr>
          <w:rStyle w:val="13"/>
          <w:rFonts w:hint="eastAsia"/>
          <w:b w:val="0"/>
          <w:bCs w:val="0"/>
        </w:rPr>
        <w:t>对亦庄新城</w:t>
      </w:r>
      <w:r>
        <w:rPr>
          <w:rFonts w:hint="eastAsia" w:ascii="仿宋_GB2312"/>
          <w:color w:val="000000"/>
          <w:szCs w:val="32"/>
        </w:rPr>
        <w:t>202</w:t>
      </w:r>
      <w:r>
        <w:rPr>
          <w:rFonts w:ascii="仿宋_GB2312"/>
          <w:color w:val="000000"/>
          <w:szCs w:val="32"/>
        </w:rPr>
        <w:t>1</w:t>
      </w:r>
      <w:r>
        <w:rPr>
          <w:rFonts w:hint="eastAsia" w:ascii="仿宋_GB2312"/>
          <w:color w:val="000000"/>
          <w:szCs w:val="32"/>
        </w:rPr>
        <w:t>年度和2022年度重点用能单位节能降耗指标考核等级为优秀的单位（本考核由区</w:t>
      </w:r>
      <w:r>
        <w:rPr>
          <w:rFonts w:hint="eastAsia" w:ascii="仿宋_GB2312" w:hAnsi="华文仿宋"/>
          <w:bCs/>
          <w:color w:val="000000"/>
          <w:szCs w:val="32"/>
        </w:rPr>
        <w:t>经济</w:t>
      </w:r>
      <w:r>
        <w:rPr>
          <w:rFonts w:hint="eastAsia" w:ascii="仿宋_GB2312"/>
          <w:color w:val="000000"/>
          <w:szCs w:val="32"/>
        </w:rPr>
        <w:t>发展局组织开展），给予一次性20万元奖励，该类项目为免申即享项目。</w:t>
      </w:r>
    </w:p>
    <w:p>
      <w:pPr>
        <w:ind w:firstLine="630"/>
        <w:rPr>
          <w:rFonts w:ascii="楷体_GB2312" w:eastAsia="楷体_GB2312"/>
          <w:b/>
          <w:bCs/>
          <w:szCs w:val="32"/>
          <w:highlight w:val="yellow"/>
        </w:rPr>
      </w:pPr>
      <w:r>
        <w:rPr>
          <w:rFonts w:hint="eastAsia" w:ascii="楷体_GB2312" w:eastAsia="楷体_GB2312"/>
          <w:b/>
          <w:bCs/>
          <w:szCs w:val="32"/>
        </w:rPr>
        <w:t>三、绿色建筑类</w:t>
      </w:r>
    </w:p>
    <w:p>
      <w:pPr>
        <w:pStyle w:val="3"/>
        <w:ind w:firstLine="640" w:firstLineChars="200"/>
        <w:jc w:val="left"/>
        <w:rPr>
          <w:rFonts w:eastAsia="仿宋_GB2312"/>
          <w:b w:val="0"/>
          <w:kern w:val="2"/>
        </w:rPr>
      </w:pPr>
      <w:bookmarkStart w:id="22" w:name="_Toc129097063"/>
      <w:r>
        <w:rPr>
          <w:rFonts w:hint="eastAsia" w:eastAsia="仿宋_GB2312"/>
          <w:b w:val="0"/>
          <w:kern w:val="2"/>
        </w:rPr>
        <w:t>（二十三）绿色建筑项目</w:t>
      </w:r>
      <w:bookmarkEnd w:id="22"/>
    </w:p>
    <w:p>
      <w:pPr>
        <w:rPr>
          <w:rFonts w:ascii="仿宋_GB2312" w:hAnsi="仿宋_GB2312" w:cs="仿宋_GB2312"/>
        </w:rPr>
      </w:pPr>
      <w:r>
        <w:rPr>
          <w:rFonts w:hint="eastAsia" w:ascii="仿宋_GB2312" w:hAnsi="仿宋_GB2312" w:cs="仿宋_GB2312"/>
        </w:rPr>
        <w:t>为切实推动经开区建筑领域绿色低碳转型，对获得市级奖励的项目给予区级配套奖励，对绿色建筑、建筑节能等方面创新示范类项目给予区级奖励。</w:t>
      </w:r>
    </w:p>
    <w:p>
      <w:pPr>
        <w:rPr>
          <w:rFonts w:ascii="仿宋_GB2312" w:hAnsi="仿宋_GB2312" w:cs="仿宋_GB2312"/>
        </w:rPr>
      </w:pPr>
      <w:r>
        <w:rPr>
          <w:rFonts w:hint="eastAsia" w:ascii="仿宋_GB2312" w:hAnsi="仿宋_GB2312" w:cs="仿宋_GB2312"/>
        </w:rPr>
        <w:t>1.按照《关于印发〈北京市装配式建筑、绿色建筑、绿色生态示范区项目市级奖励资金管理暂行办法〉的通知》（京建法〔2020〕4号）</w:t>
      </w:r>
      <w:bookmarkStart w:id="23" w:name="_Hlk128577870"/>
      <w:r>
        <w:rPr>
          <w:rFonts w:hint="eastAsia" w:ascii="仿宋_GB2312" w:hAnsi="仿宋_GB2312" w:cs="仿宋_GB2312"/>
        </w:rPr>
        <w:t>获得北京市绿色建筑市级奖励的绿色建筑二星级、三星级项目</w:t>
      </w:r>
      <w:bookmarkEnd w:id="23"/>
      <w:r>
        <w:rPr>
          <w:rFonts w:hint="eastAsia" w:ascii="仿宋_GB2312" w:hAnsi="仿宋_GB2312" w:cs="仿宋_GB2312"/>
        </w:rPr>
        <w:t>，</w:t>
      </w:r>
      <w:bookmarkStart w:id="24" w:name="_Hlk128577902"/>
      <w:r>
        <w:rPr>
          <w:rFonts w:hint="eastAsia" w:ascii="仿宋_GB2312" w:hAnsi="仿宋_GB2312" w:cs="仿宋_GB2312"/>
        </w:rPr>
        <w:t>按照实施建筑面积分别给予50元/平方米、80元/平方米的区级配套奖励</w:t>
      </w:r>
      <w:bookmarkEnd w:id="24"/>
      <w:r>
        <w:rPr>
          <w:rFonts w:hint="eastAsia" w:ascii="仿宋_GB2312" w:hAnsi="仿宋_GB2312" w:cs="仿宋_GB2312"/>
        </w:rPr>
        <w:t>，单个项目奖励金额不超过500万元，该类项目为免申即享项目。</w:t>
      </w:r>
    </w:p>
    <w:p>
      <w:pPr>
        <w:rPr>
          <w:rFonts w:ascii="仿宋_GB2312"/>
        </w:rPr>
      </w:pPr>
      <w:r>
        <w:rPr>
          <w:rFonts w:hint="eastAsia" w:ascii="仿宋_GB2312"/>
        </w:rPr>
        <w:t>2.</w:t>
      </w:r>
      <w:r>
        <w:rPr>
          <w:rFonts w:hint="eastAsia" w:ascii="仿宋_GB2312" w:hAnsi="仿宋_GB2312" w:cs="仿宋_GB2312"/>
          <w:szCs w:val="32"/>
        </w:rPr>
        <w:t>按照《北京市建筑绿色发展奖励资金示范项目管理实施细则（试行）》（京建发〔2023〕191号）获得北京市绿色建筑市级奖励的项目，按照所获市级奖励资金1:1的比例给予不超过60元/平方米的区级配套奖励，单个项目奖励金额不超过500万元，该类项目为免申即享项目</w:t>
      </w:r>
      <w:r>
        <w:rPr>
          <w:rFonts w:hint="eastAsia" w:ascii="仿宋_GB2312"/>
        </w:rPr>
        <w:t>。</w:t>
      </w:r>
    </w:p>
    <w:p>
      <w:pPr>
        <w:pStyle w:val="3"/>
        <w:ind w:firstLine="640" w:firstLineChars="200"/>
        <w:jc w:val="left"/>
        <w:rPr>
          <w:rFonts w:eastAsia="仿宋_GB2312"/>
          <w:b w:val="0"/>
          <w:kern w:val="2"/>
        </w:rPr>
      </w:pPr>
      <w:bookmarkStart w:id="25" w:name="_Toc129097064"/>
      <w:r>
        <w:rPr>
          <w:rFonts w:hint="eastAsia" w:eastAsia="仿宋_GB2312"/>
          <w:b w:val="0"/>
          <w:kern w:val="2"/>
        </w:rPr>
        <w:t>（二十四）公共建筑节能绿色化改造项目</w:t>
      </w:r>
      <w:bookmarkEnd w:id="25"/>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单体建筑面积3000平方米及以上的公共建筑，节能改造后节能率不低于15%的普通公共建筑，或节能率不低于20%的大型公共建筑，对获得北京市公共建筑节能绿色化改造市级奖励的项目（其中165平方公里范围内的项目应由经开区审核后报市住建委），按照所获市级奖励资金1:0.5的比例给予不超过10元/平方米的区级配套奖励。对于实际节能率大于10%小于15%的普通公共建筑或大于15%小于20%的大型公共建筑，可依据折算面积按上述标准申请奖励资金。折算面积算法如下：</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折算面积=基期建筑面积×（实际节能率/目标节能率）</w:t>
      </w:r>
    </w:p>
    <w:p>
      <w:pPr>
        <w:widowControl/>
        <w:adjustRightInd w:val="0"/>
        <w:snapToGrid w:val="0"/>
        <w:ind w:firstLine="640" w:firstLineChars="200"/>
        <w:rPr>
          <w:rFonts w:ascii="仿宋_GB2312"/>
        </w:rPr>
      </w:pPr>
      <w:r>
        <w:rPr>
          <w:rFonts w:hint="eastAsia" w:ascii="仿宋_GB2312" w:hAnsi="仿宋_GB2312" w:cs="仿宋_GB2312"/>
          <w:szCs w:val="32"/>
        </w:rPr>
        <w:t>奖励资金在项目通过综合验收评审合格并纳入北京市公共建筑节能绿色化改造项目管理系统库后一次性拨付，且单个项目的区级配套奖励金额与北京市奖励资金合计不超过改造投资总额的50%，</w:t>
      </w:r>
      <w:r>
        <w:rPr>
          <w:rFonts w:hint="eastAsia" w:ascii="仿宋_GB2312" w:hAnsi="仿宋_GB2312" w:cs="仿宋_GB2312"/>
        </w:rPr>
        <w:t>该类项目为免申即享项目</w:t>
      </w:r>
      <w:r>
        <w:rPr>
          <w:rFonts w:hint="eastAsia" w:ascii="仿宋_GB2312"/>
        </w:rPr>
        <w:t>。</w:t>
      </w:r>
    </w:p>
    <w:p>
      <w:pPr>
        <w:pStyle w:val="3"/>
        <w:ind w:firstLine="640" w:firstLineChars="200"/>
        <w:jc w:val="left"/>
        <w:rPr>
          <w:rFonts w:eastAsia="仿宋_GB2312"/>
          <w:b w:val="0"/>
          <w:kern w:val="2"/>
        </w:rPr>
      </w:pPr>
      <w:bookmarkStart w:id="26" w:name="_Toc129097065"/>
      <w:r>
        <w:rPr>
          <w:rFonts w:hint="eastAsia" w:eastAsia="仿宋_GB2312"/>
          <w:b w:val="0"/>
          <w:kern w:val="2"/>
        </w:rPr>
        <w:t>（二十五）超低能耗建筑、近零能耗建筑等示范类项目</w:t>
      </w:r>
      <w:bookmarkEnd w:id="26"/>
    </w:p>
    <w:p>
      <w:pPr>
        <w:ind w:firstLine="640" w:firstLineChars="200"/>
        <w:rPr>
          <w:rFonts w:ascii="仿宋_GB2312"/>
        </w:rPr>
      </w:pPr>
      <w:bookmarkStart w:id="27" w:name="_Hlk140490835"/>
      <w:r>
        <w:rPr>
          <w:rFonts w:hint="eastAsia" w:ascii="仿宋_GB2312" w:hAnsi="仿宋_GB2312" w:cs="仿宋_GB2312"/>
          <w:szCs w:val="32"/>
        </w:rPr>
        <w:t>为了通过示范项目发挥引领作用，推动亦庄新城内超低能耗建筑、近零能耗建筑的规模化发展，对获得北京市超低能耗建筑市级奖励项目，按照所获市级奖励资金1:0.5的比例给予不超过100元/平方米的区级配套奖励，单个项目奖励金额不超过500万元，该类项目为免申即享项目</w:t>
      </w:r>
      <w:bookmarkEnd w:id="27"/>
      <w:r>
        <w:rPr>
          <w:rFonts w:hint="eastAsia" w:ascii="仿宋_GB2312"/>
        </w:rPr>
        <w:t>。</w:t>
      </w:r>
    </w:p>
    <w:p>
      <w:pPr>
        <w:pStyle w:val="3"/>
        <w:ind w:firstLine="640" w:firstLineChars="200"/>
        <w:jc w:val="left"/>
        <w:rPr>
          <w:rFonts w:eastAsia="仿宋_GB2312"/>
          <w:b w:val="0"/>
          <w:kern w:val="2"/>
        </w:rPr>
      </w:pPr>
      <w:bookmarkStart w:id="28" w:name="_Toc129097066"/>
      <w:r>
        <w:rPr>
          <w:rFonts w:hint="eastAsia" w:eastAsia="仿宋_GB2312"/>
          <w:b w:val="0"/>
          <w:kern w:val="2"/>
        </w:rPr>
        <w:t>（二十六）绿色建筑、建筑节能等方面创新示范类项目</w:t>
      </w:r>
      <w:bookmarkEnd w:id="28"/>
    </w:p>
    <w:p>
      <w:pPr>
        <w:ind w:firstLine="640" w:firstLineChars="200"/>
        <w:rPr>
          <w:rFonts w:ascii="仿宋_GB2312" w:hAnsi="仿宋_GB2312" w:cs="仿宋_GB2312"/>
        </w:rPr>
      </w:pPr>
      <w:r>
        <w:rPr>
          <w:rFonts w:hint="eastAsia" w:ascii="仿宋_GB2312" w:hAnsi="仿宋_GB2312" w:cs="仿宋_GB2312"/>
        </w:rPr>
        <w:t>对于其他在绿色建筑技术应用方面有突出业绩或创新成果，经济环境效益和示范带动作用明显的，且能在亦庄新城内应用的示范项目，可根据实际情况，采取“一事一议”的方式，进行专家评审，综合考虑项目绿色节能效益、增量投资等，按照项目实际支付金额（不含税）的20%给予奖励，单个项目奖励金额不超过500万元。如果再获得国家或者北京市科技、创新类奖项，单个项目再奖励50万元。</w:t>
      </w:r>
    </w:p>
    <w:p>
      <w:pPr>
        <w:pStyle w:val="3"/>
        <w:ind w:firstLine="640" w:firstLineChars="200"/>
        <w:jc w:val="left"/>
        <w:rPr>
          <w:rFonts w:eastAsia="仿宋_GB2312"/>
          <w:b w:val="0"/>
          <w:kern w:val="2"/>
        </w:rPr>
      </w:pPr>
      <w:bookmarkStart w:id="29" w:name="_Toc129097067"/>
      <w:r>
        <w:rPr>
          <w:rFonts w:hint="eastAsia" w:eastAsia="仿宋_GB2312"/>
          <w:b w:val="0"/>
          <w:kern w:val="2"/>
        </w:rPr>
        <w:t>（二十七）绿色工地类项目</w:t>
      </w:r>
      <w:bookmarkEnd w:id="29"/>
    </w:p>
    <w:p>
      <w:pPr>
        <w:ind w:firstLine="640" w:firstLineChars="200"/>
        <w:rPr>
          <w:rFonts w:ascii="仿宋_GB2312"/>
        </w:rPr>
      </w:pPr>
      <w:r>
        <w:rPr>
          <w:rFonts w:hint="eastAsia" w:ascii="仿宋_GB2312" w:hAnsi="仿宋_GB2312" w:cs="仿宋_GB2312"/>
        </w:rPr>
        <w:t>对获得建设行政主管部门评选的2021年度、2022年度“北京市绿色安全工地”或“北京市绿色安全样板工地”称号，未因环境问题受到相关行政主管部门处罚，且未因环境问题受到市级及以上相关行政主管部门问题书面通报，并且已完工的工地，可分别获得10万元、20万元奖励，该类项目为免申即享项目</w:t>
      </w:r>
      <w:r>
        <w:rPr>
          <w:rFonts w:hint="eastAsia" w:ascii="仿宋_GB2312"/>
        </w:rPr>
        <w:t>。</w:t>
      </w:r>
    </w:p>
    <w:p>
      <w:pPr>
        <w:pStyle w:val="3"/>
        <w:spacing w:before="156" w:beforeLines="50" w:after="156" w:afterLines="50"/>
        <w:ind w:firstLine="0"/>
        <w:jc w:val="center"/>
        <w:rPr>
          <w:b w:val="0"/>
          <w:bCs/>
        </w:rPr>
      </w:pPr>
      <w:r>
        <w:rPr>
          <w:rFonts w:hint="eastAsia"/>
          <w:b w:val="0"/>
          <w:bCs/>
        </w:rPr>
        <w:t>第三章 附则</w:t>
      </w:r>
    </w:p>
    <w:p>
      <w:pPr>
        <w:ind w:firstLine="630"/>
        <w:rPr>
          <w:rFonts w:hint="eastAsia" w:ascii="楷体_GB2312" w:eastAsia="楷体_GB2312"/>
          <w:szCs w:val="32"/>
          <w:lang w:eastAsia="zh-CN"/>
        </w:rPr>
      </w:pPr>
      <w:r>
        <w:rPr>
          <w:rFonts w:hint="eastAsia" w:ascii="楷体_GB2312" w:eastAsia="楷体_GB2312"/>
          <w:szCs w:val="32"/>
        </w:rPr>
        <w:t>一、</w:t>
      </w:r>
      <w:r>
        <w:rPr>
          <w:rFonts w:hint="eastAsia" w:ascii="楷体_GB2312" w:eastAsia="楷体_GB2312"/>
          <w:szCs w:val="32"/>
          <w:lang w:eastAsia="zh-CN"/>
        </w:rPr>
        <w:t>适用范围</w:t>
      </w:r>
    </w:p>
    <w:p>
      <w:r>
        <w:rPr>
          <w:rFonts w:hint="eastAsia"/>
        </w:rPr>
        <w:t>本政策</w:t>
      </w:r>
      <w:r>
        <w:rPr>
          <w:rFonts w:hint="eastAsia"/>
          <w:lang w:eastAsia="zh-CN"/>
        </w:rPr>
        <w:t>支持内容中的</w:t>
      </w:r>
      <w:r>
        <w:rPr>
          <w:rFonts w:hint="eastAsia" w:ascii="Calibri" w:hAnsi="Calibri" w:cs="Times New Roman"/>
          <w:szCs w:val="24"/>
        </w:rPr>
        <w:t>支持项目（一）至（十</w:t>
      </w:r>
      <w:r>
        <w:rPr>
          <w:rFonts w:hint="eastAsia" w:ascii="Calibri" w:hAnsi="Calibri" w:cs="Times New Roman"/>
          <w:szCs w:val="24"/>
          <w:lang w:eastAsia="zh-CN"/>
        </w:rPr>
        <w:t>四</w:t>
      </w:r>
      <w:r>
        <w:rPr>
          <w:rFonts w:hint="eastAsia" w:ascii="Calibri" w:hAnsi="Calibri" w:cs="Times New Roman"/>
          <w:szCs w:val="24"/>
        </w:rPr>
        <w:t>）</w:t>
      </w:r>
      <w:r>
        <w:rPr>
          <w:rFonts w:hint="eastAsia"/>
        </w:rPr>
        <w:t>适用于经开区</w:t>
      </w:r>
      <w:r>
        <w:rPr>
          <w:rFonts w:hint="eastAsia" w:ascii="Calibri" w:hAnsi="Calibri" w:cs="Times New Roman"/>
          <w:szCs w:val="24"/>
        </w:rPr>
        <w:t>60</w:t>
      </w:r>
      <w:r>
        <w:rPr>
          <w:rFonts w:hint="eastAsia"/>
        </w:rPr>
        <w:t>平方公里范围，其余具备条件的支持项目（十</w:t>
      </w:r>
      <w:r>
        <w:rPr>
          <w:rFonts w:hint="eastAsia"/>
          <w:lang w:eastAsia="zh-CN"/>
        </w:rPr>
        <w:t>五</w:t>
      </w:r>
      <w:r>
        <w:rPr>
          <w:rFonts w:hint="eastAsia"/>
        </w:rPr>
        <w:t>）至（二十七）适用于亦庄新城</w:t>
      </w:r>
      <w:r>
        <w:rPr>
          <w:rFonts w:hint="eastAsia" w:ascii="Calibri" w:hAnsi="Calibri" w:cs="Times New Roman"/>
          <w:szCs w:val="24"/>
        </w:rPr>
        <w:t>225</w:t>
      </w:r>
      <w:r>
        <w:rPr>
          <w:rFonts w:hint="eastAsia"/>
        </w:rPr>
        <w:t>平方公里范围。</w:t>
      </w:r>
    </w:p>
    <w:p>
      <w:r>
        <w:rPr>
          <w:rFonts w:hint="eastAsia" w:ascii="Calibri" w:hAnsi="Calibri" w:cs="Times New Roman"/>
          <w:szCs w:val="24"/>
        </w:rPr>
        <w:t>支持项目（一）至（十</w:t>
      </w:r>
      <w:r>
        <w:rPr>
          <w:rFonts w:hint="eastAsia" w:ascii="Calibri" w:hAnsi="Calibri" w:cs="Times New Roman"/>
          <w:szCs w:val="24"/>
          <w:lang w:eastAsia="zh-CN"/>
        </w:rPr>
        <w:t>四</w:t>
      </w:r>
      <w:r>
        <w:rPr>
          <w:rFonts w:hint="eastAsia" w:ascii="Calibri" w:hAnsi="Calibri" w:cs="Times New Roman"/>
          <w:szCs w:val="24"/>
        </w:rPr>
        <w:t>）的申报主体应在经开区60</w:t>
      </w:r>
      <w:r>
        <w:rPr>
          <w:rFonts w:hint="eastAsia"/>
        </w:rPr>
        <w:t>平方公里</w:t>
      </w:r>
      <w:r>
        <w:rPr>
          <w:rFonts w:hint="eastAsia" w:ascii="Calibri" w:hAnsi="Calibri" w:cs="Times New Roman"/>
          <w:szCs w:val="24"/>
        </w:rPr>
        <w:t>范围内依法注册、纳税、入统，其余</w:t>
      </w:r>
      <w:r>
        <w:rPr>
          <w:rFonts w:hint="eastAsia"/>
        </w:rPr>
        <w:t>支持项目（十</w:t>
      </w:r>
      <w:r>
        <w:rPr>
          <w:rFonts w:hint="eastAsia"/>
          <w:lang w:eastAsia="zh-CN"/>
        </w:rPr>
        <w:t>五</w:t>
      </w:r>
      <w:r>
        <w:rPr>
          <w:rFonts w:hint="eastAsia"/>
        </w:rPr>
        <w:t>）至（二十七）</w:t>
      </w:r>
      <w:r>
        <w:rPr>
          <w:rFonts w:hint="eastAsia" w:ascii="Calibri" w:hAnsi="Calibri" w:cs="Times New Roman"/>
          <w:szCs w:val="24"/>
        </w:rPr>
        <w:t>申报主体应在亦庄新城225</w:t>
      </w:r>
      <w:r>
        <w:rPr>
          <w:rFonts w:hint="eastAsia"/>
        </w:rPr>
        <w:t>平方公里</w:t>
      </w:r>
      <w:r>
        <w:rPr>
          <w:rFonts w:hint="eastAsia" w:ascii="Calibri" w:hAnsi="Calibri" w:cs="Times New Roman"/>
          <w:szCs w:val="24"/>
        </w:rPr>
        <w:t>范围内依法注册、纳税、入统。</w:t>
      </w:r>
      <w:bookmarkStart w:id="30" w:name="_GoBack"/>
      <w:bookmarkEnd w:id="30"/>
    </w:p>
    <w:p>
      <w:pPr>
        <w:ind w:firstLine="630"/>
        <w:rPr>
          <w:rFonts w:ascii="楷体_GB2312" w:eastAsia="楷体_GB2312"/>
          <w:szCs w:val="32"/>
        </w:rPr>
      </w:pPr>
      <w:r>
        <w:rPr>
          <w:rFonts w:hint="eastAsia" w:ascii="楷体_GB2312" w:eastAsia="楷体_GB2312"/>
          <w:szCs w:val="32"/>
          <w:lang w:eastAsia="zh-CN"/>
        </w:rPr>
        <w:t>二、</w:t>
      </w:r>
      <w:r>
        <w:rPr>
          <w:rFonts w:hint="eastAsia" w:ascii="楷体_GB2312" w:eastAsia="楷体_GB2312"/>
          <w:szCs w:val="32"/>
        </w:rPr>
        <w:t>资金来源</w:t>
      </w:r>
    </w:p>
    <w:p>
      <w:pPr>
        <w:rPr>
          <w:rFonts w:hint="eastAsia"/>
        </w:rPr>
      </w:pPr>
      <w:r>
        <w:rPr>
          <w:rFonts w:hint="eastAsia"/>
        </w:rPr>
        <w:t>经开区管委会设立绿色发展专项资金，用于支持</w:t>
      </w:r>
      <w:r>
        <w:rPr>
          <w:rFonts w:hint="eastAsia"/>
          <w:lang w:eastAsia="zh-CN"/>
        </w:rPr>
        <w:t>经开区</w:t>
      </w:r>
      <w:r>
        <w:rPr>
          <w:rFonts w:hint="eastAsia"/>
        </w:rPr>
        <w:t>生态环境保护和节能降碳工作。资金来源为经开区财政拨款，并纳入经开区预算管理。在绿色发展专项资金中设立区域生态环境合作资金，用于支持密云区、平谷区等区与经开区跨区域合作试点项目，通过政府财政资金转移支付的形式实施。</w:t>
      </w:r>
    </w:p>
    <w:p>
      <w:pPr>
        <w:ind w:firstLine="630"/>
        <w:rPr>
          <w:rFonts w:ascii="楷体_GB2312" w:eastAsia="楷体_GB2312"/>
          <w:szCs w:val="32"/>
        </w:rPr>
      </w:pPr>
      <w:r>
        <w:rPr>
          <w:rFonts w:hint="eastAsia" w:ascii="楷体_GB2312" w:eastAsia="楷体_GB2312"/>
          <w:szCs w:val="32"/>
          <w:lang w:eastAsia="zh-CN"/>
        </w:rPr>
        <w:t>三</w:t>
      </w:r>
      <w:r>
        <w:rPr>
          <w:rFonts w:hint="eastAsia" w:ascii="楷体_GB2312" w:eastAsia="楷体_GB2312"/>
          <w:szCs w:val="32"/>
        </w:rPr>
        <w:t>、职责分工</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一）经开区绿色发展资金管理工作领导小组对绿色发展资金进行统筹管理、确定资金使用方向，协调解决资金管理使用中的重大问题，成员单位包括经开区经济发展局、营商合作局、科技创新局、财政审计局、开发建设局、城市运行局、行政审批局、政务服务中心。绿色发展资金管理工作领导小组办公室由经开区城市运行局、经济发展局、开发建设局共同组成（以下简称“领导小组”）。</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二）绿色发展资金由城市运行局组织统筹，由各领域主管部门进行具体实施。城市运行局负责污染防治支持方向的政策制定、项目评审和政策兑现，以及区域生态环境合作资金的组织实施；经济发展局负责节能降碳支持方向的政策制定、项目评审和政策兑现；开发建设局负责绿色建筑支持方向的政策制定、项目评审和政策兑现；主管部门可委托第三方专业机构进行项目评审。在编制下一年度预算时，各部门可根据项目征集情况或项目评审情况提出资金需求，统一列入绿色发展资金预算。</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（三）工委审计委员会办公室负责对政策资金依法进行审计监督；经开区财政审计局负责绿色发展资金的总体预算管理及拨付管理，并对政策进行绩效评价；经开区行政审批局负责协查环境保护“三同时”项目。</w:t>
      </w:r>
    </w:p>
    <w:p>
      <w:pPr>
        <w:ind w:firstLine="630"/>
        <w:rPr>
          <w:rFonts w:ascii="楷体_GB2312" w:eastAsia="楷体_GB2312"/>
          <w:szCs w:val="32"/>
        </w:rPr>
      </w:pPr>
      <w:r>
        <w:rPr>
          <w:rFonts w:hint="eastAsia" w:ascii="楷体_GB2312" w:eastAsia="楷体_GB2312"/>
          <w:szCs w:val="32"/>
          <w:lang w:eastAsia="zh-CN"/>
        </w:rPr>
        <w:t>四</w:t>
      </w:r>
      <w:r>
        <w:rPr>
          <w:rFonts w:hint="eastAsia" w:ascii="楷体_GB2312" w:eastAsia="楷体_GB2312"/>
          <w:szCs w:val="32"/>
        </w:rPr>
        <w:t>、其他支持条件</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（一）项目完成时间原则上为2021年11月1日至2023年12月31日。</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（二）同一单位同一项目符合本政策规定的多个支持方向及经开区其他专项支持政策的，按照从高从优不重复的原则申请支持。</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（三）以下项目不列入绿色发展资金的支持范围：</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1.污染防治支持方向中相关项目属于建设项目环境保护“三同时”的项目。</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2.未获得节能审查意见的数据中心项目。</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3.使用政府财政资金投资建设的项目。</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（四）具体申报条件以各支持方向申报指南中</w:t>
      </w:r>
      <w:r>
        <w:rPr>
          <w:rFonts w:hint="eastAsia" w:ascii="仿宋_GB2312" w:hAnsi="仿宋_GB2312" w:cs="仿宋_GB2312"/>
          <w:szCs w:val="32"/>
          <w:lang w:eastAsia="zh-CN"/>
        </w:rPr>
        <w:t>的</w:t>
      </w:r>
      <w:r>
        <w:rPr>
          <w:rFonts w:hint="eastAsia" w:ascii="仿宋_GB2312" w:hAnsi="仿宋_GB2312" w:cs="仿宋_GB2312"/>
          <w:szCs w:val="32"/>
        </w:rPr>
        <w:t>要求为准。</w:t>
      </w:r>
    </w:p>
    <w:p>
      <w:pPr>
        <w:ind w:firstLine="630"/>
        <w:rPr>
          <w:rFonts w:ascii="楷体_GB2312" w:eastAsia="楷体_GB2312"/>
          <w:szCs w:val="32"/>
        </w:rPr>
      </w:pPr>
      <w:r>
        <w:rPr>
          <w:rFonts w:hint="eastAsia" w:ascii="楷体_GB2312" w:eastAsia="楷体_GB2312"/>
          <w:szCs w:val="32"/>
          <w:lang w:eastAsia="zh-CN"/>
        </w:rPr>
        <w:t>五</w:t>
      </w:r>
      <w:r>
        <w:rPr>
          <w:rFonts w:hint="eastAsia" w:ascii="楷体_GB2312" w:eastAsia="楷体_GB2312"/>
          <w:szCs w:val="32"/>
        </w:rPr>
        <w:t>、其他说明</w:t>
      </w:r>
    </w:p>
    <w:p>
      <w:pPr>
        <w:widowControl/>
        <w:adjustRightInd w:val="0"/>
        <w:snapToGrid w:val="0"/>
        <w:ind w:firstLine="640" w:firstLineChars="200"/>
        <w:rPr>
          <w:rFonts w:ascii="仿宋_GB2312" w:hAnsi="仿宋_GB2312" w:cs="仿宋_GB2312"/>
          <w:szCs w:val="32"/>
        </w:rPr>
      </w:pPr>
      <w:r>
        <w:rPr>
          <w:rFonts w:hint="eastAsia" w:ascii="仿宋_GB2312" w:hAnsi="仿宋_GB2312" w:cs="仿宋_GB2312"/>
          <w:szCs w:val="32"/>
        </w:rPr>
        <w:t>（一）对于获得本政策支持的企事业单位，应配合开展绩效评价、专项审计工作；对于审计或绩效评价结果不合格的项目，将责令其限期整改</w:t>
      </w:r>
      <w:r>
        <w:rPr>
          <w:rFonts w:hint="eastAsia" w:ascii="仿宋_GB2312" w:hAnsi="仿宋_GB2312" w:cs="仿宋_GB2312"/>
          <w:szCs w:val="32"/>
          <w:lang w:eastAsia="zh-CN"/>
        </w:rPr>
        <w:t>；</w:t>
      </w:r>
      <w:r>
        <w:rPr>
          <w:rFonts w:hint="eastAsia" w:ascii="仿宋_GB2312" w:hAnsi="仿宋_GB2312" w:cs="仿宋_GB2312"/>
          <w:szCs w:val="32"/>
        </w:rPr>
        <w:t>情节严重的或整改不到位</w:t>
      </w:r>
      <w:r>
        <w:rPr>
          <w:rFonts w:hint="eastAsia" w:ascii="仿宋_GB2312" w:hAnsi="仿宋_GB2312" w:cs="仿宋_GB2312"/>
          <w:szCs w:val="32"/>
          <w:lang w:eastAsia="zh-CN"/>
        </w:rPr>
        <w:t>的</w:t>
      </w:r>
      <w:r>
        <w:rPr>
          <w:rFonts w:hint="eastAsia" w:ascii="仿宋_GB2312" w:hAnsi="仿宋_GB2312" w:cs="仿宋_GB2312"/>
          <w:szCs w:val="32"/>
        </w:rPr>
        <w:t>，领导小组有权追回已拨付资金，将其行为归集至“经开区市场主体信用服务平台”。</w:t>
      </w:r>
    </w:p>
    <w:p>
      <w:pPr>
        <w:widowControl/>
        <w:adjustRightInd w:val="0"/>
        <w:snapToGrid w:val="0"/>
        <w:ind w:firstLine="640" w:firstLineChars="200"/>
      </w:pPr>
      <w:r>
        <w:rPr>
          <w:rFonts w:hint="eastAsia" w:ascii="仿宋_GB2312" w:hAnsi="仿宋_GB2312" w:cs="仿宋_GB2312"/>
          <w:szCs w:val="32"/>
        </w:rPr>
        <w:t>（二）企业获得支持资金总额不与上一年度区域经济贡献挂钩。</w:t>
      </w:r>
    </w:p>
    <w:p>
      <w:pPr>
        <w:widowControl/>
        <w:adjustRightInd w:val="0"/>
        <w:snapToGrid w:val="0"/>
        <w:ind w:firstLine="640" w:firstLineChars="200"/>
        <w:rPr>
          <w:rFonts w:hint="eastAsia" w:ascii="仿宋_GB2312" w:hAnsi="仿宋_GB2312" w:cs="仿宋_GB2312"/>
          <w:szCs w:val="32"/>
        </w:rPr>
      </w:pPr>
      <w:r>
        <w:rPr>
          <w:rFonts w:hint="eastAsia" w:ascii="仿宋_GB2312" w:hAnsi="仿宋_GB2312" w:cs="仿宋_GB2312"/>
          <w:szCs w:val="32"/>
        </w:rPr>
        <w:t>（三）本政策由经开区管理委员会负责解释。本政策自印发之日起一年内有效。</w:t>
      </w:r>
    </w:p>
    <w:p>
      <w:pPr>
        <w:pStyle w:val="2"/>
        <w:rPr>
          <w:rFonts w:hint="eastAsia" w:ascii="仿宋_GB2312" w:hAnsi="仿宋_GB2312" w:cs="仿宋_GB2312"/>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NjRlZmFmMDYzNjM1NzY4NDg4YTNhYTAzMGM5MTgifQ=="/>
  </w:docVars>
  <w:rsids>
    <w:rsidRoot w:val="13507F5A"/>
    <w:rsid w:val="0011760F"/>
    <w:rsid w:val="0028276A"/>
    <w:rsid w:val="00283BB8"/>
    <w:rsid w:val="002B6923"/>
    <w:rsid w:val="002B6B54"/>
    <w:rsid w:val="002C5395"/>
    <w:rsid w:val="002F7772"/>
    <w:rsid w:val="003379C2"/>
    <w:rsid w:val="003913AE"/>
    <w:rsid w:val="003A34AD"/>
    <w:rsid w:val="00431425"/>
    <w:rsid w:val="00487AEA"/>
    <w:rsid w:val="004A0769"/>
    <w:rsid w:val="00520B0F"/>
    <w:rsid w:val="00571BF0"/>
    <w:rsid w:val="00577718"/>
    <w:rsid w:val="00585550"/>
    <w:rsid w:val="005F06D7"/>
    <w:rsid w:val="007A08CB"/>
    <w:rsid w:val="007C5BBC"/>
    <w:rsid w:val="0083106C"/>
    <w:rsid w:val="00850028"/>
    <w:rsid w:val="009F4EFB"/>
    <w:rsid w:val="00A267D1"/>
    <w:rsid w:val="00B800AE"/>
    <w:rsid w:val="00BE793D"/>
    <w:rsid w:val="00C8596E"/>
    <w:rsid w:val="00CC425A"/>
    <w:rsid w:val="00CD735D"/>
    <w:rsid w:val="00DC0D23"/>
    <w:rsid w:val="00F05EA3"/>
    <w:rsid w:val="00F916B4"/>
    <w:rsid w:val="01703458"/>
    <w:rsid w:val="02003325"/>
    <w:rsid w:val="021533E7"/>
    <w:rsid w:val="024F37CB"/>
    <w:rsid w:val="02BD75DA"/>
    <w:rsid w:val="02C848FD"/>
    <w:rsid w:val="03306B37"/>
    <w:rsid w:val="0381685A"/>
    <w:rsid w:val="03F4527E"/>
    <w:rsid w:val="047A39D5"/>
    <w:rsid w:val="04BF3ADE"/>
    <w:rsid w:val="05237BC9"/>
    <w:rsid w:val="05701363"/>
    <w:rsid w:val="05D21D0E"/>
    <w:rsid w:val="060A2B37"/>
    <w:rsid w:val="068723D9"/>
    <w:rsid w:val="068E19BA"/>
    <w:rsid w:val="0701218C"/>
    <w:rsid w:val="0708176C"/>
    <w:rsid w:val="07762B7A"/>
    <w:rsid w:val="07DE24CD"/>
    <w:rsid w:val="07E15B19"/>
    <w:rsid w:val="08326375"/>
    <w:rsid w:val="085D5AE7"/>
    <w:rsid w:val="086E1AA3"/>
    <w:rsid w:val="086F75C9"/>
    <w:rsid w:val="087846CF"/>
    <w:rsid w:val="091A7860"/>
    <w:rsid w:val="09300B06"/>
    <w:rsid w:val="09322AD0"/>
    <w:rsid w:val="09526CCE"/>
    <w:rsid w:val="09892BA0"/>
    <w:rsid w:val="09B42894"/>
    <w:rsid w:val="09BE4364"/>
    <w:rsid w:val="0A805ABD"/>
    <w:rsid w:val="0A911A78"/>
    <w:rsid w:val="0A9B46A5"/>
    <w:rsid w:val="0AA7304A"/>
    <w:rsid w:val="0AD57BB7"/>
    <w:rsid w:val="0B536D2E"/>
    <w:rsid w:val="0B810879"/>
    <w:rsid w:val="0C0369A6"/>
    <w:rsid w:val="0C1E733C"/>
    <w:rsid w:val="0D8C6527"/>
    <w:rsid w:val="0DBC0BBA"/>
    <w:rsid w:val="0E4067C6"/>
    <w:rsid w:val="0E86036E"/>
    <w:rsid w:val="0E8A6F0A"/>
    <w:rsid w:val="0EF64C2F"/>
    <w:rsid w:val="0F0E18EA"/>
    <w:rsid w:val="0F385A8D"/>
    <w:rsid w:val="0F451083"/>
    <w:rsid w:val="0FA553F1"/>
    <w:rsid w:val="0FDB27D8"/>
    <w:rsid w:val="10090303"/>
    <w:rsid w:val="105570A4"/>
    <w:rsid w:val="106612B1"/>
    <w:rsid w:val="107240FA"/>
    <w:rsid w:val="10741C20"/>
    <w:rsid w:val="109E2F36"/>
    <w:rsid w:val="10FD39C4"/>
    <w:rsid w:val="112278CE"/>
    <w:rsid w:val="11535CDA"/>
    <w:rsid w:val="1183680A"/>
    <w:rsid w:val="11B7573D"/>
    <w:rsid w:val="11C10E95"/>
    <w:rsid w:val="11E91D0D"/>
    <w:rsid w:val="11F03528"/>
    <w:rsid w:val="120462B8"/>
    <w:rsid w:val="127B449C"/>
    <w:rsid w:val="12BB55BA"/>
    <w:rsid w:val="133F3096"/>
    <w:rsid w:val="135049B9"/>
    <w:rsid w:val="13507F5A"/>
    <w:rsid w:val="135F0966"/>
    <w:rsid w:val="13E62E35"/>
    <w:rsid w:val="13F310AE"/>
    <w:rsid w:val="14186D67"/>
    <w:rsid w:val="14423DE3"/>
    <w:rsid w:val="14847F58"/>
    <w:rsid w:val="149E385D"/>
    <w:rsid w:val="14B60A59"/>
    <w:rsid w:val="14C645B6"/>
    <w:rsid w:val="14F11A91"/>
    <w:rsid w:val="15307872"/>
    <w:rsid w:val="164464A0"/>
    <w:rsid w:val="1675422E"/>
    <w:rsid w:val="169A1CB5"/>
    <w:rsid w:val="176302F9"/>
    <w:rsid w:val="17C0574B"/>
    <w:rsid w:val="18171476"/>
    <w:rsid w:val="18502F73"/>
    <w:rsid w:val="185364EE"/>
    <w:rsid w:val="186B1B5B"/>
    <w:rsid w:val="18826EA4"/>
    <w:rsid w:val="18F953B8"/>
    <w:rsid w:val="19467ED2"/>
    <w:rsid w:val="19516DFA"/>
    <w:rsid w:val="196B7938"/>
    <w:rsid w:val="19C31523"/>
    <w:rsid w:val="19E73463"/>
    <w:rsid w:val="1A5A3C35"/>
    <w:rsid w:val="1A7A42D7"/>
    <w:rsid w:val="1AA85DF9"/>
    <w:rsid w:val="1BA3160C"/>
    <w:rsid w:val="1BC27DE6"/>
    <w:rsid w:val="1BD417C5"/>
    <w:rsid w:val="1BE21DF5"/>
    <w:rsid w:val="1BEC2FB3"/>
    <w:rsid w:val="1C116575"/>
    <w:rsid w:val="1C297D63"/>
    <w:rsid w:val="1C387FA6"/>
    <w:rsid w:val="1C4526C3"/>
    <w:rsid w:val="1C672639"/>
    <w:rsid w:val="1C744D56"/>
    <w:rsid w:val="1C84373B"/>
    <w:rsid w:val="1C9A0C60"/>
    <w:rsid w:val="1CCE090A"/>
    <w:rsid w:val="1CFB1312"/>
    <w:rsid w:val="1D8F0099"/>
    <w:rsid w:val="1DDE692B"/>
    <w:rsid w:val="1E1D3864"/>
    <w:rsid w:val="1E230F4E"/>
    <w:rsid w:val="1E2D1660"/>
    <w:rsid w:val="1ECA6703"/>
    <w:rsid w:val="1F572083"/>
    <w:rsid w:val="1F8B2AE2"/>
    <w:rsid w:val="1F901EA7"/>
    <w:rsid w:val="205D622D"/>
    <w:rsid w:val="206C6470"/>
    <w:rsid w:val="208F215E"/>
    <w:rsid w:val="215A6C10"/>
    <w:rsid w:val="21C47628"/>
    <w:rsid w:val="21D267A7"/>
    <w:rsid w:val="21F4462C"/>
    <w:rsid w:val="222F1E4B"/>
    <w:rsid w:val="227635D6"/>
    <w:rsid w:val="22AD2D70"/>
    <w:rsid w:val="230E7CB2"/>
    <w:rsid w:val="23953F30"/>
    <w:rsid w:val="23CD191B"/>
    <w:rsid w:val="24297A24"/>
    <w:rsid w:val="246758CC"/>
    <w:rsid w:val="24946176"/>
    <w:rsid w:val="24D27215"/>
    <w:rsid w:val="24DD5B8E"/>
    <w:rsid w:val="26125EDF"/>
    <w:rsid w:val="265E685B"/>
    <w:rsid w:val="26934E75"/>
    <w:rsid w:val="26DE174A"/>
    <w:rsid w:val="270A69E3"/>
    <w:rsid w:val="27392E24"/>
    <w:rsid w:val="27534744"/>
    <w:rsid w:val="278654E1"/>
    <w:rsid w:val="27893DAB"/>
    <w:rsid w:val="27B84691"/>
    <w:rsid w:val="27B97AAE"/>
    <w:rsid w:val="27EB6814"/>
    <w:rsid w:val="27EE1E60"/>
    <w:rsid w:val="27FA6A57"/>
    <w:rsid w:val="28096C9A"/>
    <w:rsid w:val="28550131"/>
    <w:rsid w:val="289742A6"/>
    <w:rsid w:val="28D9041B"/>
    <w:rsid w:val="28E079FB"/>
    <w:rsid w:val="291F6312"/>
    <w:rsid w:val="29622B06"/>
    <w:rsid w:val="296248B4"/>
    <w:rsid w:val="29A75975"/>
    <w:rsid w:val="29C15A7E"/>
    <w:rsid w:val="29C4386F"/>
    <w:rsid w:val="2A331DAD"/>
    <w:rsid w:val="2A742AF1"/>
    <w:rsid w:val="2A88016B"/>
    <w:rsid w:val="2A9E7B6E"/>
    <w:rsid w:val="2AE9690F"/>
    <w:rsid w:val="2AEF2177"/>
    <w:rsid w:val="2BCE566B"/>
    <w:rsid w:val="2C1D0F66"/>
    <w:rsid w:val="2C29553B"/>
    <w:rsid w:val="2C83072C"/>
    <w:rsid w:val="2C8D2AB6"/>
    <w:rsid w:val="2D1265F1"/>
    <w:rsid w:val="2D263C8C"/>
    <w:rsid w:val="2D5409B8"/>
    <w:rsid w:val="2D5E4969"/>
    <w:rsid w:val="2DE30898"/>
    <w:rsid w:val="2E073C7C"/>
    <w:rsid w:val="2E1168A9"/>
    <w:rsid w:val="2E5D1AEE"/>
    <w:rsid w:val="2ED33B5E"/>
    <w:rsid w:val="2F1130D5"/>
    <w:rsid w:val="2F3B7441"/>
    <w:rsid w:val="2F4B5DEA"/>
    <w:rsid w:val="2F555188"/>
    <w:rsid w:val="2F57653D"/>
    <w:rsid w:val="2F7215C9"/>
    <w:rsid w:val="2FD96EAF"/>
    <w:rsid w:val="2FEC137B"/>
    <w:rsid w:val="306E4703"/>
    <w:rsid w:val="30BD0622"/>
    <w:rsid w:val="30E034DF"/>
    <w:rsid w:val="31943A79"/>
    <w:rsid w:val="32430FFB"/>
    <w:rsid w:val="32607775"/>
    <w:rsid w:val="32BA7E9F"/>
    <w:rsid w:val="33380947"/>
    <w:rsid w:val="333F5C66"/>
    <w:rsid w:val="344A6670"/>
    <w:rsid w:val="34515C51"/>
    <w:rsid w:val="3472133D"/>
    <w:rsid w:val="347E57A3"/>
    <w:rsid w:val="34982394"/>
    <w:rsid w:val="34AE30A3"/>
    <w:rsid w:val="34BF39F8"/>
    <w:rsid w:val="34EA1DA5"/>
    <w:rsid w:val="34F75F1F"/>
    <w:rsid w:val="351D5B33"/>
    <w:rsid w:val="351F7AFD"/>
    <w:rsid w:val="3575771D"/>
    <w:rsid w:val="357D65D2"/>
    <w:rsid w:val="359F76AC"/>
    <w:rsid w:val="35AD5109"/>
    <w:rsid w:val="35D112E4"/>
    <w:rsid w:val="35E759A9"/>
    <w:rsid w:val="36E41032"/>
    <w:rsid w:val="36ED19C3"/>
    <w:rsid w:val="36F23C47"/>
    <w:rsid w:val="370E2D18"/>
    <w:rsid w:val="373D2A8F"/>
    <w:rsid w:val="37704A11"/>
    <w:rsid w:val="37716B14"/>
    <w:rsid w:val="379057B7"/>
    <w:rsid w:val="37D449E8"/>
    <w:rsid w:val="381B27FE"/>
    <w:rsid w:val="383438BF"/>
    <w:rsid w:val="384E3268"/>
    <w:rsid w:val="385143A2"/>
    <w:rsid w:val="38CC3AF8"/>
    <w:rsid w:val="38D2012C"/>
    <w:rsid w:val="38FB0F93"/>
    <w:rsid w:val="38FF7B80"/>
    <w:rsid w:val="39292E8D"/>
    <w:rsid w:val="39AF6A2B"/>
    <w:rsid w:val="39B747A8"/>
    <w:rsid w:val="39BF365D"/>
    <w:rsid w:val="39C52EDE"/>
    <w:rsid w:val="3A343C1E"/>
    <w:rsid w:val="3A3C4CAD"/>
    <w:rsid w:val="3A6C406A"/>
    <w:rsid w:val="3AD56186"/>
    <w:rsid w:val="3ADD207C"/>
    <w:rsid w:val="3ADE7B13"/>
    <w:rsid w:val="3B292D1E"/>
    <w:rsid w:val="3B554279"/>
    <w:rsid w:val="3B6D4BC5"/>
    <w:rsid w:val="3B8763FC"/>
    <w:rsid w:val="3BAF103B"/>
    <w:rsid w:val="3C706E90"/>
    <w:rsid w:val="3C81109D"/>
    <w:rsid w:val="3C9963E7"/>
    <w:rsid w:val="3CAA23A2"/>
    <w:rsid w:val="3D1141CF"/>
    <w:rsid w:val="3D2A29C9"/>
    <w:rsid w:val="3D4F2F4A"/>
    <w:rsid w:val="3DA60DBB"/>
    <w:rsid w:val="3DAB57E6"/>
    <w:rsid w:val="3E261EFC"/>
    <w:rsid w:val="3EB274B2"/>
    <w:rsid w:val="3EE15E23"/>
    <w:rsid w:val="3F016A58"/>
    <w:rsid w:val="3F4317AD"/>
    <w:rsid w:val="3F67457A"/>
    <w:rsid w:val="3FAC47A0"/>
    <w:rsid w:val="3FBD063E"/>
    <w:rsid w:val="3FDB0AC5"/>
    <w:rsid w:val="40303C7D"/>
    <w:rsid w:val="40324B88"/>
    <w:rsid w:val="40660DE4"/>
    <w:rsid w:val="40A435AC"/>
    <w:rsid w:val="40DE6ABE"/>
    <w:rsid w:val="40F63E08"/>
    <w:rsid w:val="410B53E3"/>
    <w:rsid w:val="415B1EBD"/>
    <w:rsid w:val="418215C0"/>
    <w:rsid w:val="42576B28"/>
    <w:rsid w:val="42A32515"/>
    <w:rsid w:val="42A761FE"/>
    <w:rsid w:val="42ED2FE9"/>
    <w:rsid w:val="43370708"/>
    <w:rsid w:val="43432C09"/>
    <w:rsid w:val="43CA332A"/>
    <w:rsid w:val="43D2480F"/>
    <w:rsid w:val="43F16B09"/>
    <w:rsid w:val="449D4207"/>
    <w:rsid w:val="44BA2E38"/>
    <w:rsid w:val="44DA57EF"/>
    <w:rsid w:val="44EB71C6"/>
    <w:rsid w:val="4545710C"/>
    <w:rsid w:val="4557299B"/>
    <w:rsid w:val="456D0411"/>
    <w:rsid w:val="45D466E2"/>
    <w:rsid w:val="46537E97"/>
    <w:rsid w:val="465B470D"/>
    <w:rsid w:val="46626CB6"/>
    <w:rsid w:val="46717A8D"/>
    <w:rsid w:val="46AA2F9F"/>
    <w:rsid w:val="47060B1D"/>
    <w:rsid w:val="477261B2"/>
    <w:rsid w:val="477C493B"/>
    <w:rsid w:val="477E4B57"/>
    <w:rsid w:val="47E524E0"/>
    <w:rsid w:val="481F1AC9"/>
    <w:rsid w:val="488A394D"/>
    <w:rsid w:val="48BC6866"/>
    <w:rsid w:val="490B5F77"/>
    <w:rsid w:val="49D6270B"/>
    <w:rsid w:val="49D96075"/>
    <w:rsid w:val="49F2635D"/>
    <w:rsid w:val="4A314103"/>
    <w:rsid w:val="4ACE54AE"/>
    <w:rsid w:val="4AE27BF2"/>
    <w:rsid w:val="4AF62C56"/>
    <w:rsid w:val="4B315A3D"/>
    <w:rsid w:val="4B7F2C4C"/>
    <w:rsid w:val="4B8B54B7"/>
    <w:rsid w:val="4B92297F"/>
    <w:rsid w:val="4BEB208F"/>
    <w:rsid w:val="4C1B0BC7"/>
    <w:rsid w:val="4C2325B1"/>
    <w:rsid w:val="4C4579F1"/>
    <w:rsid w:val="4C79769B"/>
    <w:rsid w:val="4C942727"/>
    <w:rsid w:val="4C96649F"/>
    <w:rsid w:val="4D267823"/>
    <w:rsid w:val="4D4D1254"/>
    <w:rsid w:val="4D565C2E"/>
    <w:rsid w:val="4D7F6F33"/>
    <w:rsid w:val="4DE84AD8"/>
    <w:rsid w:val="4E031912"/>
    <w:rsid w:val="4E3E0B9C"/>
    <w:rsid w:val="4E6A7265"/>
    <w:rsid w:val="4EBE3A8B"/>
    <w:rsid w:val="4EDD6607"/>
    <w:rsid w:val="4F302BDB"/>
    <w:rsid w:val="4F3568DA"/>
    <w:rsid w:val="4F905428"/>
    <w:rsid w:val="4FAE1D52"/>
    <w:rsid w:val="50081462"/>
    <w:rsid w:val="501F6CCA"/>
    <w:rsid w:val="50577CF3"/>
    <w:rsid w:val="5099030C"/>
    <w:rsid w:val="50F9524E"/>
    <w:rsid w:val="51273B6A"/>
    <w:rsid w:val="51644DBE"/>
    <w:rsid w:val="51D04201"/>
    <w:rsid w:val="51F83758"/>
    <w:rsid w:val="525A1D1D"/>
    <w:rsid w:val="52C756A6"/>
    <w:rsid w:val="52E46243"/>
    <w:rsid w:val="53357120"/>
    <w:rsid w:val="539354E6"/>
    <w:rsid w:val="53E144A4"/>
    <w:rsid w:val="54071A30"/>
    <w:rsid w:val="540A07B6"/>
    <w:rsid w:val="54413194"/>
    <w:rsid w:val="5458228C"/>
    <w:rsid w:val="549561E9"/>
    <w:rsid w:val="54B95421"/>
    <w:rsid w:val="55161F15"/>
    <w:rsid w:val="561817EF"/>
    <w:rsid w:val="565E627F"/>
    <w:rsid w:val="568D26C1"/>
    <w:rsid w:val="56A9325F"/>
    <w:rsid w:val="57272B15"/>
    <w:rsid w:val="57727B09"/>
    <w:rsid w:val="57D04F5B"/>
    <w:rsid w:val="58156E12"/>
    <w:rsid w:val="586E207E"/>
    <w:rsid w:val="589917F1"/>
    <w:rsid w:val="59017396"/>
    <w:rsid w:val="594524A7"/>
    <w:rsid w:val="598260DC"/>
    <w:rsid w:val="5A307F33"/>
    <w:rsid w:val="5A566598"/>
    <w:rsid w:val="5A6B2D19"/>
    <w:rsid w:val="5A81078E"/>
    <w:rsid w:val="5ABE7E4D"/>
    <w:rsid w:val="5AD52888"/>
    <w:rsid w:val="5B014147"/>
    <w:rsid w:val="5B060C94"/>
    <w:rsid w:val="5B1433B1"/>
    <w:rsid w:val="5B1909C7"/>
    <w:rsid w:val="5B975D90"/>
    <w:rsid w:val="5BDB3ECE"/>
    <w:rsid w:val="5C5123E2"/>
    <w:rsid w:val="5C732359"/>
    <w:rsid w:val="5C734107"/>
    <w:rsid w:val="5CA93FCD"/>
    <w:rsid w:val="5CF50BEC"/>
    <w:rsid w:val="5D161098"/>
    <w:rsid w:val="5D466F8C"/>
    <w:rsid w:val="5DC34C1A"/>
    <w:rsid w:val="5E53177A"/>
    <w:rsid w:val="5E5B12F6"/>
    <w:rsid w:val="5E856E8D"/>
    <w:rsid w:val="5E8C325E"/>
    <w:rsid w:val="5EF645DB"/>
    <w:rsid w:val="5F026825"/>
    <w:rsid w:val="5F13397F"/>
    <w:rsid w:val="5FB213EA"/>
    <w:rsid w:val="6031511F"/>
    <w:rsid w:val="603B13E0"/>
    <w:rsid w:val="604D6C72"/>
    <w:rsid w:val="60D94755"/>
    <w:rsid w:val="60E2185B"/>
    <w:rsid w:val="60F375C4"/>
    <w:rsid w:val="611A091D"/>
    <w:rsid w:val="611A5DAC"/>
    <w:rsid w:val="61FE26C5"/>
    <w:rsid w:val="62113B38"/>
    <w:rsid w:val="624D53FA"/>
    <w:rsid w:val="62864468"/>
    <w:rsid w:val="62D96C8E"/>
    <w:rsid w:val="63495BC1"/>
    <w:rsid w:val="6393508F"/>
    <w:rsid w:val="640C7506"/>
    <w:rsid w:val="642A59F3"/>
    <w:rsid w:val="64B259E8"/>
    <w:rsid w:val="64D63485"/>
    <w:rsid w:val="64EA33D4"/>
    <w:rsid w:val="657B402C"/>
    <w:rsid w:val="65953340"/>
    <w:rsid w:val="659D7812"/>
    <w:rsid w:val="660D737A"/>
    <w:rsid w:val="66546D57"/>
    <w:rsid w:val="66611474"/>
    <w:rsid w:val="668C4743"/>
    <w:rsid w:val="670A5668"/>
    <w:rsid w:val="670C5884"/>
    <w:rsid w:val="67185FD7"/>
    <w:rsid w:val="671F313F"/>
    <w:rsid w:val="673F7A07"/>
    <w:rsid w:val="674A787D"/>
    <w:rsid w:val="67717495"/>
    <w:rsid w:val="67760F4F"/>
    <w:rsid w:val="67C223E6"/>
    <w:rsid w:val="67F500C6"/>
    <w:rsid w:val="680035D0"/>
    <w:rsid w:val="68AC6419"/>
    <w:rsid w:val="6922138F"/>
    <w:rsid w:val="69A6688D"/>
    <w:rsid w:val="69AA3132"/>
    <w:rsid w:val="69EB79D2"/>
    <w:rsid w:val="6A5A6906"/>
    <w:rsid w:val="6AB029CA"/>
    <w:rsid w:val="6AF74155"/>
    <w:rsid w:val="6B0A6F2E"/>
    <w:rsid w:val="6B961BC0"/>
    <w:rsid w:val="6BE24E05"/>
    <w:rsid w:val="6C7B6AC8"/>
    <w:rsid w:val="6CA4030D"/>
    <w:rsid w:val="6CE00527"/>
    <w:rsid w:val="6CFC5A53"/>
    <w:rsid w:val="6D375EE0"/>
    <w:rsid w:val="6D6C69A9"/>
    <w:rsid w:val="6D9640F9"/>
    <w:rsid w:val="6DB63894"/>
    <w:rsid w:val="6DB85E1E"/>
    <w:rsid w:val="6E2E6927"/>
    <w:rsid w:val="6E663ACB"/>
    <w:rsid w:val="6EB02F99"/>
    <w:rsid w:val="6EBE3907"/>
    <w:rsid w:val="6EC1514D"/>
    <w:rsid w:val="6F0C79BF"/>
    <w:rsid w:val="6F154FDE"/>
    <w:rsid w:val="6F4A519B"/>
    <w:rsid w:val="6F8312B7"/>
    <w:rsid w:val="6F8C57B4"/>
    <w:rsid w:val="6F8D6E36"/>
    <w:rsid w:val="6FB27657"/>
    <w:rsid w:val="700F1F41"/>
    <w:rsid w:val="70232034"/>
    <w:rsid w:val="70291255"/>
    <w:rsid w:val="70335C2F"/>
    <w:rsid w:val="70490F62"/>
    <w:rsid w:val="705D4A5A"/>
    <w:rsid w:val="70A1528F"/>
    <w:rsid w:val="70CB4870"/>
    <w:rsid w:val="713B4DF5"/>
    <w:rsid w:val="71940950"/>
    <w:rsid w:val="71965E7A"/>
    <w:rsid w:val="7258197D"/>
    <w:rsid w:val="72A9042B"/>
    <w:rsid w:val="732B52E4"/>
    <w:rsid w:val="733A1083"/>
    <w:rsid w:val="735859AD"/>
    <w:rsid w:val="73722F12"/>
    <w:rsid w:val="73B2085E"/>
    <w:rsid w:val="73C66DBA"/>
    <w:rsid w:val="74793696"/>
    <w:rsid w:val="74A52E74"/>
    <w:rsid w:val="74AC7D5E"/>
    <w:rsid w:val="74B63003"/>
    <w:rsid w:val="74DF1EE2"/>
    <w:rsid w:val="74F71921"/>
    <w:rsid w:val="751900CE"/>
    <w:rsid w:val="753161B5"/>
    <w:rsid w:val="75610B49"/>
    <w:rsid w:val="7564688B"/>
    <w:rsid w:val="758331B5"/>
    <w:rsid w:val="759C6025"/>
    <w:rsid w:val="75C37A55"/>
    <w:rsid w:val="75D237F5"/>
    <w:rsid w:val="76A52432"/>
    <w:rsid w:val="76CE0460"/>
    <w:rsid w:val="77004391"/>
    <w:rsid w:val="77185B7F"/>
    <w:rsid w:val="77976AA4"/>
    <w:rsid w:val="77CB2BF1"/>
    <w:rsid w:val="77FA4E2A"/>
    <w:rsid w:val="783E7867"/>
    <w:rsid w:val="78882890"/>
    <w:rsid w:val="789254BD"/>
    <w:rsid w:val="789D458E"/>
    <w:rsid w:val="78AF42C1"/>
    <w:rsid w:val="78C7785D"/>
    <w:rsid w:val="7940316B"/>
    <w:rsid w:val="79D0629D"/>
    <w:rsid w:val="7A195E96"/>
    <w:rsid w:val="7A1E34AC"/>
    <w:rsid w:val="7A2D58B7"/>
    <w:rsid w:val="7A685493"/>
    <w:rsid w:val="7A6F1F5A"/>
    <w:rsid w:val="7A83519C"/>
    <w:rsid w:val="7A845C6A"/>
    <w:rsid w:val="7ADC1747"/>
    <w:rsid w:val="7B4F4C6B"/>
    <w:rsid w:val="7B641EE9"/>
    <w:rsid w:val="7B6A5853"/>
    <w:rsid w:val="7C262AEC"/>
    <w:rsid w:val="7C266648"/>
    <w:rsid w:val="7CA81753"/>
    <w:rsid w:val="7D7F0706"/>
    <w:rsid w:val="7DE1316F"/>
    <w:rsid w:val="7E1352F2"/>
    <w:rsid w:val="7E8104AE"/>
    <w:rsid w:val="7E8A55B4"/>
    <w:rsid w:val="7EA62302"/>
    <w:rsid w:val="7F0843B7"/>
    <w:rsid w:val="7F10451D"/>
    <w:rsid w:val="7F3472CE"/>
    <w:rsid w:val="7F5406D4"/>
    <w:rsid w:val="7FA206DC"/>
    <w:rsid w:val="7FB328E9"/>
    <w:rsid w:val="7FE44850"/>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29"/>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b/>
      <w:kern w:val="44"/>
    </w:rPr>
  </w:style>
  <w:style w:type="paragraph" w:styleId="4">
    <w:name w:val="heading 2"/>
    <w:basedOn w:val="1"/>
    <w:next w:val="1"/>
    <w:semiHidden/>
    <w:unhideWhenUsed/>
    <w:qFormat/>
    <w:uiPriority w:val="0"/>
    <w:pPr>
      <w:keepNext/>
      <w:keepLines/>
      <w:outlineLvl w:val="1"/>
    </w:pPr>
    <w:rPr>
      <w:rFonts w:ascii="Arial" w:hAnsi="Arial" w:eastAsia="楷体_GB2312"/>
    </w:rPr>
  </w:style>
  <w:style w:type="paragraph" w:styleId="5">
    <w:name w:val="heading 3"/>
    <w:basedOn w:val="1"/>
    <w:next w:val="1"/>
    <w:link w:val="12"/>
    <w:semiHidden/>
    <w:unhideWhenUsed/>
    <w:qFormat/>
    <w:uiPriority w:val="0"/>
    <w:pPr>
      <w:keepNext/>
      <w:keepLines/>
      <w:outlineLvl w:val="2"/>
    </w:pPr>
  </w:style>
  <w:style w:type="paragraph" w:styleId="2">
    <w:name w:val="heading 4"/>
    <w:basedOn w:val="1"/>
    <w:next w:val="1"/>
    <w:link w:val="13"/>
    <w:semiHidden/>
    <w:unhideWhenUsed/>
    <w:qFormat/>
    <w:uiPriority w:val="0"/>
    <w:pPr>
      <w:keepNext/>
      <w:keepLines/>
      <w:outlineLvl w:val="3"/>
    </w:pPr>
    <w:rPr>
      <w:rFonts w:ascii="Cambria" w:hAnsi="Cambria" w:cstheme="minorBidi"/>
      <w:b/>
      <w:bCs/>
      <w:szCs w:val="28"/>
    </w:rPr>
  </w:style>
  <w:style w:type="paragraph" w:styleId="6">
    <w:name w:val="heading 5"/>
    <w:basedOn w:val="1"/>
    <w:next w:val="1"/>
    <w:semiHidden/>
    <w:unhideWhenUsed/>
    <w:qFormat/>
    <w:uiPriority w:val="0"/>
    <w:pPr>
      <w:keepNext/>
      <w:keepLines/>
      <w:outlineLvl w:val="4"/>
    </w:pPr>
    <w:rPr>
      <w:b/>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kern w:val="0"/>
      <w:sz w:val="24"/>
    </w:rPr>
  </w:style>
  <w:style w:type="character" w:customStyle="1" w:styleId="12">
    <w:name w:val="标题 3 字符"/>
    <w:link w:val="5"/>
    <w:qFormat/>
    <w:uiPriority w:val="0"/>
  </w:style>
  <w:style w:type="character" w:customStyle="1" w:styleId="13">
    <w:name w:val="标题 4 字符"/>
    <w:link w:val="2"/>
    <w:qFormat/>
    <w:uiPriority w:val="0"/>
    <w:rPr>
      <w:rFonts w:ascii="Cambria" w:hAnsi="Cambria" w:eastAsia="仿宋_GB2312" w:cstheme="minorBidi"/>
      <w:b/>
      <w:bCs/>
      <w:sz w:val="32"/>
      <w:szCs w:val="28"/>
    </w:rPr>
  </w:style>
  <w:style w:type="paragraph" w:customStyle="1" w:styleId="14">
    <w:name w:val="修订1"/>
    <w:hidden/>
    <w:semiHidden/>
    <w:qFormat/>
    <w:uiPriority w:val="99"/>
    <w:rPr>
      <w:rFonts w:ascii="Calibri" w:hAnsi="Calibri" w:eastAsia="仿宋_GB2312" w:cs="Times New Roman"/>
      <w:kern w:val="2"/>
      <w:sz w:val="32"/>
      <w:szCs w:val="24"/>
      <w:lang w:val="en-US" w:eastAsia="zh-CN" w:bidi="ar-SA"/>
    </w:rPr>
  </w:style>
  <w:style w:type="paragraph" w:customStyle="1" w:styleId="15">
    <w:name w:val="修订2"/>
    <w:hidden/>
    <w:unhideWhenUsed/>
    <w:qFormat/>
    <w:uiPriority w:val="99"/>
    <w:rPr>
      <w:rFonts w:ascii="Calibri" w:hAnsi="Calibri" w:eastAsia="仿宋_GB2312" w:cs="Times New Roman"/>
      <w:kern w:val="2"/>
      <w:sz w:val="32"/>
      <w:szCs w:val="24"/>
      <w:lang w:val="en-US" w:eastAsia="zh-CN" w:bidi="ar-SA"/>
    </w:rPr>
  </w:style>
  <w:style w:type="paragraph" w:customStyle="1" w:styleId="16">
    <w:name w:val="修订3"/>
    <w:hidden/>
    <w:unhideWhenUsed/>
    <w:qFormat/>
    <w:uiPriority w:val="99"/>
    <w:rPr>
      <w:rFonts w:ascii="Calibri" w:hAnsi="Calibri" w:eastAsia="仿宋_GB2312" w:cs="Times New Roman"/>
      <w:kern w:val="2"/>
      <w:sz w:val="32"/>
      <w:szCs w:val="24"/>
      <w:lang w:val="en-US" w:eastAsia="zh-CN" w:bidi="ar-SA"/>
    </w:rPr>
  </w:style>
  <w:style w:type="paragraph" w:customStyle="1" w:styleId="17">
    <w:name w:val="Revision"/>
    <w:hidden/>
    <w:unhideWhenUsed/>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153E4-E6E2-47DD-95AD-C8615DDCAEC4}">
  <ds:schemaRefs/>
</ds:datastoreItem>
</file>

<file path=docProps/app.xml><?xml version="1.0" encoding="utf-8"?>
<Properties xmlns="http://schemas.openxmlformats.org/officeDocument/2006/extended-properties" xmlns:vt="http://schemas.openxmlformats.org/officeDocument/2006/docPropsVTypes">
  <Template>Normal</Template>
  <Pages>14</Pages>
  <Words>1079</Words>
  <Characters>6152</Characters>
  <Lines>51</Lines>
  <Paragraphs>14</Paragraphs>
  <TotalTime>4</TotalTime>
  <ScaleCrop>false</ScaleCrop>
  <LinksUpToDate>false</LinksUpToDate>
  <CharactersWithSpaces>7217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2023-08-30T10:46:00Z</dcterms:created>
  <dc:creator>缆坊捉棺镀</dc:creator>
  <cp:lastModifiedBy>Administrator</cp:lastModifiedBy>
  <cp:lastPrinted>2023-09-05T09:24:00Z</cp:lastPrinted>
  <dcterms:modified xsi:type="dcterms:W3CDTF">2023-09-18T14:40:01Z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B3F8AE3AEDB147F8818FE4D94DB0CA15_13</vt:lpwstr>
  </property>
</Properties>
</file>