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rPr>
          <w:rFonts w:ascii="仿宋_GB2312" w:hAnsi="宋体" w:eastAsia="仿宋_GB2312"/>
          <w:b/>
          <w:bCs/>
          <w:kern w:val="0"/>
          <w:sz w:val="44"/>
          <w:szCs w:val="44"/>
        </w:rPr>
      </w:pPr>
      <w:r>
        <w:rPr>
          <w:rFonts w:hint="eastAsia" w:ascii="黑体" w:hAnsi="黑体" w:eastAsia="黑体"/>
          <w:bCs/>
          <w:kern w:val="0"/>
          <w:sz w:val="32"/>
          <w:szCs w:val="44"/>
        </w:rPr>
        <w:t>附件1-4</w:t>
      </w:r>
    </w:p>
    <w:p>
      <w:pPr>
        <w:spacing w:after="120" w:afterLines="50"/>
        <w:jc w:val="center"/>
        <w:rPr>
          <w:rFonts w:ascii="仿宋_GB2312" w:hAnsi="宋体" w:eastAsia="仿宋_GB2312" w:cs="仿宋_GB2312"/>
          <w:b/>
          <w:bCs/>
          <w:kern w:val="0"/>
          <w:sz w:val="44"/>
          <w:szCs w:val="44"/>
        </w:rPr>
      </w:pPr>
    </w:p>
    <w:p>
      <w:pPr>
        <w:adjustRightInd w:val="0"/>
        <w:snapToGrid w:val="0"/>
        <w:jc w:val="center"/>
        <w:rPr>
          <w:rFonts w:ascii="方正小标宋简体" w:hAnsi="宋体" w:eastAsia="方正小标宋简体" w:cs="仿宋_GB2312"/>
          <w:bCs/>
          <w:color w:val="000000"/>
          <w:kern w:val="0"/>
          <w:sz w:val="44"/>
          <w:szCs w:val="44"/>
        </w:rPr>
      </w:pPr>
      <w:r>
        <w:rPr>
          <w:rFonts w:hint="eastAsia" w:ascii="方正小标宋简体" w:hAnsi="宋体" w:eastAsia="方正小标宋简体" w:cs="仿宋_GB2312"/>
          <w:bCs/>
          <w:color w:val="000000"/>
          <w:kern w:val="0"/>
          <w:sz w:val="44"/>
          <w:szCs w:val="44"/>
        </w:rPr>
        <w:t>食品经营许可现场核查表</w:t>
      </w:r>
    </w:p>
    <w:p>
      <w:pPr>
        <w:adjustRightInd w:val="0"/>
        <w:snapToGrid w:val="0"/>
        <w:jc w:val="center"/>
        <w:rPr>
          <w:rFonts w:ascii="仿宋_GB2312" w:hAnsi="宋体" w:eastAsia="仿宋_GB2312"/>
          <w:b/>
          <w:bCs/>
          <w:kern w:val="0"/>
          <w:sz w:val="44"/>
          <w:szCs w:val="44"/>
        </w:rPr>
      </w:pPr>
      <w:r>
        <w:rPr>
          <w:rFonts w:hint="eastAsia" w:ascii="方正小标宋简体" w:hAnsi="宋体" w:eastAsia="方正小标宋简体" w:cs="仿宋_GB2312"/>
          <w:bCs/>
          <w:color w:val="000000"/>
          <w:kern w:val="0"/>
          <w:sz w:val="44"/>
          <w:szCs w:val="44"/>
        </w:rPr>
        <w:t>（集体用餐配送单位）</w:t>
      </w: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rPr>
          <w:rFonts w:ascii="仿宋_GB2312" w:hAnsi="宋体" w:eastAsia="仿宋_GB2312"/>
          <w:b/>
          <w:bCs/>
          <w:kern w:val="0"/>
          <w:sz w:val="32"/>
          <w:szCs w:val="32"/>
        </w:rPr>
      </w:pPr>
    </w:p>
    <w:p>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单位名称：</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地    址：</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kern w:val="0"/>
          <w:sz w:val="36"/>
          <w:szCs w:val="36"/>
        </w:rPr>
        <w:t>核查日期：</w:t>
      </w:r>
      <w:r>
        <w:rPr>
          <w:rFonts w:ascii="仿宋_GB2312" w:hAnsi="宋体" w:eastAsia="仿宋_GB2312" w:cs="仿宋_GB2312"/>
          <w:b/>
          <w:bCs/>
          <w:color w:val="000000"/>
          <w:kern w:val="0"/>
          <w:sz w:val="36"/>
          <w:szCs w:val="36"/>
          <w:u w:val="single"/>
        </w:rPr>
        <w:t xml:space="preserve">                                      </w:t>
      </w:r>
    </w:p>
    <w:p>
      <w:pPr>
        <w:pStyle w:val="2"/>
        <w:ind w:firstLine="600"/>
      </w:pPr>
      <w:r>
        <w:br w:type="page"/>
      </w:r>
    </w:p>
    <w:p>
      <w:pPr>
        <w:spacing w:after="120" w:afterLines="50"/>
        <w:ind w:firstLine="1807" w:firstLineChars="500"/>
        <w:rPr>
          <w:rFonts w:ascii="仿宋_GB2312" w:hAnsi="宋体" w:eastAsia="仿宋_GB2312" w:cs="仿宋_GB2312"/>
          <w:b/>
          <w:bCs/>
          <w:kern w:val="0"/>
          <w:sz w:val="36"/>
          <w:szCs w:val="36"/>
          <w:u w:val="single"/>
        </w:rPr>
      </w:pPr>
    </w:p>
    <w:tbl>
      <w:tblPr>
        <w:tblStyle w:val="6"/>
        <w:tblW w:w="13280" w:type="dxa"/>
        <w:tblInd w:w="-50" w:type="dxa"/>
        <w:tblLayout w:type="autofit"/>
        <w:tblCellMar>
          <w:top w:w="0" w:type="dxa"/>
          <w:left w:w="108" w:type="dxa"/>
          <w:bottom w:w="0" w:type="dxa"/>
          <w:right w:w="108" w:type="dxa"/>
        </w:tblCellMar>
      </w:tblPr>
      <w:tblGrid>
        <w:gridCol w:w="1422"/>
        <w:gridCol w:w="7763"/>
        <w:gridCol w:w="576"/>
        <w:gridCol w:w="821"/>
        <w:gridCol w:w="733"/>
        <w:gridCol w:w="892"/>
        <w:gridCol w:w="1073"/>
      </w:tblGrid>
      <w:tr>
        <w:tblPrEx>
          <w:tblCellMar>
            <w:top w:w="0" w:type="dxa"/>
            <w:left w:w="108" w:type="dxa"/>
            <w:bottom w:w="0" w:type="dxa"/>
            <w:right w:w="108" w:type="dxa"/>
          </w:tblCellMar>
        </w:tblPrEx>
        <w:trPr>
          <w:trHeight w:val="392" w:hRule="atLeast"/>
          <w:tblHeader/>
        </w:trPr>
        <w:tc>
          <w:tcPr>
            <w:tcW w:w="1422" w:type="dxa"/>
            <w:vMerge w:val="restart"/>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核查内容</w:t>
            </w:r>
          </w:p>
        </w:tc>
        <w:tc>
          <w:tcPr>
            <w:tcW w:w="7763" w:type="dxa"/>
            <w:vMerge w:val="restart"/>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核查和评价方法</w:t>
            </w:r>
          </w:p>
        </w:tc>
        <w:tc>
          <w:tcPr>
            <w:tcW w:w="576" w:type="dxa"/>
            <w:vMerge w:val="restart"/>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编号</w:t>
            </w:r>
          </w:p>
        </w:tc>
        <w:tc>
          <w:tcPr>
            <w:tcW w:w="821" w:type="dxa"/>
            <w:vMerge w:val="restart"/>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重要性</w:t>
            </w:r>
          </w:p>
        </w:tc>
        <w:tc>
          <w:tcPr>
            <w:tcW w:w="2698" w:type="dxa"/>
            <w:gridSpan w:val="3"/>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结果判定</w:t>
            </w:r>
          </w:p>
        </w:tc>
      </w:tr>
      <w:tr>
        <w:tblPrEx>
          <w:tblCellMar>
            <w:top w:w="0" w:type="dxa"/>
            <w:left w:w="108" w:type="dxa"/>
            <w:bottom w:w="0" w:type="dxa"/>
            <w:right w:w="108" w:type="dxa"/>
          </w:tblCellMar>
        </w:tblPrEx>
        <w:trPr>
          <w:trHeight w:val="285" w:hRule="atLeast"/>
          <w:tblHeader/>
        </w:trPr>
        <w:tc>
          <w:tcPr>
            <w:tcW w:w="1422"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eastAsia="仿宋_GB2312" w:cs="仿宋_GB2312"/>
                <w:b/>
                <w:bCs/>
                <w:color w:val="000000"/>
              </w:rPr>
            </w:pPr>
          </w:p>
        </w:tc>
        <w:tc>
          <w:tcPr>
            <w:tcW w:w="7763"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eastAsia="仿宋_GB2312" w:cs="仿宋_GB2312"/>
                <w:b/>
                <w:bCs/>
                <w:color w:val="000000"/>
              </w:rPr>
            </w:pPr>
          </w:p>
        </w:tc>
        <w:tc>
          <w:tcPr>
            <w:tcW w:w="576"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eastAsia="仿宋_GB2312" w:cs="仿宋_GB2312"/>
                <w:b/>
                <w:bCs/>
                <w:color w:val="000000"/>
              </w:rPr>
            </w:pPr>
          </w:p>
        </w:tc>
        <w:tc>
          <w:tcPr>
            <w:tcW w:w="82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eastAsia="仿宋_GB2312" w:cs="仿宋_GB2312"/>
                <w:b/>
                <w:bCs/>
                <w:color w:val="000000"/>
              </w:rPr>
            </w:pPr>
          </w:p>
        </w:tc>
        <w:tc>
          <w:tcPr>
            <w:tcW w:w="73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符合</w:t>
            </w:r>
          </w:p>
        </w:tc>
        <w:tc>
          <w:tcPr>
            <w:tcW w:w="892"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不符合</w:t>
            </w:r>
          </w:p>
        </w:tc>
        <w:tc>
          <w:tcPr>
            <w:tcW w:w="107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b/>
                <w:bCs/>
                <w:color w:val="000000"/>
              </w:rPr>
            </w:pPr>
            <w:r>
              <w:rPr>
                <w:rFonts w:hint="eastAsia" w:ascii="仿宋_GB2312" w:hAnsi="宋体" w:eastAsia="仿宋_GB2312" w:cs="仿宋_GB2312"/>
                <w:b/>
                <w:bCs/>
                <w:color w:val="000000"/>
                <w:kern w:val="0"/>
                <w:szCs w:val="21"/>
                <w:lang w:bidi="ar"/>
              </w:rPr>
              <w:t>合理缺项</w:t>
            </w:r>
          </w:p>
        </w:tc>
      </w:tr>
      <w:tr>
        <w:tblPrEx>
          <w:tblCellMar>
            <w:top w:w="0" w:type="dxa"/>
            <w:left w:w="108" w:type="dxa"/>
            <w:bottom w:w="0" w:type="dxa"/>
            <w:right w:w="108" w:type="dxa"/>
          </w:tblCellMar>
        </w:tblPrEx>
        <w:trPr>
          <w:trHeight w:val="1006" w:hRule="atLeast"/>
        </w:trPr>
        <w:tc>
          <w:tcPr>
            <w:tcW w:w="1422" w:type="dxa"/>
            <w:vMerge w:val="restart"/>
            <w:tcBorders>
              <w:top w:val="nil"/>
              <w:left w:val="single" w:color="000000" w:sz="8" w:space="0"/>
              <w:right w:val="single" w:color="000000" w:sz="8" w:space="0"/>
            </w:tcBorders>
            <w:vAlign w:val="center"/>
          </w:tcPr>
          <w:p>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1.选址</w:t>
            </w: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地势干燥、有给排水条件和电力供应的地区，不应设在易受到污染的区域，应距离粪坑、污水池、暴露垃圾场或垃圾站、旱厕等污染源25m以上，并位于粉尘、有害气体、放射性物质和其他扩散性污染源的影响范围外</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688" w:hRule="atLeast"/>
        </w:trPr>
        <w:tc>
          <w:tcPr>
            <w:tcW w:w="1422" w:type="dxa"/>
            <w:vMerge w:val="continue"/>
            <w:tcBorders>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color w:val="000000"/>
                <w:kern w:val="0"/>
                <w:szCs w:val="21"/>
                <w:lang w:bidi="ar"/>
              </w:rPr>
            </w:pPr>
          </w:p>
        </w:tc>
        <w:tc>
          <w:tcPr>
            <w:tcW w:w="7763" w:type="dxa"/>
            <w:tcBorders>
              <w:top w:val="nil"/>
              <w:left w:val="single" w:color="000000" w:sz="8" w:space="0"/>
              <w:bottom w:val="single" w:color="000000" w:sz="8" w:space="0"/>
              <w:right w:val="single" w:color="000000" w:sz="8" w:space="0"/>
            </w:tcBorders>
            <w:vAlign w:val="center"/>
          </w:tcPr>
          <w:p>
            <w:pPr>
              <w:pStyle w:val="8"/>
              <w:numPr>
                <w:ilvl w:val="0"/>
                <w:numId w:val="0"/>
              </w:numPr>
              <w:contextualSpacing/>
              <w:rPr>
                <w:rFonts w:ascii="仿宋_GB2312" w:hAnsi="宋体" w:eastAsia="仿宋_GB2312" w:cs="仿宋_GB2312"/>
                <w:color w:val="000000"/>
                <w:szCs w:val="21"/>
                <w:lang w:bidi="ar"/>
              </w:rPr>
            </w:pPr>
            <w:r>
              <w:rPr>
                <w:rFonts w:hint="eastAsia" w:ascii="仿宋_GB2312" w:hAnsi="宋体" w:eastAsia="仿宋_GB2312" w:cs="仿宋_GB2312"/>
                <w:color w:val="000000"/>
                <w:szCs w:val="21"/>
                <w:lang w:bidi="ar"/>
              </w:rPr>
              <w:t>厂区内道路应硬化，保持环境清洁</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2</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90" w:hRule="atLeast"/>
        </w:trPr>
        <w:tc>
          <w:tcPr>
            <w:tcW w:w="1422" w:type="dxa"/>
            <w:vMerge w:val="restart"/>
            <w:tcBorders>
              <w:top w:val="single" w:color="000000" w:sz="8" w:space="0"/>
              <w:left w:val="single" w:color="000000" w:sz="8" w:space="0"/>
              <w:right w:val="single" w:color="000000" w:sz="8" w:space="0"/>
            </w:tcBorders>
            <w:vAlign w:val="center"/>
          </w:tcPr>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p>
          <w:p>
            <w:pPr>
              <w:widowControl/>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2.场所设置和布局</w:t>
            </w:r>
          </w:p>
          <w:p>
            <w:pPr>
              <w:rPr>
                <w:rFonts w:ascii="仿宋_GB2312" w:hAnsi="宋体" w:eastAsia="仿宋_GB2312" w:cs="仿宋_GB2312"/>
                <w:color w:val="000000"/>
              </w:rPr>
            </w:pPr>
          </w:p>
        </w:tc>
        <w:tc>
          <w:tcPr>
            <w:tcW w:w="7763" w:type="dxa"/>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rPr>
              <w:t>加工经营场所内无圈养、宰杀禽畜类动物的区域</w:t>
            </w:r>
          </w:p>
        </w:tc>
        <w:tc>
          <w:tcPr>
            <w:tcW w:w="576"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3</w:t>
            </w:r>
          </w:p>
        </w:tc>
        <w:tc>
          <w:tcPr>
            <w:tcW w:w="82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70" w:hRule="atLeast"/>
        </w:trPr>
        <w:tc>
          <w:tcPr>
            <w:tcW w:w="1422" w:type="dxa"/>
            <w:vMerge w:val="continue"/>
            <w:tcBorders>
              <w:left w:val="single" w:color="000000" w:sz="8" w:space="0"/>
              <w:right w:val="single" w:color="000000" w:sz="8" w:space="0"/>
            </w:tcBorders>
            <w:vAlign w:val="center"/>
          </w:tcPr>
          <w:p>
            <w:pPr>
              <w:widowControl/>
              <w:textAlignment w:val="center"/>
              <w:rPr>
                <w:rFonts w:ascii="仿宋_GB2312" w:hAnsi="宋体" w:eastAsia="仿宋_GB2312" w:cs="仿宋_GB2312"/>
                <w:color w:val="000000"/>
                <w:kern w:val="0"/>
                <w:szCs w:val="21"/>
                <w:lang w:bidi="ar"/>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应</w:t>
            </w:r>
            <w:r>
              <w:rPr>
                <w:rFonts w:hint="eastAsia" w:ascii="仿宋_GB2312" w:hAnsi="等线" w:eastAsia="仿宋_GB2312" w:cs="宋体"/>
                <w:color w:val="000000"/>
                <w:kern w:val="0"/>
              </w:rPr>
              <w:t>合理划分食品处理区和辅助区</w:t>
            </w:r>
            <w:r>
              <w:rPr>
                <w:rFonts w:hint="eastAsia" w:ascii="仿宋_GB2312" w:hAnsi="宋体" w:eastAsia="仿宋_GB2312" w:cs="仿宋_GB2312"/>
                <w:color w:val="000000"/>
                <w:kern w:val="0"/>
                <w:szCs w:val="21"/>
                <w:lang w:bidi="ar"/>
              </w:rPr>
              <w:t>（更衣间、卫生间、检验室等）</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4</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650" w:hRule="atLeast"/>
        </w:trPr>
        <w:tc>
          <w:tcPr>
            <w:tcW w:w="1422" w:type="dxa"/>
            <w:vMerge w:val="continue"/>
            <w:tcBorders>
              <w:left w:val="single" w:color="000000" w:sz="8" w:space="0"/>
              <w:right w:val="single" w:color="000000" w:sz="8" w:space="0"/>
            </w:tcBorders>
            <w:vAlign w:val="center"/>
          </w:tcPr>
          <w:p>
            <w:pPr>
              <w:widowControl/>
              <w:textAlignment w:val="cente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cs="仿宋_GB2312"/>
                <w:color w:val="000000"/>
              </w:rPr>
            </w:pPr>
            <w:r>
              <w:rPr>
                <w:rFonts w:hint="eastAsia" w:ascii="仿宋_GB2312" w:hAnsi="宋体" w:eastAsia="仿宋_GB2312" w:cs="仿宋_GB2312"/>
                <w:color w:val="000000"/>
                <w:kern w:val="0"/>
                <w:szCs w:val="21"/>
                <w:lang w:bidi="ar"/>
              </w:rPr>
              <w:t>食品处理区面积≥150m</w:t>
            </w:r>
            <w:r>
              <w:rPr>
                <w:rFonts w:hint="eastAsia" w:ascii="仿宋_GB2312" w:hAnsi="宋体" w:eastAsia="仿宋_GB2312" w:cs="仿宋_GB2312"/>
                <w:color w:val="000000"/>
                <w:kern w:val="0"/>
                <w:szCs w:val="21"/>
                <w:vertAlign w:val="superscript"/>
                <w:lang w:bidi="ar"/>
              </w:rPr>
              <w:t>2</w:t>
            </w:r>
            <w:r>
              <w:rPr>
                <w:rFonts w:hint="eastAsia" w:ascii="仿宋_GB2312" w:hAnsi="宋体" w:eastAsia="仿宋_GB2312" w:cs="仿宋_GB2312"/>
                <w:color w:val="000000"/>
                <w:kern w:val="0"/>
                <w:szCs w:val="21"/>
                <w:lang w:bidi="ar"/>
              </w:rPr>
              <w:t>，应当与加工食品的品种和数量相适应，合理划分出贮存、初加工、切配、烹饪、冷却、分装（餐）、备餐、清洗消毒等加工区域</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5</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800"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rPr>
            </w:pPr>
            <w:r>
              <w:rPr>
                <w:rFonts w:hint="eastAsia" w:ascii="仿宋_GB2312" w:hAnsi="宋体" w:eastAsia="仿宋_GB2312" w:cs="仿宋_GB2312"/>
                <w:kern w:val="0"/>
                <w:szCs w:val="21"/>
                <w:lang w:bidi="ar"/>
              </w:rPr>
              <w:t>食品处理区应设置在室内且独立分隔，根据清洁程度的不同分为一般操作区、准清洁操作区、清洁操作区。</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6</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64"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初加工区（间）应设置在食品原料入口处。</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7</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795"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bookmarkStart w:id="0" w:name="_Hlk83483155"/>
            <w:r>
              <w:rPr>
                <w:rFonts w:hint="eastAsia" w:ascii="仿宋_GB2312" w:hAnsi="宋体" w:eastAsia="仿宋_GB2312" w:cs="仿宋_GB2312"/>
                <w:kern w:val="0"/>
                <w:szCs w:val="21"/>
                <w:lang w:bidi="ar"/>
              </w:rPr>
              <w:t>根据不同类型的食品原料应分别设置动物性食品、植物性食品初加工区（间）</w:t>
            </w:r>
            <w:bookmarkEnd w:id="0"/>
            <w:r>
              <w:rPr>
                <w:rFonts w:hint="eastAsia" w:ascii="仿宋_GB2312" w:hAnsi="宋体" w:eastAsia="仿宋_GB2312" w:cs="仿宋_GB2312"/>
                <w:kern w:val="0"/>
                <w:szCs w:val="21"/>
                <w:lang w:bidi="ar"/>
              </w:rPr>
              <w:t>。其中水产品加工应设置专用的操作区域和设备设施，与其他动物性食品加工分离。</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8</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35"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切配区设置在初加工间内的，切配操作应与其他初加工操作分离。</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9</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44"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独立设置切配区的，畜禽产品、水产品、植物性食品的切配区域应分离，使用的工用具及设备应标记明显，分开存放。</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10</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01"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single" w:color="auto" w:sz="4" w:space="0"/>
              <w:left w:val="single" w:color="000000" w:sz="8" w:space="0"/>
              <w:bottom w:val="single" w:color="auto" w:sz="4"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设置独立的烹饪区，按照生进熟出的加工流程进行布局设置，不同工艺步骤的食品分区存放</w:t>
            </w:r>
          </w:p>
        </w:tc>
        <w:tc>
          <w:tcPr>
            <w:tcW w:w="576" w:type="dxa"/>
            <w:tcBorders>
              <w:top w:val="single" w:color="auto" w:sz="4" w:space="0"/>
              <w:left w:val="single" w:color="000000" w:sz="8" w:space="0"/>
              <w:bottom w:val="single" w:color="auto" w:sz="4" w:space="0"/>
              <w:right w:val="single" w:color="000000" w:sz="8"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szCs w:val="21"/>
              </w:rPr>
              <w:t>11</w:t>
            </w:r>
          </w:p>
        </w:tc>
        <w:tc>
          <w:tcPr>
            <w:tcW w:w="821" w:type="dxa"/>
            <w:tcBorders>
              <w:top w:val="single" w:color="auto" w:sz="4" w:space="0"/>
              <w:left w:val="single" w:color="000000" w:sz="8" w:space="0"/>
              <w:bottom w:val="single" w:color="auto" w:sz="4" w:space="0"/>
              <w:right w:val="single" w:color="000000" w:sz="8"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000000" w:sz="8" w:space="0"/>
              <w:bottom w:val="single" w:color="auto" w:sz="4"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000000" w:sz="8" w:space="0"/>
              <w:bottom w:val="single" w:color="auto" w:sz="4"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000000" w:sz="8" w:space="0"/>
              <w:bottom w:val="single" w:color="auto" w:sz="4"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single" w:color="auto" w:sz="4" w:space="0"/>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根据加工工序的清洁程度要求分别设置相应的清洗消毒区（间）</w:t>
            </w:r>
          </w:p>
        </w:tc>
        <w:tc>
          <w:tcPr>
            <w:tcW w:w="576" w:type="dxa"/>
            <w:tcBorders>
              <w:top w:val="single" w:color="auto" w:sz="4"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12</w:t>
            </w:r>
          </w:p>
        </w:tc>
        <w:tc>
          <w:tcPr>
            <w:tcW w:w="821" w:type="dxa"/>
            <w:tcBorders>
              <w:top w:val="single" w:color="auto" w:sz="4"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清洗消毒面积应与经营所需相适应，面积≥食品处理区面积的10%</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13</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74"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应设置餐用具保洁区。可单独建立，也可设置在餐用具清洗消毒区（间）内。设置在餐用具清洗消毒区域内的，应与餐用具清洗操作进行分离。</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14</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975"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应设置独立的隔间、区域或者专用设施用于清洗存放清洁工具（包括扫帚、拖把、抹布、刷子等），其位置应不会污染食品，并与其他区域或设施能够明显区分。清洁工具的清洗水池应与餐用具清洗消毒水池、食品原料清洗水池明显区分</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15</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592"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建立参观通道，减少外来人员进入加工场所</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16</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continue"/>
            <w:tcBorders>
              <w:left w:val="single" w:color="000000" w:sz="8" w:space="0"/>
              <w:bottom w:val="single" w:color="auto" w:sz="4"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废弃物处理场所应与食品处理区隔离，隔油池应设置在室外或远离食品处理区的位置</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17</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38" w:hRule="atLeast"/>
        </w:trPr>
        <w:tc>
          <w:tcPr>
            <w:tcW w:w="1422" w:type="dxa"/>
            <w:vMerge w:val="restart"/>
            <w:tcBorders>
              <w:top w:val="single" w:color="auto" w:sz="4" w:space="0"/>
              <w:left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3.食品处理区地面与排水</w:t>
            </w: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地面的铺设材料应当无毒、无异味、不透水、耐腐蚀。地面平坦防滑</w:t>
            </w:r>
            <w:r>
              <w:rPr>
                <w:rFonts w:hint="eastAsia" w:ascii="仿宋_GB2312" w:hAnsi="宋体" w:eastAsia="仿宋_GB2312" w:cs="仿宋_GB2312"/>
                <w:kern w:val="0"/>
                <w:szCs w:val="21"/>
                <w:lang w:bidi="ar"/>
              </w:rPr>
              <w:t>无破损</w:t>
            </w:r>
            <w:r>
              <w:rPr>
                <w:rFonts w:hint="eastAsia" w:ascii="仿宋_GB2312" w:hAnsi="宋体" w:eastAsia="仿宋_GB2312" w:cs="仿宋_GB2312"/>
                <w:kern w:val="0"/>
                <w:szCs w:val="21"/>
                <w:lang w:val="zh-CN" w:bidi="ar"/>
              </w:rPr>
              <w:t>，易于清洗</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18</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690" w:hRule="atLeast"/>
        </w:trPr>
        <w:tc>
          <w:tcPr>
            <w:tcW w:w="1422" w:type="dxa"/>
            <w:vMerge w:val="continue"/>
            <w:tcBorders>
              <w:left w:val="single" w:color="000000" w:sz="8" w:space="0"/>
              <w:right w:val="single" w:color="000000" w:sz="8" w:space="0"/>
            </w:tcBorders>
            <w:vAlign w:val="center"/>
          </w:tcPr>
          <w:p>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需经常冲洗的场所</w:t>
            </w:r>
            <w:r>
              <w:rPr>
                <w:rFonts w:hint="eastAsia" w:ascii="仿宋_GB2312" w:hAnsi="宋体" w:eastAsia="仿宋_GB2312" w:cs="仿宋_GB2312"/>
                <w:kern w:val="0"/>
                <w:szCs w:val="21"/>
                <w:lang w:bidi="ar"/>
              </w:rPr>
              <w:t>地面和排水沟有排水坡度，不易积水。排水沟内不应设置其他管路</w:t>
            </w:r>
            <w:r>
              <w:rPr>
                <w:rFonts w:hint="eastAsia" w:ascii="仿宋_GB2312" w:hAnsi="宋体" w:eastAsia="仿宋_GB2312" w:cs="仿宋_GB2312"/>
                <w:kern w:val="0"/>
                <w:szCs w:val="21"/>
                <w:lang w:val="zh-CN" w:bidi="ar"/>
              </w:rPr>
              <w:t>。排水沟篦子应完整，篦子缝应小于10m</w:t>
            </w:r>
            <w:r>
              <w:rPr>
                <w:rFonts w:hint="eastAsia" w:ascii="仿宋_GB2312" w:hAnsi="宋体" w:eastAsia="仿宋_GB2312" w:cs="仿宋_GB2312"/>
                <w:kern w:val="0"/>
                <w:szCs w:val="21"/>
                <w:lang w:bidi="ar"/>
              </w:rPr>
              <w:t>m</w:t>
            </w:r>
            <w:r>
              <w:rPr>
                <w:rFonts w:hint="eastAsia" w:ascii="仿宋_GB2312" w:hAnsi="宋体" w:eastAsia="仿宋_GB2312" w:cs="仿宋_GB2312"/>
                <w:kern w:val="0"/>
                <w:szCs w:val="21"/>
                <w:lang w:val="zh-CN" w:bidi="ar"/>
              </w:rPr>
              <w:t>且无破损</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宋体" w:eastAsia="仿宋_GB2312" w:cs="仿宋_GB2312"/>
                <w:color w:val="000000"/>
              </w:rPr>
              <w:t>19</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706" w:hRule="atLeast"/>
        </w:trPr>
        <w:tc>
          <w:tcPr>
            <w:tcW w:w="1422" w:type="dxa"/>
            <w:vMerge w:val="continue"/>
            <w:tcBorders>
              <w:left w:val="single" w:color="000000" w:sz="8" w:space="0"/>
              <w:right w:val="single" w:color="000000" w:sz="8" w:space="0"/>
            </w:tcBorders>
            <w:vAlign w:val="center"/>
          </w:tcPr>
          <w:p>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食品处理区的排水管下垂至地面后应直接接入地下的排水管道，接入口应为密闭硬连接。排水管道不应暴露于地面。</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20</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722" w:hRule="atLeast"/>
        </w:trPr>
        <w:tc>
          <w:tcPr>
            <w:tcW w:w="1422" w:type="dxa"/>
            <w:vMerge w:val="continue"/>
            <w:tcBorders>
              <w:left w:val="single" w:color="000000" w:sz="8" w:space="0"/>
              <w:right w:val="single" w:color="000000" w:sz="8" w:space="0"/>
            </w:tcBorders>
            <w:vAlign w:val="center"/>
          </w:tcPr>
          <w:p>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排水的流向应由清洁程度要求高的区域流向清洁程度要求低的区域，并能防止污水逆流</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ascii="仿宋_GB2312" w:hAnsi="等线" w:eastAsia="仿宋_GB2312" w:cs="宋体"/>
                <w:color w:val="000000"/>
                <w:kern w:val="0"/>
              </w:rPr>
              <w:t>2</w:t>
            </w:r>
            <w:r>
              <w:rPr>
                <w:rFonts w:hint="eastAsia" w:ascii="仿宋_GB2312" w:hAnsi="等线" w:eastAsia="仿宋_GB2312" w:cs="宋体"/>
                <w:color w:val="000000"/>
                <w:kern w:val="0"/>
              </w:rPr>
              <w:t>1</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690" w:hRule="atLeast"/>
        </w:trPr>
        <w:tc>
          <w:tcPr>
            <w:tcW w:w="1422" w:type="dxa"/>
            <w:vMerge w:val="continue"/>
            <w:tcBorders>
              <w:left w:val="single" w:color="000000" w:sz="8" w:space="0"/>
              <w:bottom w:val="single" w:color="auto" w:sz="4" w:space="0"/>
              <w:right w:val="single" w:color="000000" w:sz="8" w:space="0"/>
            </w:tcBorders>
            <w:vAlign w:val="center"/>
          </w:tcPr>
          <w:p>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排水管道与外界相通的出口应有适当措施（缝隙小于</w:t>
            </w:r>
            <w:r>
              <w:rPr>
                <w:rFonts w:hint="eastAsia" w:ascii="仿宋_GB2312" w:hAnsi="宋体" w:eastAsia="仿宋_GB2312" w:cs="仿宋_GB2312"/>
                <w:kern w:val="0"/>
                <w:szCs w:val="21"/>
                <w:lang w:bidi="ar"/>
              </w:rPr>
              <w:t>10</w:t>
            </w:r>
            <w:r>
              <w:rPr>
                <w:rFonts w:hint="eastAsia" w:ascii="仿宋_GB2312" w:hAnsi="宋体" w:eastAsia="仿宋_GB2312" w:cs="仿宋_GB2312"/>
                <w:kern w:val="0"/>
                <w:szCs w:val="21"/>
                <w:lang w:val="zh-CN" w:bidi="ar"/>
              </w:rPr>
              <w:t>mm的篦子），以防有害生物侵入。</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22</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545" w:hRule="atLeast"/>
        </w:trPr>
        <w:tc>
          <w:tcPr>
            <w:tcW w:w="1422" w:type="dxa"/>
            <w:vMerge w:val="restart"/>
            <w:tcBorders>
              <w:left w:val="single" w:color="000000" w:sz="8" w:space="0"/>
              <w:right w:val="single" w:color="000000" w:sz="8" w:space="0"/>
            </w:tcBorders>
            <w:vAlign w:val="center"/>
          </w:tcPr>
          <w:p>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4.墙壁与门窗</w:t>
            </w: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需经常冲洗的场所在操作高度范围内的墙面应光滑、防水、不易积垢且易于清洗</w:t>
            </w:r>
          </w:p>
        </w:tc>
        <w:tc>
          <w:tcPr>
            <w:tcW w:w="576"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rPr>
              <w:t>23</w:t>
            </w:r>
          </w:p>
        </w:tc>
        <w:tc>
          <w:tcPr>
            <w:tcW w:w="821"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食品处理区和辅助区的墙壁、隔断和地面交界处应结构合理、易于清洁，能有效避免污垢积存。</w:t>
            </w:r>
          </w:p>
        </w:tc>
        <w:tc>
          <w:tcPr>
            <w:tcW w:w="576"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rPr>
              <w:t>24</w:t>
            </w:r>
          </w:p>
        </w:tc>
        <w:tc>
          <w:tcPr>
            <w:tcW w:w="821"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673"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门、窗应闭合严密，采用不透水、坚固、不变形的材料制成，结构上应易于维护、清洁</w:t>
            </w:r>
          </w:p>
        </w:tc>
        <w:tc>
          <w:tcPr>
            <w:tcW w:w="576"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kern w:val="0"/>
              </w:rPr>
              <w:t>25</w:t>
            </w:r>
          </w:p>
        </w:tc>
        <w:tc>
          <w:tcPr>
            <w:tcW w:w="821"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需经常冲洗场所的门，表面还应光滑，不易积垢。</w:t>
            </w:r>
          </w:p>
        </w:tc>
        <w:tc>
          <w:tcPr>
            <w:tcW w:w="576"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2</w:t>
            </w:r>
            <w:r>
              <w:rPr>
                <w:rFonts w:hint="eastAsia" w:ascii="仿宋_GB2312" w:hAnsi="宋体" w:eastAsia="仿宋_GB2312" w:cs="仿宋_GB2312"/>
                <w:color w:val="000000"/>
                <w:kern w:val="0"/>
              </w:rPr>
              <w:t>6</w:t>
            </w:r>
          </w:p>
        </w:tc>
        <w:tc>
          <w:tcPr>
            <w:tcW w:w="821"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36"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与外界直接相通的通风口、换气窗外部，应加装不小于16目的防虫筛网</w:t>
            </w:r>
          </w:p>
        </w:tc>
        <w:tc>
          <w:tcPr>
            <w:tcW w:w="576"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rPr>
              <w:t>27</w:t>
            </w:r>
          </w:p>
        </w:tc>
        <w:tc>
          <w:tcPr>
            <w:tcW w:w="821"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ascii="仿宋_GB2312" w:hAnsi="宋体" w:eastAsia="仿宋_GB2312" w:cs="仿宋_GB2312"/>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570"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窗户如设置窗台，其结构应能避免灰尘积存且易于清洗（例如内窗台下斜45度以上）。</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ascii="仿宋_GB2312" w:hAnsi="等线" w:eastAsia="仿宋_GB2312" w:cs="宋体"/>
                <w:color w:val="000000"/>
                <w:kern w:val="0"/>
              </w:rPr>
              <w:t>2</w:t>
            </w:r>
            <w:r>
              <w:rPr>
                <w:rFonts w:hint="eastAsia" w:ascii="仿宋_GB2312" w:hAnsi="等线" w:eastAsia="仿宋_GB2312" w:cs="宋体"/>
                <w:color w:val="000000"/>
                <w:kern w:val="0"/>
              </w:rPr>
              <w:t>8</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525" w:hRule="atLeast"/>
        </w:trPr>
        <w:tc>
          <w:tcPr>
            <w:tcW w:w="1422" w:type="dxa"/>
            <w:vMerge w:val="continue"/>
            <w:tcBorders>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窗户玻璃应使用不易碎的材料或采取必要措施防止其破碎后对食品和餐用具造成污染</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29</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87" w:hRule="atLeast"/>
        </w:trPr>
        <w:tc>
          <w:tcPr>
            <w:tcW w:w="1422" w:type="dxa"/>
            <w:vMerge w:val="restar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5.食品处理区天花板</w:t>
            </w: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天花板的涂覆或装修材料应无毒、无异味、</w:t>
            </w:r>
            <w:r>
              <w:rPr>
                <w:rFonts w:hint="eastAsia" w:ascii="仿宋_GB2312" w:hAnsi="宋体" w:eastAsia="仿宋_GB2312" w:cs="仿宋_GB2312"/>
                <w:kern w:val="0"/>
                <w:szCs w:val="21"/>
                <w:lang w:val="zh-CN" w:bidi="ar"/>
              </w:rPr>
              <w:t>防霉、不吸水、耐高温、耐腐蚀不易脱落、易于清洁。</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30</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清洁操作区、准清洁操作区及其它半成品、成品暴露场所屋顶若为不平整的结构或有管道通过，加设平整、易于清洁的吊顶</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31</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0" w:hRule="atLeast"/>
        </w:trPr>
        <w:tc>
          <w:tcPr>
            <w:tcW w:w="1422" w:type="dxa"/>
            <w:vMerge w:val="continue"/>
            <w:tcBorders>
              <w:top w:val="nil"/>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高温高湿食品处理区的天花板应距地面2.5m以上</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32</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468" w:hRule="atLeast"/>
        </w:trPr>
        <w:tc>
          <w:tcPr>
            <w:tcW w:w="1422" w:type="dxa"/>
            <w:vMerge w:val="continue"/>
            <w:tcBorders>
              <w:top w:val="nil"/>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水蒸汽较多的场所的天花板有适当的坡度</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33</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285" w:hRule="atLeast"/>
        </w:trPr>
        <w:tc>
          <w:tcPr>
            <w:tcW w:w="1422" w:type="dxa"/>
            <w:vMerge w:val="restart"/>
            <w:tcBorders>
              <w:top w:val="single" w:color="000000" w:sz="8" w:space="0"/>
              <w:left w:val="single" w:color="000000" w:sz="8" w:space="0"/>
              <w:right w:val="single" w:color="000000" w:sz="8" w:space="0"/>
            </w:tcBorders>
            <w:vAlign w:val="center"/>
          </w:tcPr>
          <w:p>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6.洗手消毒</w:t>
            </w: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食品处理区内设置足够数量的洗手设施，其位置设置在方便员工的区域。</w:t>
            </w:r>
            <w:r>
              <w:rPr>
                <w:rFonts w:hint="eastAsia" w:ascii="仿宋_GB2312" w:hAnsi="宋体" w:eastAsia="仿宋_GB2312" w:cs="仿宋_GB2312"/>
                <w:kern w:val="0"/>
                <w:szCs w:val="21"/>
                <w:lang w:val="zh-CN" w:bidi="ar"/>
              </w:rPr>
              <w:t>洗手设施应采用不透水、不易积垢、易于清洁的材料制成</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ascii="仿宋_GB2312" w:hAnsi="等线" w:eastAsia="仿宋_GB2312" w:cs="宋体"/>
                <w:color w:val="000000"/>
                <w:kern w:val="0"/>
              </w:rPr>
              <w:t>3</w:t>
            </w:r>
            <w:r>
              <w:rPr>
                <w:rFonts w:hint="eastAsia" w:ascii="仿宋_GB2312" w:hAnsi="等线" w:eastAsia="仿宋_GB2312" w:cs="宋体"/>
                <w:color w:val="000000"/>
                <w:kern w:val="0"/>
              </w:rPr>
              <w:t>4</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525" w:hRule="atLeast"/>
        </w:trPr>
        <w:tc>
          <w:tcPr>
            <w:tcW w:w="1422" w:type="dxa"/>
            <w:vMerge w:val="continue"/>
            <w:tcBorders>
              <w:left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洗手消毒设施旁设有相应的清洗、消毒用品和干手设施，员工专用洗手消毒设施附近有洗手消毒方法标识</w:t>
            </w:r>
          </w:p>
        </w:tc>
        <w:tc>
          <w:tcPr>
            <w:tcW w:w="576"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ascii="仿宋_GB2312" w:hAnsi="等线" w:eastAsia="仿宋_GB2312" w:cs="宋体"/>
                <w:color w:val="000000"/>
                <w:kern w:val="0"/>
              </w:rPr>
              <w:t>3</w:t>
            </w:r>
            <w:r>
              <w:rPr>
                <w:rFonts w:hint="eastAsia" w:ascii="仿宋_GB2312" w:hAnsi="等线" w:eastAsia="仿宋_GB2312" w:cs="宋体"/>
                <w:color w:val="000000"/>
                <w:kern w:val="0"/>
              </w:rPr>
              <w:t>5</w:t>
            </w:r>
          </w:p>
        </w:tc>
        <w:tc>
          <w:tcPr>
            <w:tcW w:w="821"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522" w:hRule="atLeast"/>
        </w:trPr>
        <w:tc>
          <w:tcPr>
            <w:tcW w:w="1422" w:type="dxa"/>
            <w:vMerge w:val="continue"/>
            <w:tcBorders>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清洁操作区洗手设施的水龙头应采用非手动式</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36</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601" w:hRule="atLeast"/>
        </w:trPr>
        <w:tc>
          <w:tcPr>
            <w:tcW w:w="1422" w:type="dxa"/>
            <w:vMerge w:val="restart"/>
            <w:tcBorders>
              <w:top w:val="single" w:color="000000" w:sz="8" w:space="0"/>
              <w:left w:val="single" w:color="000000" w:sz="8" w:space="0"/>
              <w:bottom w:val="single" w:color="auto" w:sz="4"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7.餐用具清洗消毒</w:t>
            </w: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配备自动化清洗消毒设备，对餐用具进行清洗消毒，保证餐用具光洁涩干无异味</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37</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nil"/>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660" w:hRule="atLeast"/>
        </w:trPr>
        <w:tc>
          <w:tcPr>
            <w:tcW w:w="1422" w:type="dxa"/>
            <w:vMerge w:val="continue"/>
            <w:tcBorders>
              <w:left w:val="single" w:color="000000" w:sz="8" w:space="0"/>
              <w:bottom w:val="single" w:color="auto" w:sz="4" w:space="0"/>
              <w:right w:val="single" w:color="000000" w:sz="8" w:space="0"/>
            </w:tcBorders>
            <w:vAlign w:val="center"/>
          </w:tcPr>
          <w:p>
            <w:pPr>
              <w:widowControl/>
              <w:jc w:val="center"/>
              <w:textAlignment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配备与供餐规模相适应的热风消毒库等物理消毒设备设施，对餐用具进行双消毒</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38</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619" w:hRule="atLeast"/>
        </w:trPr>
        <w:tc>
          <w:tcPr>
            <w:tcW w:w="1422" w:type="dxa"/>
            <w:vMerge w:val="continue"/>
            <w:tcBorders>
              <w:left w:val="single" w:color="000000" w:sz="8" w:space="0"/>
              <w:bottom w:val="single" w:color="auto" w:sz="4" w:space="0"/>
              <w:right w:val="single" w:color="000000" w:sz="8" w:space="0"/>
            </w:tcBorders>
            <w:vAlign w:val="center"/>
          </w:tcPr>
          <w:p>
            <w:pPr>
              <w:jc w:val="center"/>
              <w:rPr>
                <w:rFonts w:ascii="仿宋_GB2312" w:hAnsi="宋体" w:eastAsia="仿宋_GB2312" w:cs="仿宋_GB2312"/>
                <w:color w:val="000000"/>
              </w:rPr>
            </w:pPr>
          </w:p>
        </w:tc>
        <w:tc>
          <w:tcPr>
            <w:tcW w:w="7763" w:type="dxa"/>
            <w:tcBorders>
              <w:top w:val="nil"/>
              <w:left w:val="nil"/>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因材质等需采用化学消毒的，设4个专用水池（洗涤、清洗、消毒、冲洗），水池大小、规格应能满足将工用具完全浸没在水池中，各类水池以明显标识标明其用途</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39</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79" w:hRule="atLeast"/>
        </w:trPr>
        <w:tc>
          <w:tcPr>
            <w:tcW w:w="1422" w:type="dxa"/>
            <w:vMerge w:val="continue"/>
            <w:tcBorders>
              <w:left w:val="single" w:color="000000" w:sz="8" w:space="0"/>
              <w:bottom w:val="single" w:color="auto" w:sz="4" w:space="0"/>
              <w:right w:val="single" w:color="000000" w:sz="8" w:space="0"/>
            </w:tcBorders>
            <w:vAlign w:val="center"/>
          </w:tcPr>
          <w:p>
            <w:pPr>
              <w:jc w:val="center"/>
              <w:rPr>
                <w:rFonts w:ascii="仿宋_GB2312" w:hAnsi="宋体" w:eastAsia="仿宋_GB2312" w:cs="仿宋_GB2312"/>
                <w:color w:val="000000"/>
              </w:rPr>
            </w:pPr>
          </w:p>
        </w:tc>
        <w:tc>
          <w:tcPr>
            <w:tcW w:w="7763" w:type="dxa"/>
            <w:tcBorders>
              <w:top w:val="nil"/>
              <w:left w:val="nil"/>
              <w:bottom w:val="single" w:color="auto" w:sz="4"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餐用具清洗消毒水池使用不锈钢或陶瓷等不透水材料、不易积垢并易于清洗</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40</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705" w:hRule="atLeast"/>
        </w:trPr>
        <w:tc>
          <w:tcPr>
            <w:tcW w:w="1422" w:type="dxa"/>
            <w:vMerge w:val="continue"/>
            <w:tcBorders>
              <w:left w:val="single" w:color="000000" w:sz="8" w:space="0"/>
              <w:bottom w:val="single" w:color="auto" w:sz="4" w:space="0"/>
              <w:right w:val="single" w:color="000000" w:sz="8" w:space="0"/>
            </w:tcBorders>
            <w:vAlign w:val="center"/>
          </w:tcPr>
          <w:p>
            <w:pPr>
              <w:jc w:val="center"/>
              <w:rPr>
                <w:rFonts w:ascii="仿宋_GB2312" w:hAnsi="宋体" w:eastAsia="仿宋_GB2312" w:cs="仿宋_GB2312"/>
                <w:color w:val="000000"/>
              </w:rPr>
            </w:pPr>
          </w:p>
        </w:tc>
        <w:tc>
          <w:tcPr>
            <w:tcW w:w="7763" w:type="dxa"/>
            <w:tcBorders>
              <w:top w:val="single" w:color="auto" w:sz="4" w:space="0"/>
              <w:left w:val="nil"/>
              <w:bottom w:val="single" w:color="auto" w:sz="4"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设专供存放消毒后餐用具的保洁间，不得设置在餐用具清洗消毒间内。配备保洁设备设施，标记明显。热力消毒设施设备可用于保洁</w:t>
            </w:r>
          </w:p>
        </w:tc>
        <w:tc>
          <w:tcPr>
            <w:tcW w:w="576" w:type="dxa"/>
            <w:tcBorders>
              <w:top w:val="nil"/>
              <w:left w:val="single" w:color="000000" w:sz="8" w:space="0"/>
              <w:bottom w:val="single" w:color="auto" w:sz="4"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41</w:t>
            </w:r>
          </w:p>
        </w:tc>
        <w:tc>
          <w:tcPr>
            <w:tcW w:w="821" w:type="dxa"/>
            <w:tcBorders>
              <w:top w:val="nil"/>
              <w:left w:val="single" w:color="000000" w:sz="8" w:space="0"/>
              <w:bottom w:val="single" w:color="auto" w:sz="4"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restart"/>
            <w:tcBorders>
              <w:top w:val="single" w:color="auto" w:sz="4" w:space="0"/>
              <w:left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8.食品加工设备</w:t>
            </w:r>
            <w:r>
              <w:rPr>
                <w:rFonts w:hint="eastAsia" w:ascii="仿宋_GB2312" w:hAnsi="等线" w:eastAsia="仿宋_GB2312" w:cs="宋体"/>
                <w:color w:val="000000"/>
                <w:kern w:val="0"/>
              </w:rPr>
              <w:t>、工具和容器</w:t>
            </w:r>
          </w:p>
        </w:tc>
        <w:tc>
          <w:tcPr>
            <w:tcW w:w="7763" w:type="dxa"/>
            <w:tcBorders>
              <w:top w:val="single" w:color="auto" w:sz="4" w:space="0"/>
              <w:left w:val="nil"/>
              <w:bottom w:val="single" w:color="auto" w:sz="4"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分别设置与加工品种相对应的食品原料清洗水池（分为畜禽产品、水产品、植物性食品等），水池数量或容量与加工食品的品种数量相适应。各类水池以明显标识标明其用途</w:t>
            </w:r>
          </w:p>
        </w:tc>
        <w:tc>
          <w:tcPr>
            <w:tcW w:w="576" w:type="dxa"/>
            <w:tcBorders>
              <w:top w:val="nil"/>
              <w:left w:val="single" w:color="000000" w:sz="8" w:space="0"/>
              <w:bottom w:val="single" w:color="auto" w:sz="4" w:space="0"/>
              <w:right w:val="single" w:color="000000" w:sz="8"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42</w:t>
            </w:r>
          </w:p>
        </w:tc>
        <w:tc>
          <w:tcPr>
            <w:tcW w:w="821" w:type="dxa"/>
            <w:tcBorders>
              <w:top w:val="nil"/>
              <w:left w:val="single" w:color="000000" w:sz="8" w:space="0"/>
              <w:bottom w:val="single" w:color="auto" w:sz="4"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709" w:hRule="atLeast"/>
        </w:trPr>
        <w:tc>
          <w:tcPr>
            <w:tcW w:w="1422" w:type="dxa"/>
            <w:vMerge w:val="continue"/>
            <w:tcBorders>
              <w:left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与食品接触的容器、工具和设备部件，应使用无毒、无味、耐腐蚀、不易脱落的材料制成，并应易于清洁和保养</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43</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39" w:hRule="atLeast"/>
        </w:trPr>
        <w:tc>
          <w:tcPr>
            <w:tcW w:w="1422" w:type="dxa"/>
            <w:vMerge w:val="continue"/>
            <w:tcBorders>
              <w:left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食品设备、工具和容器与食品的接触面平滑、无凹陷或裂缝</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44</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45" w:hRule="atLeast"/>
        </w:trPr>
        <w:tc>
          <w:tcPr>
            <w:tcW w:w="1422" w:type="dxa"/>
            <w:vMerge w:val="continue"/>
            <w:tcBorders>
              <w:left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所有食品设备、工具和容器不使用木质材料，因工艺要求必须使用除外</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45</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77" w:hRule="atLeast"/>
        </w:trPr>
        <w:tc>
          <w:tcPr>
            <w:tcW w:w="1422" w:type="dxa"/>
            <w:vMerge w:val="continue"/>
            <w:tcBorders>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用于原料、半成品、成品的工具、用具和容器，有明显的区分标识，分开定位存放</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46</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780" w:hRule="atLeast"/>
        </w:trPr>
        <w:tc>
          <w:tcPr>
            <w:tcW w:w="1422" w:type="dxa"/>
            <w:vMerge w:val="restar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9.通风排烟</w:t>
            </w: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烹饪场所采用机械排风。产生油烟或大量蒸汽的设备上部，加设附有机械排风及油烟过滤的排气装置，过滤器应便于清洗和更换</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47</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780" w:hRule="atLeast"/>
        </w:trPr>
        <w:tc>
          <w:tcPr>
            <w:tcW w:w="1422" w:type="dxa"/>
            <w:vMerge w:val="continue"/>
            <w:tcBorders>
              <w:top w:val="nil"/>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冷却间、分装（餐）间和易腐食品加工间（热加工除外）设置空调通风系统等通风温控设施及空气消毒设施，配备环境温度计，定时监测环境温度</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48</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724" w:hRule="atLeast"/>
        </w:trPr>
        <w:tc>
          <w:tcPr>
            <w:tcW w:w="1422" w:type="dxa"/>
            <w:vMerge w:val="restart"/>
            <w:tcBorders>
              <w:top w:val="nil"/>
              <w:left w:val="single" w:color="000000" w:sz="8" w:space="0"/>
              <w:right w:val="single" w:color="000000" w:sz="8" w:space="0"/>
            </w:tcBorders>
            <w:vAlign w:val="center"/>
          </w:tcPr>
          <w:p>
            <w:pPr>
              <w:widowControl/>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10.采光照明</w:t>
            </w: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食品处理区应有充足的自然采光或人工照明设施，工作面的光照强度不应低于220lux，光源不应改变食品的感官颜色，其他场所的光照强度不宜低于110lux</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49</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640" w:hRule="atLeast"/>
        </w:trPr>
        <w:tc>
          <w:tcPr>
            <w:tcW w:w="1422" w:type="dxa"/>
            <w:vMerge w:val="continue"/>
            <w:tcBorders>
              <w:left w:val="single" w:color="000000" w:sz="8" w:space="0"/>
              <w:right w:val="single" w:color="000000" w:sz="8" w:space="0"/>
            </w:tcBorders>
            <w:vAlign w:val="center"/>
          </w:tcPr>
          <w:p>
            <w:pPr>
              <w:widowControl/>
              <w:textAlignment w:val="cente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食品处理区裸露食品正上方的照明设施，应使用安全型照明设施或安装防护罩</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50</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82" w:hRule="atLeast"/>
        </w:trPr>
        <w:tc>
          <w:tcPr>
            <w:tcW w:w="1422" w:type="dxa"/>
            <w:vMerge w:val="continue"/>
            <w:tcBorders>
              <w:left w:val="single" w:color="000000" w:sz="8" w:space="0"/>
              <w:bottom w:val="single" w:color="000000" w:sz="8" w:space="0"/>
              <w:right w:val="single" w:color="000000" w:sz="8" w:space="0"/>
            </w:tcBorders>
            <w:noWrap/>
            <w:vAlign w:val="center"/>
          </w:tcPr>
          <w:p>
            <w:pPr>
              <w:rPr>
                <w:rFonts w:ascii="宋体" w:hAnsi="宋体" w:cs="宋体"/>
                <w:color w:val="000000"/>
                <w:sz w:val="22"/>
                <w:szCs w:val="22"/>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冷库照明应使用防爆灯</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51</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25" w:hRule="atLeast"/>
        </w:trPr>
        <w:tc>
          <w:tcPr>
            <w:tcW w:w="1422" w:type="dxa"/>
            <w:vMerge w:val="restart"/>
            <w:tcBorders>
              <w:top w:val="nil"/>
              <w:left w:val="single" w:color="000000" w:sz="8" w:space="0"/>
              <w:right w:val="single" w:color="000000" w:sz="8" w:space="0"/>
            </w:tcBorders>
            <w:vAlign w:val="center"/>
          </w:tcPr>
          <w:p>
            <w:pP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11.废弃物暂存</w:t>
            </w: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食品处理区设废弃物存放设施，废弃物容器与食品加工制作容器有明显的区分标识</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52</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continue"/>
            <w:tcBorders>
              <w:left w:val="single" w:color="000000" w:sz="8" w:space="0"/>
              <w:bottom w:val="single" w:color="000000" w:sz="8" w:space="0"/>
              <w:right w:val="single" w:color="000000" w:sz="8" w:space="0"/>
            </w:tcBorders>
            <w:vAlign w:val="center"/>
          </w:tcPr>
          <w:p>
            <w:pPr>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废弃物存放设施应有盖，以坚固及不透水的材料制造，内壁光滑便于清洗</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53</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470" w:hRule="atLeast"/>
        </w:trPr>
        <w:tc>
          <w:tcPr>
            <w:tcW w:w="1422" w:type="dxa"/>
            <w:vMerge w:val="restart"/>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12.</w:t>
            </w:r>
            <w:r>
              <w:rPr>
                <w:rFonts w:hint="eastAsia" w:ascii="仿宋_GB2312" w:hAnsi="宋体" w:eastAsia="仿宋_GB2312" w:cs="仿宋_GB2312"/>
                <w:color w:val="000000"/>
                <w:kern w:val="0"/>
              </w:rPr>
              <w:t>库房</w:t>
            </w: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bookmarkStart w:id="1" w:name="_Hlk85020551"/>
            <w:r>
              <w:rPr>
                <w:rFonts w:hint="eastAsia" w:ascii="仿宋_GB2312" w:hAnsi="宋体" w:eastAsia="仿宋_GB2312" w:cs="仿宋_GB2312"/>
                <w:kern w:val="0"/>
                <w:szCs w:val="21"/>
                <w:lang w:bidi="ar"/>
              </w:rPr>
              <w:t>库房内设置数量足够的物品存放架，能使贮存的食品离地离墙存放，距离地面应10cm以上，距离墙壁宜10cm以上</w:t>
            </w:r>
            <w:bookmarkEnd w:id="1"/>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54</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除冷库外的库房设置通风、防潮及防止有害生物入侵的装置。设置挡鼠板（金属材质或非金属材质包铁皮），高度应不低于60cm</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55</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库房应设有温湿度计</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56</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冷库、柜数量和结构应能使原料、半成品和成品分开存放，有区分标识</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57</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使用食品添加剂的应设专柜（位）贮存，标注“食品添加剂”字样，并与食品、食品相关产品等分开存放。</w:t>
            </w:r>
          </w:p>
        </w:tc>
        <w:tc>
          <w:tcPr>
            <w:tcW w:w="576"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rPr>
            </w:pPr>
            <w:r>
              <w:rPr>
                <w:rFonts w:hint="eastAsia" w:ascii="仿宋_GB2312" w:hAnsi="宋体" w:eastAsia="仿宋_GB2312" w:cs="仿宋_GB2312"/>
                <w:color w:val="000000"/>
              </w:rPr>
              <w:t>58</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snapToGrid w:val="0"/>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80" w:hRule="atLeast"/>
        </w:trPr>
        <w:tc>
          <w:tcPr>
            <w:tcW w:w="1422" w:type="dxa"/>
            <w:vMerge w:val="continue"/>
            <w:tcBorders>
              <w:top w:val="nil"/>
              <w:left w:val="single" w:color="000000" w:sz="8" w:space="0"/>
              <w:bottom w:val="single" w:color="auto" w:sz="4"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auto" w:sz="4"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制作冷链食品，应配备具有温度控制功能的专用成品库房。库房面积及空间应满足成品贮存周转的需要，制冷设备的性能参数应能满足成品冷藏的质量要求。</w:t>
            </w:r>
          </w:p>
        </w:tc>
        <w:tc>
          <w:tcPr>
            <w:tcW w:w="576" w:type="dxa"/>
            <w:tcBorders>
              <w:top w:val="nil"/>
              <w:left w:val="single" w:color="000000" w:sz="8" w:space="0"/>
              <w:bottom w:val="single" w:color="auto" w:sz="4"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59</w:t>
            </w:r>
          </w:p>
        </w:tc>
        <w:tc>
          <w:tcPr>
            <w:tcW w:w="821" w:type="dxa"/>
            <w:tcBorders>
              <w:top w:val="nil"/>
              <w:left w:val="single" w:color="000000" w:sz="8" w:space="0"/>
              <w:bottom w:val="single" w:color="auto" w:sz="4" w:space="0"/>
              <w:right w:val="single" w:color="000000" w:sz="8" w:space="0"/>
            </w:tcBorders>
            <w:vAlign w:val="center"/>
          </w:tcPr>
          <w:p>
            <w:pPr>
              <w:widowControl/>
              <w:jc w:val="center"/>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w:t>
            </w:r>
          </w:p>
        </w:tc>
        <w:tc>
          <w:tcPr>
            <w:tcW w:w="733" w:type="dxa"/>
            <w:tcBorders>
              <w:top w:val="nil"/>
              <w:left w:val="single" w:color="000000" w:sz="8" w:space="0"/>
              <w:bottom w:val="single" w:color="auto" w:sz="4"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auto" w:sz="4"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auto" w:sz="4"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780" w:hRule="atLeast"/>
        </w:trPr>
        <w:tc>
          <w:tcPr>
            <w:tcW w:w="142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13.冷却间、分装（餐）间</w:t>
            </w: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需要对直接入口食品进行冷却、分装（餐）的，应按照专间要求设置冷却间（使用速冷设备的除外）、分装（餐）间，冷却间应配备能满足冷却要求的制冷设备</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szCs w:val="21"/>
              </w:rPr>
              <w:t>60</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8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专间的面积≥食品处理区面积的10%，且分装（餐）间面积应≥15</w:t>
            </w:r>
            <w:r>
              <w:rPr>
                <w:rFonts w:hint="eastAsia" w:ascii="方正仿宋_GBK" w:hAnsi="方正仿宋_GBK" w:eastAsia="方正仿宋_GBK" w:cs="方正仿宋_GBK"/>
                <w:kern w:val="0"/>
                <w:szCs w:val="21"/>
                <w:lang w:val="zh-CN" w:bidi="ar"/>
              </w:rPr>
              <w:t>㎡</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61</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45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专间入口处应当设置独立的洗手、消毒、更衣设施，洗手设施的水龙头应采用非手动式</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62</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8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食品处理区总面积1000</w:t>
            </w:r>
            <w:r>
              <w:rPr>
                <w:rFonts w:hint="eastAsia" w:ascii="方正仿宋_GBK" w:hAnsi="方正仿宋_GBK" w:eastAsia="方正仿宋_GBK" w:cs="方正仿宋_GBK"/>
                <w:kern w:val="0"/>
                <w:szCs w:val="21"/>
                <w:lang w:val="zh-CN" w:bidi="ar"/>
              </w:rPr>
              <w:t>㎡</w:t>
            </w:r>
            <w:r>
              <w:rPr>
                <w:rFonts w:hint="eastAsia" w:ascii="仿宋_GB2312" w:hAnsi="宋体" w:eastAsia="仿宋_GB2312" w:cs="仿宋_GB2312"/>
                <w:kern w:val="0"/>
                <w:szCs w:val="21"/>
                <w:lang w:bidi="ar"/>
              </w:rPr>
              <w:t>以上的，分装（餐）间设置独立的二次更衣间</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63</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04"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应设置调温设施、配备环境温度计</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64</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0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设置空气消毒设施。使用紫外线消毒的，灯管应距地面2</w:t>
            </w:r>
            <w:r>
              <w:rPr>
                <w:rFonts w:hint="eastAsia" w:ascii="仿宋_GB2312" w:hAnsi="宋体" w:eastAsia="仿宋_GB2312" w:cs="仿宋_GB2312"/>
                <w:kern w:val="0"/>
                <w:szCs w:val="21"/>
                <w:lang w:val="en" w:bidi="ar"/>
              </w:rPr>
              <w:t>m</w:t>
            </w:r>
            <w:r>
              <w:rPr>
                <w:rFonts w:hint="eastAsia" w:ascii="仿宋_GB2312" w:hAnsi="宋体" w:eastAsia="仿宋_GB2312" w:cs="仿宋_GB2312"/>
                <w:kern w:val="0"/>
                <w:szCs w:val="21"/>
                <w:lang w:bidi="ar"/>
              </w:rPr>
              <w:t>以内，并配有反光罩</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65</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48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专间墙壁应铺设到顶</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66</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7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应设置可开闭式食品传递窗口，除传递窗口和人员通道外，不设置其他可开闭的门窗；门应能自动关闭，</w:t>
            </w:r>
            <w:r>
              <w:rPr>
                <w:rFonts w:hint="eastAsia" w:ascii="仿宋_GB2312" w:hAnsi="宋体" w:eastAsia="仿宋_GB2312" w:cs="仿宋_GB2312"/>
                <w:kern w:val="0"/>
                <w:szCs w:val="21"/>
                <w:lang w:val="zh-CN" w:bidi="ar"/>
              </w:rPr>
              <w:t>门、窗应闭合严密</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67</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49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制作热链食品的，配备保温分餐台或食品再加热设备</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68</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90"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废弃物容器盖子为非手动开启式；排水不得设置明沟，地漏带水封，应能防止废弃物流入及浊气逸出</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69</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99"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kern w:val="0"/>
                <w:szCs w:val="21"/>
                <w:lang w:bidi="ar"/>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分装（餐）间至少设置1个水池</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70</w:t>
            </w:r>
          </w:p>
        </w:tc>
        <w:tc>
          <w:tcPr>
            <w:tcW w:w="8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37" w:hRule="atLeast"/>
        </w:trPr>
        <w:tc>
          <w:tcPr>
            <w:tcW w:w="142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14.备餐（装箱）间</w:t>
            </w: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备餐间应紧邻分装（餐）间设置，与其他场所分离</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szCs w:val="21"/>
              </w:rPr>
              <w:t>71</w:t>
            </w:r>
          </w:p>
        </w:tc>
        <w:tc>
          <w:tcPr>
            <w:tcW w:w="82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445" w:hRule="atLeast"/>
        </w:trPr>
        <w:tc>
          <w:tcPr>
            <w:tcW w:w="142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rPr>
            </w:pPr>
          </w:p>
        </w:tc>
        <w:tc>
          <w:tcPr>
            <w:tcW w:w="7763"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面积及设施应满足待配送食品存放的需要</w:t>
            </w:r>
          </w:p>
        </w:tc>
        <w:tc>
          <w:tcPr>
            <w:tcW w:w="57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szCs w:val="21"/>
              </w:rPr>
              <w:t>72</w:t>
            </w:r>
          </w:p>
        </w:tc>
        <w:tc>
          <w:tcPr>
            <w:tcW w:w="82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1072" w:hRule="atLeast"/>
        </w:trPr>
        <w:tc>
          <w:tcPr>
            <w:tcW w:w="1422" w:type="dxa"/>
            <w:vMerge w:val="restart"/>
            <w:tcBorders>
              <w:top w:val="single" w:color="auto" w:sz="4" w:space="0"/>
              <w:left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15.更衣室</w:t>
            </w:r>
          </w:p>
        </w:tc>
        <w:tc>
          <w:tcPr>
            <w:tcW w:w="7763" w:type="dxa"/>
            <w:tcBorders>
              <w:top w:val="single" w:color="auto" w:sz="4" w:space="0"/>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更衣场所与加工经营场所处于同一建筑物内，设在工作人员进入操作场所入口处。有与经营项目和经营规模相适应的空间，设置充足的更衣、换鞋和照明、洗手、消毒、干手等设施</w:t>
            </w:r>
          </w:p>
        </w:tc>
        <w:tc>
          <w:tcPr>
            <w:tcW w:w="576" w:type="dxa"/>
            <w:tcBorders>
              <w:top w:val="single" w:color="auto" w:sz="4"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73</w:t>
            </w:r>
          </w:p>
        </w:tc>
        <w:tc>
          <w:tcPr>
            <w:tcW w:w="821" w:type="dxa"/>
            <w:tcBorders>
              <w:top w:val="single" w:color="auto" w:sz="4" w:space="0"/>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auto" w:sz="4" w:space="0"/>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auto" w:sz="4" w:space="0"/>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690" w:hRule="atLeast"/>
        </w:trPr>
        <w:tc>
          <w:tcPr>
            <w:tcW w:w="1422" w:type="dxa"/>
            <w:vMerge w:val="continue"/>
            <w:tcBorders>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kern w:val="0"/>
                <w:szCs w:val="21"/>
                <w:lang w:bidi="ar"/>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加工操作场所入口处设置风淋室及工作鞋（靴）底清洁消毒设施</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74</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restart"/>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16.厕所</w:t>
            </w: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食品处理区内不得设置厕所，且厕所出入口不应直对食品处理区</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75</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84" w:hRule="atLeast"/>
        </w:trPr>
        <w:tc>
          <w:tcPr>
            <w:tcW w:w="1422" w:type="dxa"/>
            <w:vMerge w:val="continue"/>
            <w:tcBorders>
              <w:top w:val="nil"/>
              <w:left w:val="single" w:color="000000" w:sz="8" w:space="0"/>
              <w:bottom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出口附近应当设置洗手设施（如果厕所在食品处理区外，没有必要设置消毒设施，因为进入处理区会有洗手消毒，更衣，脚部消毒等设施）</w:t>
            </w:r>
          </w:p>
        </w:tc>
        <w:tc>
          <w:tcPr>
            <w:tcW w:w="576" w:type="dxa"/>
            <w:tcBorders>
              <w:top w:val="nil"/>
              <w:left w:val="single" w:color="000000" w:sz="8" w:space="0"/>
              <w:bottom w:val="single" w:color="000000" w:sz="8" w:space="0"/>
              <w:right w:val="single" w:color="000000" w:sz="8"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szCs w:val="21"/>
              </w:rPr>
              <w:t>76</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与外界直接相通的门应能自动关闭，将洗手消毒设施与厕所门开启进行联动</w:t>
            </w:r>
          </w:p>
        </w:tc>
        <w:tc>
          <w:tcPr>
            <w:tcW w:w="576" w:type="dxa"/>
            <w:tcBorders>
              <w:top w:val="nil"/>
              <w:left w:val="single" w:color="000000" w:sz="8" w:space="0"/>
              <w:bottom w:val="single" w:color="000000" w:sz="8" w:space="0"/>
              <w:right w:val="single" w:color="000000" w:sz="8"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szCs w:val="21"/>
              </w:rPr>
              <w:t>77</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72" w:hRule="atLeast"/>
        </w:trPr>
        <w:tc>
          <w:tcPr>
            <w:tcW w:w="1422" w:type="dxa"/>
            <w:vMerge w:val="continue"/>
            <w:tcBorders>
              <w:top w:val="nil"/>
              <w:left w:val="single" w:color="000000" w:sz="8" w:space="0"/>
              <w:bottom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设置冲水式便池、通风设施、清洁设施</w:t>
            </w:r>
          </w:p>
        </w:tc>
        <w:tc>
          <w:tcPr>
            <w:tcW w:w="576" w:type="dxa"/>
            <w:tcBorders>
              <w:top w:val="nil"/>
              <w:left w:val="single" w:color="000000" w:sz="8" w:space="0"/>
              <w:bottom w:val="single" w:color="000000" w:sz="8" w:space="0"/>
              <w:right w:val="single" w:color="000000" w:sz="8" w:space="0"/>
            </w:tcBorders>
            <w:vAlign w:val="center"/>
          </w:tcPr>
          <w:p>
            <w:pPr>
              <w:jc w:val="center"/>
              <w:rPr>
                <w:rFonts w:ascii="仿宋_GB2312" w:hAnsi="宋体" w:eastAsia="仿宋_GB2312" w:cs="仿宋_GB2312"/>
                <w:color w:val="000000"/>
              </w:rPr>
            </w:pPr>
            <w:r>
              <w:rPr>
                <w:rFonts w:hint="eastAsia" w:ascii="仿宋_GB2312" w:hAnsi="宋体" w:eastAsia="仿宋_GB2312" w:cs="仿宋_GB2312"/>
                <w:color w:val="000000"/>
                <w:szCs w:val="21"/>
              </w:rPr>
              <w:t>78</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800" w:hRule="atLeast"/>
        </w:trPr>
        <w:tc>
          <w:tcPr>
            <w:tcW w:w="1422" w:type="dxa"/>
            <w:vMerge w:val="restart"/>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17.运输设备</w:t>
            </w: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配备与加工食品品种、数量以及贮存要求相适应的封闭式专用运输车辆及设备，根据食物特点，配备保温或冷藏等设施</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79</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525" w:hRule="atLeast"/>
        </w:trPr>
        <w:tc>
          <w:tcPr>
            <w:tcW w:w="1422" w:type="dxa"/>
            <w:vMerge w:val="continue"/>
            <w:tcBorders>
              <w:top w:val="nil"/>
              <w:left w:val="single" w:color="000000" w:sz="8" w:space="0"/>
              <w:bottom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运输车辆和容器内部材质和结构便于清洗和消毒</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rPr>
              <w:t>80</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780" w:hRule="atLeast"/>
        </w:trPr>
        <w:tc>
          <w:tcPr>
            <w:tcW w:w="1422" w:type="dxa"/>
            <w:vMerge w:val="restart"/>
            <w:tcBorders>
              <w:top w:val="nil"/>
              <w:left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18.食品检验</w:t>
            </w: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设置与加工制作的食品品种相适应的检验室。没有条件设置检验室的，可以委托有资质的检验机构代行检验，申请许可时应当提交相关委托协议等证明文件备案</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81</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620" w:hRule="atLeast"/>
        </w:trPr>
        <w:tc>
          <w:tcPr>
            <w:tcW w:w="1422" w:type="dxa"/>
            <w:vMerge w:val="continue"/>
            <w:tcBorders>
              <w:left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检验室应采用独立通风设施，配备相应的仪器设备以及标准物质。微生物检验室应设有空气消毒设施</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82</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578" w:hRule="atLeast"/>
        </w:trPr>
        <w:tc>
          <w:tcPr>
            <w:tcW w:w="1422" w:type="dxa"/>
            <w:vMerge w:val="continue"/>
            <w:tcBorders>
              <w:left w:val="single" w:color="000000" w:sz="8" w:space="0"/>
              <w:bottom w:val="single" w:color="000000" w:sz="8" w:space="0"/>
              <w:right w:val="single" w:color="000000" w:sz="8" w:space="0"/>
            </w:tcBorders>
            <w:vAlign w:val="center"/>
          </w:tcPr>
          <w:p>
            <w:pPr>
              <w:jc w:val="left"/>
              <w:rPr>
                <w:rFonts w:ascii="仿宋_GB2312" w:hAnsi="宋体" w:eastAsia="仿宋_GB2312" w:cs="仿宋_GB2312"/>
                <w:color w:val="000000"/>
              </w:rPr>
            </w:pPr>
          </w:p>
        </w:tc>
        <w:tc>
          <w:tcPr>
            <w:tcW w:w="7763" w:type="dxa"/>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配备与检验项目相适应的检验设施和检验人员</w:t>
            </w:r>
          </w:p>
        </w:tc>
        <w:tc>
          <w:tcPr>
            <w:tcW w:w="5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83</w:t>
            </w:r>
          </w:p>
        </w:tc>
        <w:tc>
          <w:tcPr>
            <w:tcW w:w="8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w:t>
            </w:r>
          </w:p>
        </w:tc>
        <w:tc>
          <w:tcPr>
            <w:tcW w:w="733" w:type="dxa"/>
            <w:tcBorders>
              <w:top w:val="nil"/>
              <w:left w:val="single" w:color="000000" w:sz="8" w:space="0"/>
              <w:bottom w:val="single" w:color="000000" w:sz="8"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nil"/>
              <w:left w:val="single" w:color="000000" w:sz="8" w:space="0"/>
              <w:bottom w:val="single" w:color="000000" w:sz="8"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trHeight w:val="665" w:hRule="atLeast"/>
        </w:trPr>
        <w:tc>
          <w:tcPr>
            <w:tcW w:w="1422" w:type="dxa"/>
            <w:tcBorders>
              <w:top w:val="single" w:color="000000" w:sz="8" w:space="0"/>
              <w:left w:val="single" w:color="000000" w:sz="8" w:space="0"/>
              <w:bottom w:val="single" w:color="auto" w:sz="4"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19.食品留样</w:t>
            </w:r>
          </w:p>
        </w:tc>
        <w:tc>
          <w:tcPr>
            <w:tcW w:w="7763" w:type="dxa"/>
            <w:tcBorders>
              <w:top w:val="single" w:color="000000" w:sz="8" w:space="0"/>
              <w:left w:val="single" w:color="000000" w:sz="8" w:space="0"/>
              <w:bottom w:val="single" w:color="auto" w:sz="4"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配备专用留样容器和冷藏设施，以及留样管理人员</w:t>
            </w:r>
          </w:p>
        </w:tc>
        <w:tc>
          <w:tcPr>
            <w:tcW w:w="576" w:type="dxa"/>
            <w:tcBorders>
              <w:top w:val="single" w:color="000000" w:sz="8" w:space="0"/>
              <w:left w:val="single" w:color="000000" w:sz="8" w:space="0"/>
              <w:bottom w:val="single" w:color="auto" w:sz="4"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szCs w:val="21"/>
              </w:rPr>
              <w:t>84</w:t>
            </w:r>
          </w:p>
        </w:tc>
        <w:tc>
          <w:tcPr>
            <w:tcW w:w="821" w:type="dxa"/>
            <w:tcBorders>
              <w:top w:val="single" w:color="000000" w:sz="8" w:space="0"/>
              <w:left w:val="single" w:color="000000" w:sz="8" w:space="0"/>
              <w:bottom w:val="single" w:color="auto" w:sz="4" w:space="0"/>
              <w:right w:val="single" w:color="000000" w:sz="8" w:space="0"/>
            </w:tcBorders>
            <w:vAlign w:val="center"/>
          </w:tcPr>
          <w:p>
            <w:pPr>
              <w:widowControl/>
              <w:jc w:val="center"/>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w:t>
            </w:r>
          </w:p>
        </w:tc>
        <w:tc>
          <w:tcPr>
            <w:tcW w:w="733" w:type="dxa"/>
            <w:tcBorders>
              <w:top w:val="single" w:color="000000" w:sz="8" w:space="0"/>
              <w:left w:val="single" w:color="000000" w:sz="8" w:space="0"/>
              <w:bottom w:val="single" w:color="auto" w:sz="4" w:space="0"/>
              <w:right w:val="single" w:color="000000" w:sz="8" w:space="0"/>
            </w:tcBorders>
            <w:vAlign w:val="center"/>
          </w:tcPr>
          <w:p>
            <w:pPr>
              <w:widowControl/>
              <w:jc w:val="center"/>
              <w:rPr>
                <w:rFonts w:ascii="仿宋_GB2312" w:hAnsi="宋体" w:eastAsia="仿宋_GB2312" w:cs="仿宋_GB2312"/>
                <w:color w:val="000000"/>
              </w:rPr>
            </w:pPr>
            <w:r>
              <w:rPr>
                <w:rFonts w:hint="eastAsia" w:ascii="仿宋_GB2312" w:hAnsi="等线" w:eastAsia="仿宋_GB2312" w:cs="宋体"/>
                <w:color w:val="000000"/>
                <w:kern w:val="0"/>
              </w:rPr>
              <w:t>　</w:t>
            </w:r>
          </w:p>
        </w:tc>
        <w:tc>
          <w:tcPr>
            <w:tcW w:w="892" w:type="dxa"/>
            <w:tcBorders>
              <w:top w:val="single" w:color="000000" w:sz="8" w:space="0"/>
              <w:left w:val="single" w:color="000000" w:sz="8" w:space="0"/>
              <w:bottom w:val="single" w:color="auto" w:sz="4"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000000" w:sz="8" w:space="0"/>
              <w:left w:val="single" w:color="000000" w:sz="8" w:space="0"/>
              <w:bottom w:val="single" w:color="auto" w:sz="4" w:space="0"/>
              <w:right w:val="single" w:color="000000" w:sz="8" w:space="0"/>
            </w:tcBorders>
            <w:vAlign w:val="center"/>
          </w:tcPr>
          <w:p>
            <w:pPr>
              <w:widowControl/>
              <w:jc w:val="left"/>
              <w:textAlignment w:val="center"/>
              <w:rPr>
                <w:rFonts w:ascii="仿宋_GB2312" w:hAnsi="宋体" w:eastAsia="仿宋_GB2312" w:cs="仿宋_GB2312"/>
                <w:color w:val="000000"/>
              </w:rPr>
            </w:pPr>
            <w:r>
              <w:rPr>
                <w:rFonts w:hint="eastAsia" w:ascii="仿宋_GB2312" w:hAnsi="宋体" w:eastAsia="仿宋_GB2312" w:cs="仿宋_GB2312"/>
                <w:color w:val="000000"/>
                <w:kern w:val="0"/>
                <w:szCs w:val="21"/>
                <w:lang w:bidi="ar"/>
              </w:rPr>
              <w:t>不得缺项</w:t>
            </w:r>
          </w:p>
        </w:tc>
      </w:tr>
      <w:tr>
        <w:tblPrEx>
          <w:tblCellMar>
            <w:top w:w="0" w:type="dxa"/>
            <w:left w:w="108" w:type="dxa"/>
            <w:bottom w:w="0" w:type="dxa"/>
            <w:right w:w="108" w:type="dxa"/>
          </w:tblCellMar>
        </w:tblPrEx>
        <w:trPr>
          <w:trHeight w:val="757" w:hRule="atLeast"/>
        </w:trPr>
        <w:tc>
          <w:tcPr>
            <w:tcW w:w="1422" w:type="dxa"/>
            <w:tcBorders>
              <w:top w:val="single" w:color="auto" w:sz="4" w:space="0"/>
              <w:left w:val="single" w:color="000000" w:sz="8" w:space="0"/>
              <w:bottom w:val="single" w:color="auto" w:sz="4" w:space="0"/>
              <w:right w:val="single" w:color="000000" w:sz="8" w:space="0"/>
            </w:tcBorders>
            <w:vAlign w:val="center"/>
          </w:tcPr>
          <w:p>
            <w:pPr>
              <w:widowControl/>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20.视频监控</w:t>
            </w:r>
          </w:p>
        </w:tc>
        <w:tc>
          <w:tcPr>
            <w:tcW w:w="7763" w:type="dxa"/>
            <w:tcBorders>
              <w:top w:val="single" w:color="auto" w:sz="4" w:space="0"/>
              <w:left w:val="single" w:color="000000" w:sz="8" w:space="0"/>
              <w:bottom w:val="single" w:color="auto" w:sz="4"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在食品处理区的关键部位安装视频监控，实现加工制作过程可视化。运用现代信息技术，实现“互联网+明厨亮灶”</w:t>
            </w:r>
          </w:p>
        </w:tc>
        <w:tc>
          <w:tcPr>
            <w:tcW w:w="576" w:type="dxa"/>
            <w:tcBorders>
              <w:top w:val="single" w:color="auto" w:sz="4" w:space="0"/>
              <w:left w:val="single" w:color="000000" w:sz="8" w:space="0"/>
              <w:bottom w:val="single" w:color="auto" w:sz="4" w:space="0"/>
              <w:right w:val="single" w:color="000000" w:sz="8" w:space="0"/>
            </w:tcBorders>
            <w:vAlign w:val="center"/>
          </w:tcPr>
          <w:p>
            <w:pPr>
              <w:widowControl/>
              <w:jc w:val="center"/>
              <w:rPr>
                <w:rFonts w:ascii="仿宋_GB2312" w:hAnsi="宋体" w:eastAsia="仿宋_GB2312" w:cs="仿宋_GB2312"/>
                <w:color w:val="000000"/>
                <w:szCs w:val="21"/>
              </w:rPr>
            </w:pPr>
            <w:r>
              <w:rPr>
                <w:rFonts w:hint="eastAsia" w:ascii="仿宋_GB2312" w:hAnsi="等线" w:eastAsia="仿宋_GB2312" w:cs="宋体"/>
                <w:color w:val="000000"/>
                <w:kern w:val="0"/>
              </w:rPr>
              <w:t>85</w:t>
            </w:r>
          </w:p>
        </w:tc>
        <w:tc>
          <w:tcPr>
            <w:tcW w:w="821" w:type="dxa"/>
            <w:tcBorders>
              <w:top w:val="single" w:color="auto" w:sz="4" w:space="0"/>
              <w:left w:val="single" w:color="000000" w:sz="8" w:space="0"/>
              <w:bottom w:val="single" w:color="auto" w:sz="4"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w:t>
            </w:r>
            <w:r>
              <w:rPr>
                <w:rFonts w:ascii="仿宋_GB2312" w:hAnsi="宋体" w:eastAsia="仿宋_GB2312" w:cs="仿宋_GB2312"/>
                <w:color w:val="000000"/>
                <w:kern w:val="0"/>
              </w:rPr>
              <w:t>*</w:t>
            </w:r>
          </w:p>
        </w:tc>
        <w:tc>
          <w:tcPr>
            <w:tcW w:w="733" w:type="dxa"/>
            <w:tcBorders>
              <w:top w:val="single" w:color="auto" w:sz="4" w:space="0"/>
              <w:left w:val="single" w:color="000000" w:sz="8" w:space="0"/>
              <w:bottom w:val="single" w:color="auto" w:sz="4" w:space="0"/>
              <w:right w:val="single" w:color="000000" w:sz="8" w:space="0"/>
            </w:tcBorders>
            <w:vAlign w:val="center"/>
          </w:tcPr>
          <w:p>
            <w:pPr>
              <w:widowControl/>
              <w:jc w:val="left"/>
              <w:rPr>
                <w:rFonts w:ascii="仿宋_GB2312" w:hAnsi="宋体" w:eastAsia="仿宋_GB2312" w:cs="仿宋_GB2312"/>
                <w:color w:val="000000"/>
              </w:rPr>
            </w:pPr>
            <w:r>
              <w:rPr>
                <w:rFonts w:hint="eastAsia" w:ascii="仿宋_GB2312" w:hAnsi="等线" w:eastAsia="仿宋_GB2312" w:cs="宋体"/>
                <w:color w:val="000000"/>
                <w:kern w:val="0"/>
                <w:sz w:val="22"/>
                <w:szCs w:val="22"/>
              </w:rPr>
              <w:t>　</w:t>
            </w:r>
          </w:p>
        </w:tc>
        <w:tc>
          <w:tcPr>
            <w:tcW w:w="892" w:type="dxa"/>
            <w:tcBorders>
              <w:top w:val="single" w:color="auto" w:sz="4" w:space="0"/>
              <w:left w:val="single" w:color="000000" w:sz="8" w:space="0"/>
              <w:bottom w:val="single" w:color="auto" w:sz="4" w:space="0"/>
              <w:right w:val="single" w:color="000000"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073" w:type="dxa"/>
            <w:tcBorders>
              <w:top w:val="single" w:color="auto" w:sz="4" w:space="0"/>
              <w:left w:val="single" w:color="000000" w:sz="8" w:space="0"/>
              <w:bottom w:val="single" w:color="auto" w:sz="4" w:space="0"/>
              <w:right w:val="single" w:color="000000" w:sz="8" w:space="0"/>
            </w:tcBorders>
            <w:vAlign w:val="center"/>
          </w:tcPr>
          <w:p>
            <w:pPr>
              <w:widowControl/>
              <w:jc w:val="center"/>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trHeight w:val="1251" w:hRule="atLeast"/>
        </w:trPr>
        <w:tc>
          <w:tcPr>
            <w:tcW w:w="1422" w:type="dxa"/>
            <w:tcBorders>
              <w:top w:val="single" w:color="auto" w:sz="4" w:space="0"/>
              <w:left w:val="single" w:color="000000" w:sz="8" w:space="0"/>
              <w:bottom w:val="single" w:color="auto" w:sz="4" w:space="0"/>
              <w:right w:val="single" w:color="000000" w:sz="8" w:space="0"/>
            </w:tcBorders>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21.制度</w:t>
            </w:r>
          </w:p>
        </w:tc>
        <w:tc>
          <w:tcPr>
            <w:tcW w:w="7763" w:type="dxa"/>
            <w:tcBorders>
              <w:top w:val="single" w:color="auto" w:sz="4" w:space="0"/>
              <w:left w:val="single" w:color="000000" w:sz="8" w:space="0"/>
              <w:bottom w:val="single" w:color="auto" w:sz="4"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bidi="ar"/>
              </w:rPr>
              <w:t>制定与实际经营状况相符合的保证食品安全的规章制度并形成书面材料，主要制度内容应包括从业人员健康管理制度、从业人员培训制度、食品安全自查制度、食品进货查验记录制度、食品贮存管理制度、不合格食品处置制度、食品安全突发事件应急处置方案等</w:t>
            </w:r>
          </w:p>
        </w:tc>
        <w:tc>
          <w:tcPr>
            <w:tcW w:w="576" w:type="dxa"/>
            <w:tcBorders>
              <w:top w:val="single" w:color="auto" w:sz="4" w:space="0"/>
              <w:left w:val="single" w:color="000000" w:sz="8" w:space="0"/>
              <w:bottom w:val="single" w:color="auto" w:sz="4"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86</w:t>
            </w:r>
          </w:p>
        </w:tc>
        <w:tc>
          <w:tcPr>
            <w:tcW w:w="821" w:type="dxa"/>
            <w:tcBorders>
              <w:top w:val="single" w:color="auto" w:sz="4" w:space="0"/>
              <w:left w:val="single" w:color="000000" w:sz="8" w:space="0"/>
              <w:bottom w:val="single" w:color="auto" w:sz="4"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ascii="仿宋_GB2312" w:hAnsi="宋体" w:eastAsia="仿宋_GB2312" w:cs="仿宋_GB2312"/>
                <w:color w:val="000000"/>
                <w:kern w:val="0"/>
              </w:rPr>
              <w:t>**</w:t>
            </w:r>
          </w:p>
        </w:tc>
        <w:tc>
          <w:tcPr>
            <w:tcW w:w="733" w:type="dxa"/>
            <w:tcBorders>
              <w:top w:val="single" w:color="auto" w:sz="4" w:space="0"/>
              <w:left w:val="single" w:color="000000" w:sz="8" w:space="0"/>
              <w:bottom w:val="single" w:color="auto" w:sz="4" w:space="0"/>
              <w:right w:val="single" w:color="000000" w:sz="8" w:space="0"/>
            </w:tcBorders>
            <w:vAlign w:val="center"/>
          </w:tcPr>
          <w:p>
            <w:pPr>
              <w:widowControl/>
              <w:snapToGrid w:val="0"/>
              <w:jc w:val="center"/>
              <w:rPr>
                <w:rFonts w:ascii="仿宋_GB2312" w:hAnsi="等线" w:eastAsia="仿宋_GB2312" w:cs="宋体"/>
                <w:color w:val="000000"/>
                <w:kern w:val="0"/>
                <w:sz w:val="22"/>
                <w:szCs w:val="22"/>
              </w:rPr>
            </w:pPr>
            <w:r>
              <w:rPr>
                <w:rFonts w:hint="eastAsia" w:ascii="仿宋_GB2312" w:hAnsi="宋体" w:eastAsia="仿宋_GB2312" w:cs="仿宋_GB2312"/>
                <w:color w:val="000000"/>
                <w:kern w:val="0"/>
              </w:rPr>
              <w:t>　</w:t>
            </w:r>
          </w:p>
        </w:tc>
        <w:tc>
          <w:tcPr>
            <w:tcW w:w="892" w:type="dxa"/>
            <w:tcBorders>
              <w:top w:val="single" w:color="auto" w:sz="4" w:space="0"/>
              <w:left w:val="single" w:color="000000" w:sz="8" w:space="0"/>
              <w:bottom w:val="single" w:color="auto" w:sz="4"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宋体" w:eastAsia="仿宋_GB2312" w:cs="仿宋_GB2312"/>
                <w:color w:val="000000"/>
                <w:kern w:val="0"/>
              </w:rPr>
              <w:t>　</w:t>
            </w:r>
          </w:p>
        </w:tc>
        <w:tc>
          <w:tcPr>
            <w:tcW w:w="1073" w:type="dxa"/>
            <w:tcBorders>
              <w:top w:val="single" w:color="auto" w:sz="4" w:space="0"/>
              <w:left w:val="single" w:color="000000" w:sz="8" w:space="0"/>
              <w:bottom w:val="single" w:color="auto" w:sz="4"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宋体" w:eastAsia="仿宋_GB2312" w:cs="仿宋_GB2312"/>
                <w:color w:val="000000"/>
                <w:kern w:val="0"/>
              </w:rPr>
              <w:t>不得缺项</w:t>
            </w:r>
          </w:p>
        </w:tc>
      </w:tr>
      <w:tr>
        <w:tblPrEx>
          <w:tblCellMar>
            <w:top w:w="0" w:type="dxa"/>
            <w:left w:w="108" w:type="dxa"/>
            <w:bottom w:w="0" w:type="dxa"/>
            <w:right w:w="108" w:type="dxa"/>
          </w:tblCellMar>
        </w:tblPrEx>
        <w:trPr>
          <w:trHeight w:val="757" w:hRule="atLeast"/>
        </w:trPr>
        <w:tc>
          <w:tcPr>
            <w:tcW w:w="1422" w:type="dxa"/>
            <w:tcBorders>
              <w:top w:val="single" w:color="auto" w:sz="4" w:space="0"/>
              <w:left w:val="single" w:color="000000" w:sz="8" w:space="0"/>
              <w:bottom w:val="single" w:color="000000" w:sz="8" w:space="0"/>
              <w:right w:val="single" w:color="000000" w:sz="8" w:space="0"/>
            </w:tcBorders>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22.人员</w:t>
            </w:r>
          </w:p>
        </w:tc>
        <w:tc>
          <w:tcPr>
            <w:tcW w:w="7763" w:type="dxa"/>
            <w:tcBorders>
              <w:top w:val="single" w:color="auto" w:sz="4" w:space="0"/>
              <w:left w:val="single" w:color="000000" w:sz="8" w:space="0"/>
              <w:bottom w:val="single" w:color="000000" w:sz="8" w:space="0"/>
              <w:right w:val="single" w:color="000000" w:sz="8" w:space="0"/>
            </w:tcBorders>
            <w:vAlign w:val="center"/>
          </w:tcPr>
          <w:p>
            <w:pPr>
              <w:widowControl/>
              <w:textAlignment w:val="center"/>
              <w:rPr>
                <w:rFonts w:ascii="仿宋_GB2312" w:hAnsi="宋体" w:eastAsia="仿宋_GB2312" w:cs="仿宋_GB2312"/>
                <w:kern w:val="0"/>
                <w:szCs w:val="21"/>
                <w:lang w:bidi="ar"/>
              </w:rPr>
            </w:pPr>
            <w:r>
              <w:rPr>
                <w:rFonts w:hint="eastAsia" w:ascii="仿宋_GB2312" w:hAnsi="宋体" w:eastAsia="仿宋_GB2312" w:cs="仿宋_GB2312"/>
                <w:kern w:val="0"/>
                <w:szCs w:val="21"/>
                <w:lang w:val="zh-CN" w:bidi="ar"/>
              </w:rPr>
              <w:t>食品经营单位应当配备专职或兼职食品安全总监、食品安全员等食品安全管理人员</w:t>
            </w:r>
          </w:p>
        </w:tc>
        <w:tc>
          <w:tcPr>
            <w:tcW w:w="576" w:type="dxa"/>
            <w:tcBorders>
              <w:top w:val="single" w:color="auto" w:sz="4" w:space="0"/>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等线" w:eastAsia="仿宋_GB2312" w:cs="宋体"/>
                <w:color w:val="000000"/>
                <w:kern w:val="0"/>
              </w:rPr>
              <w:t>87</w:t>
            </w:r>
          </w:p>
        </w:tc>
        <w:tc>
          <w:tcPr>
            <w:tcW w:w="821" w:type="dxa"/>
            <w:tcBorders>
              <w:top w:val="single" w:color="auto" w:sz="4" w:space="0"/>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ascii="仿宋_GB2312" w:hAnsi="宋体" w:eastAsia="仿宋_GB2312" w:cs="仿宋_GB2312"/>
                <w:color w:val="000000"/>
                <w:kern w:val="0"/>
              </w:rPr>
              <w:t>**</w:t>
            </w:r>
          </w:p>
        </w:tc>
        <w:tc>
          <w:tcPr>
            <w:tcW w:w="733" w:type="dxa"/>
            <w:tcBorders>
              <w:top w:val="single" w:color="auto" w:sz="4" w:space="0"/>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sz w:val="22"/>
                <w:szCs w:val="22"/>
              </w:rPr>
            </w:pPr>
            <w:r>
              <w:rPr>
                <w:rFonts w:hint="eastAsia" w:ascii="仿宋_GB2312" w:hAnsi="宋体" w:eastAsia="仿宋_GB2312" w:cs="仿宋_GB2312"/>
                <w:color w:val="000000"/>
                <w:kern w:val="0"/>
              </w:rPr>
              <w:t>　</w:t>
            </w:r>
          </w:p>
        </w:tc>
        <w:tc>
          <w:tcPr>
            <w:tcW w:w="892" w:type="dxa"/>
            <w:tcBorders>
              <w:top w:val="single" w:color="auto" w:sz="4" w:space="0"/>
              <w:left w:val="single" w:color="000000" w:sz="8" w:space="0"/>
              <w:bottom w:val="single" w:color="000000" w:sz="8" w:space="0"/>
              <w:right w:val="single" w:color="000000"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宋体" w:eastAsia="仿宋_GB2312" w:cs="仿宋_GB2312"/>
                <w:color w:val="000000"/>
                <w:kern w:val="0"/>
              </w:rPr>
              <w:t>　</w:t>
            </w:r>
          </w:p>
        </w:tc>
        <w:tc>
          <w:tcPr>
            <w:tcW w:w="1073" w:type="dxa"/>
            <w:tcBorders>
              <w:top w:val="single" w:color="auto" w:sz="4" w:space="0"/>
              <w:left w:val="single" w:color="000000" w:sz="8" w:space="0"/>
              <w:bottom w:val="single" w:color="000000" w:sz="8" w:space="0"/>
              <w:right w:val="single" w:color="000000" w:sz="8" w:space="0"/>
            </w:tcBorders>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不得缺项</w:t>
            </w:r>
          </w:p>
        </w:tc>
      </w:tr>
    </w:tbl>
    <w:p>
      <w:pPr>
        <w:pStyle w:val="2"/>
        <w:ind w:firstLine="0" w:firstLineChars="0"/>
      </w:pPr>
    </w:p>
    <w:p>
      <w:pPr>
        <w:rPr>
          <w:rFonts w:ascii="仿宋_GB2312" w:hAnsi="宋体" w:eastAsia="仿宋_GB2312"/>
          <w:b/>
          <w:bCs/>
          <w:color w:val="000000"/>
          <w:kern w:val="0"/>
          <w:sz w:val="36"/>
          <w:szCs w:val="36"/>
        </w:rPr>
        <w:sectPr>
          <w:footerReference r:id="rId3" w:type="default"/>
          <w:pgSz w:w="16839" w:h="11907" w:orient="landscape"/>
          <w:pgMar w:top="1588" w:right="2098" w:bottom="1474" w:left="1985" w:header="720" w:footer="720" w:gutter="0"/>
          <w:cols w:space="720" w:num="1"/>
          <w:docGrid w:linePitch="286" w:charSpace="0"/>
        </w:sectPr>
      </w:pPr>
      <w:r>
        <w:rPr>
          <w:rFonts w:hint="eastAsia" w:ascii="仿宋_GB2312" w:eastAsia="仿宋_GB2312" w:cs="仿宋_GB2312"/>
        </w:rPr>
        <w:t>说明：本表共87项，其中重点项5</w:t>
      </w:r>
      <w:r>
        <w:rPr>
          <w:rFonts w:hint="eastAsia" w:ascii="仿宋_GB2312" w:eastAsia="仿宋_GB2312" w:cs="仿宋_GB2312"/>
          <w:lang w:val="en-US" w:eastAsia="zh-CN"/>
        </w:rPr>
        <w:t>3</w:t>
      </w:r>
      <w:r>
        <w:rPr>
          <w:rFonts w:hint="eastAsia" w:ascii="仿宋_GB2312" w:eastAsia="仿宋_GB2312" w:cs="仿宋_GB2312"/>
        </w:rPr>
        <w:t>项，一般项3</w:t>
      </w:r>
      <w:r>
        <w:rPr>
          <w:rFonts w:hint="eastAsia" w:ascii="仿宋_GB2312" w:eastAsia="仿宋_GB2312" w:cs="仿宋_GB2312"/>
          <w:lang w:val="en-US" w:eastAsia="zh-CN"/>
        </w:rPr>
        <w:t>2</w:t>
      </w:r>
      <w:bookmarkStart w:id="2" w:name="_GoBack"/>
      <w:bookmarkEnd w:id="2"/>
      <w:r>
        <w:rPr>
          <w:rFonts w:hint="eastAsia" w:ascii="仿宋_GB2312" w:eastAsia="仿宋_GB2312" w:cs="仿宋_GB2312"/>
        </w:rPr>
        <w:t>项；</w:t>
      </w:r>
      <w:r>
        <w:rPr>
          <w:rFonts w:ascii="仿宋_GB2312" w:eastAsia="仿宋_GB2312" w:cs="仿宋_GB2312"/>
        </w:rPr>
        <w:t>**</w:t>
      </w:r>
      <w:r>
        <w:rPr>
          <w:rFonts w:hint="eastAsia" w:ascii="仿宋_GB2312" w:eastAsia="仿宋_GB2312" w:cs="仿宋_GB2312"/>
        </w:rPr>
        <w:t>为重点项，</w:t>
      </w:r>
      <w:r>
        <w:rPr>
          <w:rFonts w:ascii="仿宋_GB2312" w:eastAsia="仿宋_GB2312" w:cs="仿宋_GB2312"/>
        </w:rPr>
        <w:t>*</w:t>
      </w:r>
      <w:r>
        <w:rPr>
          <w:rFonts w:hint="eastAsia" w:ascii="仿宋_GB2312" w:eastAsia="仿宋_GB2312" w:cs="仿宋_GB2312"/>
        </w:rPr>
        <w:t>为一般项。判定原则：</w:t>
      </w:r>
      <w:r>
        <w:rPr>
          <w:rFonts w:hint="eastAsia" w:ascii="仿宋_GB2312" w:eastAsia="仿宋_GB2312" w:cs="仿宋_GB2312"/>
          <w:color w:val="000000"/>
        </w:rPr>
        <w:t>重点项必须全部符合，一般项符合数</w:t>
      </w:r>
      <w:r>
        <w:rPr>
          <w:rFonts w:hint="eastAsia" w:ascii="仿宋" w:hAnsi="仿宋" w:eastAsia="仿宋" w:cs="仿宋"/>
          <w:color w:val="000000"/>
        </w:rPr>
        <w:t>≥</w:t>
      </w:r>
      <w:r>
        <w:rPr>
          <w:rFonts w:hint="eastAsia" w:ascii="仿宋_GB2312" w:eastAsia="仿宋_GB2312" w:cs="仿宋_GB2312"/>
          <w:color w:val="000000"/>
        </w:rPr>
        <w:t>所勾选一般项的70</w:t>
      </w:r>
      <w:r>
        <w:rPr>
          <w:rFonts w:ascii="仿宋_GB2312" w:eastAsia="仿宋_GB2312" w:cs="仿宋_GB2312"/>
          <w:color w:val="000000"/>
        </w:rPr>
        <w:t>%</w:t>
      </w:r>
      <w:r>
        <w:rPr>
          <w:rFonts w:hint="eastAsia" w:ascii="仿宋_GB2312" w:eastAsia="仿宋_GB2312" w:cs="仿宋_GB2312"/>
          <w:color w:val="000000"/>
        </w:rPr>
        <w:t>。</w:t>
      </w:r>
    </w:p>
    <w:p>
      <w:pPr>
        <w:spacing w:after="312" w:afterLines="100" w:line="360" w:lineRule="auto"/>
        <w:jc w:val="center"/>
        <w:rPr>
          <w:rFonts w:ascii="黑体" w:hAnsi="宋体" w:eastAsia="黑体" w:cs="宋体"/>
          <w:bCs/>
          <w:color w:val="000000"/>
          <w:kern w:val="0"/>
          <w:sz w:val="36"/>
          <w:szCs w:val="36"/>
        </w:rPr>
      </w:pPr>
      <w:r>
        <w:rPr>
          <w:rFonts w:hint="eastAsia" w:ascii="宋体" w:hAnsi="宋体" w:cs="仿宋_GB2312"/>
          <w:b/>
          <w:bCs/>
          <w:color w:val="000000"/>
          <w:kern w:val="0"/>
          <w:sz w:val="28"/>
          <w:szCs w:val="28"/>
        </w:rPr>
        <w:t xml:space="preserve">  </w:t>
      </w:r>
      <w:r>
        <w:rPr>
          <w:rFonts w:hint="eastAsia" w:ascii="黑体" w:hAnsi="宋体" w:eastAsia="黑体" w:cs="宋体"/>
          <w:bCs/>
          <w:color w:val="000000"/>
          <w:kern w:val="0"/>
          <w:sz w:val="36"/>
          <w:szCs w:val="36"/>
        </w:rPr>
        <w:t>食品经营许可（集体用餐配送）现场核查意见</w:t>
      </w:r>
    </w:p>
    <w:p>
      <w:pPr>
        <w:spacing w:line="280" w:lineRule="exact"/>
        <w:jc w:val="left"/>
        <w:rPr>
          <w:rFonts w:ascii="宋体" w:hAnsi="宋体" w:cs="仿宋_GB2312"/>
          <w:b/>
          <w:bCs/>
          <w:color w:val="000000"/>
          <w:kern w:val="0"/>
          <w:sz w:val="28"/>
          <w:szCs w:val="28"/>
        </w:rPr>
      </w:pPr>
      <w:r>
        <w:rPr>
          <w:rFonts w:hint="eastAsia" w:ascii="宋体" w:hAnsi="宋体" w:cs="仿宋_GB2312"/>
          <w:b/>
          <w:bCs/>
          <w:color w:val="000000"/>
          <w:kern w:val="0"/>
          <w:sz w:val="28"/>
          <w:szCs w:val="28"/>
        </w:rPr>
        <w:t xml:space="preserve">单位名称：  </w:t>
      </w:r>
    </w:p>
    <w:p>
      <w:pPr>
        <w:spacing w:line="280" w:lineRule="exact"/>
        <w:rPr>
          <w:rFonts w:ascii="仿宋_GB2312" w:hAnsi="宋体" w:eastAsia="仿宋_GB2312" w:cs="宋体"/>
          <w:kern w:val="0"/>
        </w:rPr>
      </w:pPr>
      <w:r>
        <w:rPr>
          <w:rFonts w:hint="eastAsia" w:ascii="宋体" w:hAnsi="宋体"/>
        </w:rPr>
        <w:t>经现场核查，该单位食品加工经营面积</w:t>
      </w:r>
      <w:r>
        <w:rPr>
          <w:rFonts w:ascii="宋体" w:hAnsi="宋体"/>
          <w:u w:val="single"/>
        </w:rPr>
        <w:t xml:space="preserve"> </w:t>
      </w:r>
      <w:r>
        <w:rPr>
          <w:rFonts w:hint="eastAsia" w:ascii="宋体" w:hAnsi="宋体"/>
          <w:u w:val="single"/>
        </w:rPr>
        <w:t xml:space="preserve">     </w:t>
      </w:r>
      <w:r>
        <w:rPr>
          <w:rFonts w:ascii="宋体" w:hAnsi="宋体"/>
          <w:lang w:val="en"/>
        </w:rPr>
        <w:t>m</w:t>
      </w:r>
      <w:r>
        <w:rPr>
          <w:rFonts w:hint="eastAsia" w:ascii="宋体" w:hAnsi="宋体"/>
          <w:vertAlign w:val="superscript"/>
        </w:rPr>
        <w:t>2</w:t>
      </w:r>
      <w:r>
        <w:rPr>
          <w:rFonts w:hint="eastAsia" w:ascii="宋体" w:hAnsi="宋体"/>
        </w:rPr>
        <w:t>，其中食品处理区</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lang w:val="en"/>
        </w:rPr>
        <w:t>m</w:t>
      </w:r>
      <w:r>
        <w:rPr>
          <w:rFonts w:hint="eastAsia" w:ascii="宋体" w:hAnsi="宋体"/>
          <w:vertAlign w:val="superscript"/>
        </w:rPr>
        <w:t>2</w:t>
      </w:r>
      <w:r>
        <w:rPr>
          <w:rFonts w:hint="eastAsia" w:ascii="宋体" w:hAnsi="宋体"/>
        </w:rPr>
        <w:t>、清洗消毒间</w:t>
      </w:r>
      <w:r>
        <w:rPr>
          <w:rFonts w:hint="eastAsia" w:ascii="宋体" w:hAnsi="宋体"/>
          <w:u w:val="single"/>
        </w:rPr>
        <w:t xml:space="preserve">    </w:t>
      </w:r>
      <w:r>
        <w:rPr>
          <w:rFonts w:hint="eastAsia" w:ascii="宋体" w:hAnsi="宋体"/>
        </w:rPr>
        <w:t xml:space="preserve"> </w:t>
      </w:r>
      <w:r>
        <w:rPr>
          <w:rFonts w:ascii="宋体" w:hAnsi="宋体"/>
          <w:lang w:val="en"/>
        </w:rPr>
        <w:t>m</w:t>
      </w:r>
      <w:r>
        <w:rPr>
          <w:rFonts w:hint="eastAsia" w:ascii="宋体" w:hAnsi="宋体"/>
          <w:vertAlign w:val="superscript"/>
        </w:rPr>
        <w:t>2</w:t>
      </w:r>
      <w:r>
        <w:rPr>
          <w:rFonts w:hint="eastAsia" w:ascii="宋体" w:hAnsi="宋体"/>
        </w:rPr>
        <w:t>、餐用具保洁间</w:t>
      </w:r>
      <w:r>
        <w:rPr>
          <w:rFonts w:hint="eastAsia" w:ascii="宋体" w:hAnsi="宋体"/>
          <w:u w:val="single"/>
        </w:rPr>
        <w:t xml:space="preserve">    </w:t>
      </w:r>
      <w:r>
        <w:rPr>
          <w:rFonts w:ascii="宋体" w:hAnsi="宋体"/>
          <w:lang w:val="en"/>
        </w:rPr>
        <w:t>m</w:t>
      </w:r>
      <w:r>
        <w:rPr>
          <w:rFonts w:hint="eastAsia" w:ascii="宋体" w:hAnsi="宋体"/>
          <w:vertAlign w:val="superscript"/>
        </w:rPr>
        <w:t>2</w:t>
      </w:r>
      <w:r>
        <w:rPr>
          <w:rFonts w:hint="eastAsia" w:ascii="宋体" w:hAnsi="宋体"/>
        </w:rPr>
        <w:t>、分餐专间</w:t>
      </w:r>
      <w:r>
        <w:rPr>
          <w:rFonts w:hint="eastAsia" w:ascii="宋体" w:hAnsi="宋体"/>
          <w:u w:val="single"/>
        </w:rPr>
        <w:t xml:space="preserve">     </w:t>
      </w:r>
      <w:r>
        <w:rPr>
          <w:rFonts w:ascii="宋体" w:hAnsi="宋体"/>
          <w:lang w:val="en"/>
        </w:rPr>
        <w:t>m</w:t>
      </w:r>
      <w:r>
        <w:rPr>
          <w:rFonts w:hint="eastAsia" w:ascii="宋体" w:hAnsi="宋体"/>
          <w:vertAlign w:val="superscript"/>
        </w:rPr>
        <w:t>2</w:t>
      </w:r>
      <w:r>
        <w:rPr>
          <w:rFonts w:hint="eastAsia" w:ascii="宋体" w:hAnsi="宋体"/>
        </w:rPr>
        <w:t>、外包装间</w:t>
      </w:r>
      <w:r>
        <w:rPr>
          <w:rFonts w:hint="eastAsia" w:ascii="宋体" w:hAnsi="宋体"/>
          <w:u w:val="single"/>
        </w:rPr>
        <w:t xml:space="preserve">    </w:t>
      </w:r>
      <w:r>
        <w:rPr>
          <w:rFonts w:hint="eastAsia" w:ascii="宋体" w:hAnsi="宋体"/>
        </w:rPr>
        <w:t xml:space="preserve"> </w:t>
      </w:r>
      <w:r>
        <w:rPr>
          <w:rFonts w:ascii="宋体" w:hAnsi="宋体"/>
          <w:lang w:val="en"/>
        </w:rPr>
        <w:t>m</w:t>
      </w:r>
      <w:r>
        <w:rPr>
          <w:rFonts w:hint="eastAsia" w:ascii="宋体" w:hAnsi="宋体"/>
          <w:vertAlign w:val="superscript"/>
        </w:rPr>
        <w:t>2</w:t>
      </w:r>
      <w:r>
        <w:rPr>
          <w:rFonts w:hint="eastAsia" w:ascii="宋体" w:hAnsi="宋体"/>
        </w:rPr>
        <w:t>。</w:t>
      </w:r>
      <w:r>
        <w:rPr>
          <w:rFonts w:hint="eastAsia" w:ascii="仿宋_GB2312" w:hAnsi="宋体" w:eastAsia="仿宋_GB2312" w:cs="宋体"/>
          <w:kern w:val="0"/>
        </w:rPr>
        <w:t xml:space="preserve"> </w:t>
      </w:r>
    </w:p>
    <w:p>
      <w:pPr>
        <w:spacing w:line="280" w:lineRule="exact"/>
        <w:rPr>
          <w:rFonts w:ascii="宋体" w:hAnsi="宋体"/>
        </w:rPr>
      </w:pPr>
      <w:r>
        <w:rPr>
          <w:rFonts w:hint="eastAsia" w:ascii="宋体" w:hAnsi="宋体"/>
        </w:rPr>
        <w:t>现场情况核查结果如下：</w:t>
      </w:r>
    </w:p>
    <w:tbl>
      <w:tblPr>
        <w:tblStyle w:val="6"/>
        <w:tblpPr w:leftFromText="180" w:rightFromText="180" w:vertAnchor="text" w:horzAnchor="margin" w:tblpY="81"/>
        <w:tblW w:w="62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993"/>
        <w:gridCol w:w="850"/>
        <w:gridCol w:w="1134"/>
        <w:gridCol w:w="133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72" w:type="dxa"/>
            <w:vMerge w:val="restart"/>
            <w:vAlign w:val="center"/>
          </w:tcPr>
          <w:p>
            <w:pPr>
              <w:spacing w:line="280" w:lineRule="exact"/>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核查类别</w:t>
            </w:r>
          </w:p>
        </w:tc>
        <w:tc>
          <w:tcPr>
            <w:tcW w:w="4314" w:type="dxa"/>
            <w:gridSpan w:val="4"/>
            <w:vAlign w:val="center"/>
          </w:tcPr>
          <w:p>
            <w:pPr>
              <w:spacing w:line="280" w:lineRule="exact"/>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不符合项数</w:t>
            </w:r>
          </w:p>
        </w:tc>
        <w:tc>
          <w:tcPr>
            <w:tcW w:w="851" w:type="dxa"/>
            <w:vMerge w:val="restart"/>
            <w:vAlign w:val="center"/>
          </w:tcPr>
          <w:p>
            <w:pPr>
              <w:spacing w:line="280" w:lineRule="exact"/>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072" w:type="dxa"/>
            <w:vMerge w:val="continue"/>
            <w:vAlign w:val="center"/>
          </w:tcPr>
          <w:p>
            <w:pPr>
              <w:spacing w:line="280" w:lineRule="exact"/>
              <w:jc w:val="center"/>
              <w:rPr>
                <w:rFonts w:ascii="仿宋_GB2312" w:hAnsi="宋体" w:eastAsia="仿宋_GB2312" w:cs="宋体"/>
                <w:color w:val="000000"/>
                <w:kern w:val="0"/>
                <w:sz w:val="24"/>
                <w:szCs w:val="24"/>
              </w:rPr>
            </w:pPr>
          </w:p>
        </w:tc>
        <w:tc>
          <w:tcPr>
            <w:tcW w:w="993" w:type="dxa"/>
            <w:vMerge w:val="restart"/>
            <w:vAlign w:val="center"/>
          </w:tcPr>
          <w:p>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重点项</w:t>
            </w:r>
          </w:p>
        </w:tc>
        <w:tc>
          <w:tcPr>
            <w:tcW w:w="3321" w:type="dxa"/>
            <w:gridSpan w:val="3"/>
            <w:vAlign w:val="center"/>
          </w:tcPr>
          <w:p>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一般项</w:t>
            </w:r>
          </w:p>
        </w:tc>
        <w:tc>
          <w:tcPr>
            <w:tcW w:w="851" w:type="dxa"/>
            <w:vMerge w:val="continue"/>
          </w:tcPr>
          <w:p>
            <w:pPr>
              <w:spacing w:line="280" w:lineRule="exact"/>
              <w:jc w:val="center"/>
              <w:rPr>
                <w:rFonts w:ascii="仿宋_GB2312" w:hAnsi="宋体" w:eastAsia="仿宋_GB2312"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072" w:type="dxa"/>
            <w:vMerge w:val="continue"/>
            <w:vAlign w:val="center"/>
          </w:tcPr>
          <w:p>
            <w:pPr>
              <w:spacing w:line="280" w:lineRule="exact"/>
              <w:jc w:val="center"/>
              <w:rPr>
                <w:rFonts w:ascii="仿宋_GB2312" w:hAnsi="宋体" w:eastAsia="仿宋_GB2312" w:cs="宋体"/>
                <w:color w:val="000000"/>
                <w:kern w:val="0"/>
                <w:sz w:val="18"/>
                <w:szCs w:val="18"/>
              </w:rPr>
            </w:pPr>
          </w:p>
        </w:tc>
        <w:tc>
          <w:tcPr>
            <w:tcW w:w="993" w:type="dxa"/>
            <w:vMerge w:val="continue"/>
          </w:tcPr>
          <w:p>
            <w:pPr>
              <w:spacing w:line="280" w:lineRule="exact"/>
              <w:jc w:val="center"/>
              <w:rPr>
                <w:rFonts w:ascii="仿宋_GB2312" w:hAnsi="宋体" w:eastAsia="仿宋_GB2312" w:cs="宋体"/>
                <w:color w:val="000000"/>
                <w:kern w:val="0"/>
                <w:sz w:val="18"/>
                <w:szCs w:val="18"/>
              </w:rPr>
            </w:pPr>
          </w:p>
        </w:tc>
        <w:tc>
          <w:tcPr>
            <w:tcW w:w="850" w:type="dxa"/>
          </w:tcPr>
          <w:p>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勾选项 </w:t>
            </w:r>
          </w:p>
        </w:tc>
        <w:tc>
          <w:tcPr>
            <w:tcW w:w="1134" w:type="dxa"/>
          </w:tcPr>
          <w:p>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符合项</w:t>
            </w:r>
          </w:p>
        </w:tc>
        <w:tc>
          <w:tcPr>
            <w:tcW w:w="1337" w:type="dxa"/>
          </w:tcPr>
          <w:p>
            <w:pPr>
              <w:spacing w:line="28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符合项/勾选项（%） </w:t>
            </w:r>
          </w:p>
        </w:tc>
        <w:tc>
          <w:tcPr>
            <w:tcW w:w="851" w:type="dxa"/>
            <w:vMerge w:val="restart"/>
          </w:tcPr>
          <w:p>
            <w:pPr>
              <w:spacing w:line="280" w:lineRule="exact"/>
              <w:jc w:val="center"/>
              <w:rPr>
                <w:rFonts w:ascii="仿宋_GB2312" w:hAnsi="宋体" w:eastAsia="仿宋_GB2312"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72" w:type="dxa"/>
            <w:vAlign w:val="center"/>
          </w:tcPr>
          <w:p>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一般要求</w:t>
            </w:r>
          </w:p>
        </w:tc>
        <w:tc>
          <w:tcPr>
            <w:tcW w:w="993" w:type="dxa"/>
          </w:tcPr>
          <w:p>
            <w:pPr>
              <w:spacing w:line="280" w:lineRule="exact"/>
              <w:jc w:val="center"/>
              <w:rPr>
                <w:rFonts w:ascii="仿宋_GB2312" w:hAnsi="宋体" w:eastAsia="仿宋_GB2312" w:cs="宋体"/>
                <w:color w:val="000000"/>
                <w:kern w:val="0"/>
                <w:sz w:val="18"/>
                <w:szCs w:val="18"/>
              </w:rPr>
            </w:pPr>
          </w:p>
        </w:tc>
        <w:tc>
          <w:tcPr>
            <w:tcW w:w="850" w:type="dxa"/>
          </w:tcPr>
          <w:p>
            <w:pPr>
              <w:spacing w:line="280" w:lineRule="exact"/>
              <w:jc w:val="center"/>
              <w:rPr>
                <w:rFonts w:ascii="仿宋_GB2312" w:hAnsi="宋体" w:eastAsia="仿宋_GB2312" w:cs="宋体"/>
                <w:color w:val="000000"/>
                <w:kern w:val="0"/>
                <w:sz w:val="18"/>
                <w:szCs w:val="18"/>
              </w:rPr>
            </w:pPr>
          </w:p>
        </w:tc>
        <w:tc>
          <w:tcPr>
            <w:tcW w:w="1134" w:type="dxa"/>
          </w:tcPr>
          <w:p>
            <w:pPr>
              <w:spacing w:line="280" w:lineRule="exact"/>
              <w:jc w:val="center"/>
              <w:rPr>
                <w:rFonts w:ascii="仿宋_GB2312" w:hAnsi="宋体" w:eastAsia="仿宋_GB2312" w:cs="宋体"/>
                <w:color w:val="000000"/>
                <w:kern w:val="0"/>
                <w:sz w:val="18"/>
                <w:szCs w:val="18"/>
              </w:rPr>
            </w:pPr>
          </w:p>
        </w:tc>
        <w:tc>
          <w:tcPr>
            <w:tcW w:w="1337" w:type="dxa"/>
          </w:tcPr>
          <w:p>
            <w:pPr>
              <w:spacing w:line="280" w:lineRule="exact"/>
              <w:rPr>
                <w:rFonts w:ascii="仿宋_GB2312" w:hAnsi="宋体" w:eastAsia="仿宋_GB2312" w:cs="宋体"/>
                <w:color w:val="000000"/>
                <w:kern w:val="0"/>
                <w:sz w:val="18"/>
                <w:szCs w:val="18"/>
              </w:rPr>
            </w:pPr>
          </w:p>
        </w:tc>
        <w:tc>
          <w:tcPr>
            <w:tcW w:w="851" w:type="dxa"/>
            <w:vMerge w:val="continue"/>
          </w:tcPr>
          <w:p>
            <w:pPr>
              <w:spacing w:line="280" w:lineRule="exact"/>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072" w:type="dxa"/>
            <w:vAlign w:val="center"/>
          </w:tcPr>
          <w:p>
            <w:pPr>
              <w:spacing w:line="28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分餐专间</w:t>
            </w:r>
          </w:p>
        </w:tc>
        <w:tc>
          <w:tcPr>
            <w:tcW w:w="993" w:type="dxa"/>
          </w:tcPr>
          <w:p>
            <w:pPr>
              <w:spacing w:line="280" w:lineRule="exact"/>
              <w:jc w:val="center"/>
              <w:rPr>
                <w:rFonts w:ascii="仿宋_GB2312" w:hAnsi="宋体" w:eastAsia="仿宋_GB2312" w:cs="宋体"/>
                <w:color w:val="000000"/>
                <w:kern w:val="0"/>
                <w:sz w:val="18"/>
                <w:szCs w:val="18"/>
              </w:rPr>
            </w:pPr>
          </w:p>
        </w:tc>
        <w:tc>
          <w:tcPr>
            <w:tcW w:w="3321" w:type="dxa"/>
            <w:gridSpan w:val="3"/>
          </w:tcPr>
          <w:p>
            <w:pPr>
              <w:spacing w:line="280" w:lineRule="exact"/>
              <w:jc w:val="center"/>
              <w:rPr>
                <w:rFonts w:ascii="仿宋_GB2312" w:hAnsi="宋体" w:eastAsia="仿宋_GB2312" w:cs="宋体"/>
                <w:color w:val="000000"/>
                <w:kern w:val="0"/>
                <w:sz w:val="18"/>
                <w:szCs w:val="18"/>
              </w:rPr>
            </w:pPr>
          </w:p>
        </w:tc>
        <w:tc>
          <w:tcPr>
            <w:tcW w:w="851" w:type="dxa"/>
          </w:tcPr>
          <w:p>
            <w:pPr>
              <w:spacing w:line="280" w:lineRule="exact"/>
              <w:jc w:val="center"/>
              <w:rPr>
                <w:rFonts w:ascii="仿宋_GB2312" w:hAnsi="宋体" w:eastAsia="仿宋_GB2312" w:cs="宋体"/>
                <w:color w:val="000000"/>
                <w:kern w:val="0"/>
              </w:rPr>
            </w:pPr>
          </w:p>
        </w:tc>
      </w:tr>
    </w:tbl>
    <w:p>
      <w:pPr>
        <w:pStyle w:val="2"/>
        <w:ind w:firstLine="0" w:firstLineChars="0"/>
        <w:rPr>
          <w:rFonts w:asciiTheme="minorEastAsia" w:hAnsiTheme="minorEastAsia" w:eastAsiaTheme="minorEastAsia"/>
          <w:sz w:val="21"/>
          <w:szCs w:val="21"/>
        </w:rPr>
      </w:pPr>
    </w:p>
    <w:p>
      <w:pPr>
        <w:pStyle w:val="2"/>
        <w:ind w:firstLine="0" w:firstLineChars="0"/>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普通餐饮和集中用餐单位食堂堂食的专间和专用场所:</w:t>
      </w:r>
    </w:p>
    <w:tbl>
      <w:tblPr>
        <w:tblStyle w:val="6"/>
        <w:tblW w:w="466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6"/>
        <w:gridCol w:w="2928"/>
        <w:gridCol w:w="790"/>
        <w:gridCol w:w="930"/>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2776" w:type="pct"/>
            <w:gridSpan w:val="2"/>
            <w:vMerge w:val="restart"/>
            <w:vAlign w:val="center"/>
          </w:tcPr>
          <w:p>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核查类别</w:t>
            </w:r>
          </w:p>
        </w:tc>
        <w:tc>
          <w:tcPr>
            <w:tcW w:w="1451" w:type="pct"/>
            <w:gridSpan w:val="2"/>
            <w:vAlign w:val="center"/>
          </w:tcPr>
          <w:p>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不符合项数</w:t>
            </w:r>
          </w:p>
        </w:tc>
        <w:tc>
          <w:tcPr>
            <w:tcW w:w="773" w:type="pct"/>
            <w:vMerge w:val="restart"/>
            <w:vAlign w:val="center"/>
          </w:tcPr>
          <w:p>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是否</w:t>
            </w:r>
          </w:p>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2776" w:type="pct"/>
            <w:gridSpan w:val="2"/>
            <w:vMerge w:val="continue"/>
            <w:vAlign w:val="center"/>
          </w:tcPr>
          <w:p>
            <w:pPr>
              <w:adjustRightInd w:val="0"/>
              <w:snapToGrid w:val="0"/>
              <w:jc w:val="center"/>
              <w:rPr>
                <w:rFonts w:ascii="仿宋_GB2312" w:hAnsi="宋体" w:eastAsia="仿宋_GB2312" w:cs="宋体"/>
                <w:color w:val="000000"/>
                <w:kern w:val="0"/>
                <w:sz w:val="18"/>
                <w:szCs w:val="18"/>
              </w:rPr>
            </w:pPr>
          </w:p>
        </w:tc>
        <w:tc>
          <w:tcPr>
            <w:tcW w:w="667"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重点项</w:t>
            </w:r>
          </w:p>
        </w:tc>
        <w:tc>
          <w:tcPr>
            <w:tcW w:w="784"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一般项</w:t>
            </w:r>
          </w:p>
        </w:tc>
        <w:tc>
          <w:tcPr>
            <w:tcW w:w="773" w:type="pct"/>
            <w:vMerge w:val="continue"/>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315"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专间</w:t>
            </w:r>
          </w:p>
          <w:p>
            <w:pPr>
              <w:adjustRightInd w:val="0"/>
              <w:snapToGrid w:val="0"/>
              <w:jc w:val="center"/>
              <w:rPr>
                <w:rFonts w:ascii="仿宋_GB2312" w:hAnsi="宋体" w:eastAsia="仿宋_GB2312" w:cs="宋体"/>
                <w:color w:val="000000"/>
                <w:kern w:val="0"/>
                <w:sz w:val="18"/>
                <w:szCs w:val="18"/>
              </w:rPr>
            </w:pPr>
          </w:p>
        </w:tc>
        <w:tc>
          <w:tcPr>
            <w:tcW w:w="2461"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冷荤专间</w:t>
            </w:r>
          </w:p>
        </w:tc>
        <w:tc>
          <w:tcPr>
            <w:tcW w:w="667" w:type="pct"/>
          </w:tcPr>
          <w:p>
            <w:pPr>
              <w:adjustRightInd w:val="0"/>
              <w:snapToGrid w:val="0"/>
              <w:jc w:val="center"/>
              <w:rPr>
                <w:rFonts w:ascii="仿宋_GB2312" w:hAnsi="宋体" w:eastAsia="仿宋_GB2312" w:cs="宋体"/>
                <w:color w:val="000000"/>
                <w:kern w:val="0"/>
                <w:sz w:val="18"/>
                <w:szCs w:val="18"/>
              </w:rPr>
            </w:pPr>
          </w:p>
        </w:tc>
        <w:tc>
          <w:tcPr>
            <w:tcW w:w="784" w:type="pct"/>
          </w:tcPr>
          <w:p>
            <w:pPr>
              <w:adjustRightInd w:val="0"/>
              <w:snapToGrid w:val="0"/>
              <w:jc w:val="center"/>
              <w:rPr>
                <w:rFonts w:ascii="仿宋_GB2312" w:hAnsi="宋体" w:eastAsia="仿宋_GB2312" w:cs="宋体"/>
                <w:color w:val="000000"/>
                <w:kern w:val="0"/>
                <w:sz w:val="18"/>
                <w:szCs w:val="18"/>
              </w:rPr>
            </w:pPr>
          </w:p>
        </w:tc>
        <w:tc>
          <w:tcPr>
            <w:tcW w:w="773"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315"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2461"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冷加工糕点间</w:t>
            </w:r>
          </w:p>
        </w:tc>
        <w:tc>
          <w:tcPr>
            <w:tcW w:w="667" w:type="pct"/>
          </w:tcPr>
          <w:p>
            <w:pPr>
              <w:adjustRightInd w:val="0"/>
              <w:snapToGrid w:val="0"/>
              <w:jc w:val="center"/>
              <w:rPr>
                <w:rFonts w:ascii="仿宋_GB2312" w:hAnsi="宋体" w:eastAsia="仿宋_GB2312" w:cs="宋体"/>
                <w:color w:val="000000"/>
                <w:kern w:val="0"/>
                <w:sz w:val="18"/>
                <w:szCs w:val="18"/>
              </w:rPr>
            </w:pPr>
          </w:p>
        </w:tc>
        <w:tc>
          <w:tcPr>
            <w:tcW w:w="784" w:type="pct"/>
          </w:tcPr>
          <w:p>
            <w:pPr>
              <w:adjustRightInd w:val="0"/>
              <w:snapToGrid w:val="0"/>
              <w:jc w:val="center"/>
              <w:rPr>
                <w:rFonts w:ascii="仿宋_GB2312" w:hAnsi="宋体" w:eastAsia="仿宋_GB2312" w:cs="宋体"/>
                <w:color w:val="000000"/>
                <w:kern w:val="0"/>
                <w:sz w:val="18"/>
                <w:szCs w:val="18"/>
              </w:rPr>
            </w:pPr>
          </w:p>
        </w:tc>
        <w:tc>
          <w:tcPr>
            <w:tcW w:w="773"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315"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2461"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生食专间</w:t>
            </w:r>
          </w:p>
        </w:tc>
        <w:tc>
          <w:tcPr>
            <w:tcW w:w="667" w:type="pct"/>
          </w:tcPr>
          <w:p>
            <w:pPr>
              <w:adjustRightInd w:val="0"/>
              <w:snapToGrid w:val="0"/>
              <w:jc w:val="center"/>
              <w:rPr>
                <w:rFonts w:ascii="仿宋_GB2312" w:hAnsi="宋体" w:eastAsia="仿宋_GB2312" w:cs="宋体"/>
                <w:color w:val="000000"/>
                <w:kern w:val="0"/>
                <w:sz w:val="18"/>
                <w:szCs w:val="18"/>
              </w:rPr>
            </w:pPr>
          </w:p>
        </w:tc>
        <w:tc>
          <w:tcPr>
            <w:tcW w:w="784" w:type="pct"/>
          </w:tcPr>
          <w:p>
            <w:pPr>
              <w:adjustRightInd w:val="0"/>
              <w:snapToGrid w:val="0"/>
              <w:jc w:val="center"/>
              <w:rPr>
                <w:rFonts w:ascii="仿宋_GB2312" w:hAnsi="宋体" w:eastAsia="仿宋_GB2312" w:cs="宋体"/>
                <w:color w:val="000000"/>
                <w:kern w:val="0"/>
                <w:sz w:val="18"/>
                <w:szCs w:val="18"/>
              </w:rPr>
            </w:pPr>
          </w:p>
        </w:tc>
        <w:tc>
          <w:tcPr>
            <w:tcW w:w="773"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315"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2461"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分餐间</w:t>
            </w:r>
          </w:p>
        </w:tc>
        <w:tc>
          <w:tcPr>
            <w:tcW w:w="667" w:type="pct"/>
          </w:tcPr>
          <w:p>
            <w:pPr>
              <w:adjustRightInd w:val="0"/>
              <w:snapToGrid w:val="0"/>
              <w:jc w:val="center"/>
              <w:rPr>
                <w:rFonts w:ascii="仿宋_GB2312" w:hAnsi="宋体" w:eastAsia="仿宋_GB2312" w:cs="宋体"/>
                <w:color w:val="000000"/>
                <w:kern w:val="0"/>
                <w:sz w:val="18"/>
                <w:szCs w:val="18"/>
              </w:rPr>
            </w:pPr>
          </w:p>
        </w:tc>
        <w:tc>
          <w:tcPr>
            <w:tcW w:w="784" w:type="pct"/>
          </w:tcPr>
          <w:p>
            <w:pPr>
              <w:adjustRightInd w:val="0"/>
              <w:snapToGrid w:val="0"/>
              <w:jc w:val="center"/>
              <w:rPr>
                <w:rFonts w:ascii="仿宋_GB2312" w:hAnsi="宋体" w:eastAsia="仿宋_GB2312" w:cs="宋体"/>
                <w:color w:val="000000"/>
                <w:kern w:val="0"/>
                <w:sz w:val="18"/>
                <w:szCs w:val="18"/>
              </w:rPr>
            </w:pPr>
          </w:p>
        </w:tc>
        <w:tc>
          <w:tcPr>
            <w:tcW w:w="773"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5"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专用操作场所</w:t>
            </w:r>
          </w:p>
        </w:tc>
        <w:tc>
          <w:tcPr>
            <w:tcW w:w="2461"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val="zh-CN"/>
              </w:rPr>
              <w:t>冷食（</w:t>
            </w:r>
            <w:r>
              <w:rPr>
                <w:rFonts w:ascii="仿宋_GB2312" w:hAnsi="宋体" w:eastAsia="仿宋_GB2312" w:cs="宋体"/>
                <w:kern w:val="0"/>
                <w:sz w:val="18"/>
                <w:szCs w:val="18"/>
                <w:lang w:val="zh-CN"/>
              </w:rPr>
              <w:t>不含冷荤</w:t>
            </w:r>
            <w:r>
              <w:rPr>
                <w:rFonts w:hint="eastAsia" w:ascii="仿宋_GB2312" w:hAnsi="宋体" w:eastAsia="仿宋_GB2312" w:cs="宋体"/>
                <w:kern w:val="0"/>
                <w:sz w:val="18"/>
                <w:szCs w:val="18"/>
                <w:lang w:val="zh-CN"/>
              </w:rPr>
              <w:t>、不含冷加工糕点）</w:t>
            </w:r>
          </w:p>
        </w:tc>
        <w:tc>
          <w:tcPr>
            <w:tcW w:w="667" w:type="pct"/>
          </w:tcPr>
          <w:p>
            <w:pPr>
              <w:adjustRightInd w:val="0"/>
              <w:snapToGrid w:val="0"/>
              <w:jc w:val="center"/>
              <w:rPr>
                <w:rFonts w:ascii="仿宋_GB2312" w:hAnsi="宋体" w:eastAsia="仿宋_GB2312" w:cs="宋体"/>
                <w:color w:val="000000"/>
                <w:kern w:val="0"/>
                <w:sz w:val="18"/>
                <w:szCs w:val="18"/>
              </w:rPr>
            </w:pPr>
          </w:p>
        </w:tc>
        <w:tc>
          <w:tcPr>
            <w:tcW w:w="784" w:type="pct"/>
          </w:tcPr>
          <w:p>
            <w:pPr>
              <w:adjustRightInd w:val="0"/>
              <w:snapToGrid w:val="0"/>
              <w:jc w:val="center"/>
              <w:rPr>
                <w:rFonts w:ascii="仿宋_GB2312" w:hAnsi="宋体" w:eastAsia="仿宋_GB2312" w:cs="宋体"/>
                <w:color w:val="000000"/>
                <w:kern w:val="0"/>
                <w:sz w:val="18"/>
                <w:szCs w:val="18"/>
              </w:rPr>
            </w:pPr>
          </w:p>
        </w:tc>
        <w:tc>
          <w:tcPr>
            <w:tcW w:w="773"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315"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2461" w:type="pct"/>
            <w:vAlign w:val="center"/>
          </w:tcPr>
          <w:p>
            <w:pPr>
              <w:adjustRightInd w:val="0"/>
              <w:snapToGrid w:val="0"/>
              <w:jc w:val="center"/>
              <w:rPr>
                <w:rFonts w:ascii="仿宋_GB2312" w:hAnsi="宋体" w:eastAsia="仿宋_GB2312" w:cs="宋体"/>
                <w:kern w:val="0"/>
                <w:sz w:val="18"/>
                <w:szCs w:val="18"/>
                <w:lang w:val="zh-CN"/>
              </w:rPr>
            </w:pPr>
            <w:r>
              <w:rPr>
                <w:rFonts w:hint="eastAsia" w:ascii="仿宋_GB2312" w:hAnsi="宋体" w:eastAsia="仿宋_GB2312" w:cs="宋体"/>
                <w:kern w:val="0"/>
                <w:sz w:val="18"/>
                <w:szCs w:val="18"/>
                <w:lang w:val="zh-CN"/>
              </w:rPr>
              <w:t>冷食类食品</w:t>
            </w:r>
            <w:r>
              <w:rPr>
                <w:rFonts w:ascii="仿宋_GB2312" w:hAnsi="宋体" w:eastAsia="仿宋_GB2312" w:cs="宋体"/>
                <w:kern w:val="0"/>
                <w:sz w:val="18"/>
                <w:szCs w:val="18"/>
                <w:lang w:val="zh-CN"/>
              </w:rPr>
              <w:t>简单制售</w:t>
            </w:r>
          </w:p>
        </w:tc>
        <w:tc>
          <w:tcPr>
            <w:tcW w:w="667" w:type="pct"/>
          </w:tcPr>
          <w:p>
            <w:pPr>
              <w:adjustRightInd w:val="0"/>
              <w:snapToGrid w:val="0"/>
              <w:jc w:val="center"/>
              <w:rPr>
                <w:rFonts w:ascii="仿宋_GB2312" w:hAnsi="宋体" w:eastAsia="仿宋_GB2312" w:cs="宋体"/>
                <w:color w:val="000000"/>
                <w:kern w:val="0"/>
                <w:sz w:val="18"/>
                <w:szCs w:val="18"/>
              </w:rPr>
            </w:pPr>
          </w:p>
        </w:tc>
        <w:tc>
          <w:tcPr>
            <w:tcW w:w="784" w:type="pct"/>
          </w:tcPr>
          <w:p>
            <w:pPr>
              <w:adjustRightInd w:val="0"/>
              <w:snapToGrid w:val="0"/>
              <w:jc w:val="center"/>
              <w:rPr>
                <w:rFonts w:ascii="仿宋_GB2312" w:hAnsi="宋体" w:eastAsia="仿宋_GB2312" w:cs="宋体"/>
                <w:color w:val="000000"/>
                <w:kern w:val="0"/>
                <w:sz w:val="18"/>
                <w:szCs w:val="18"/>
              </w:rPr>
            </w:pPr>
          </w:p>
        </w:tc>
        <w:tc>
          <w:tcPr>
            <w:tcW w:w="773"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315"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2461"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自制饮品</w:t>
            </w:r>
          </w:p>
        </w:tc>
        <w:tc>
          <w:tcPr>
            <w:tcW w:w="667" w:type="pct"/>
          </w:tcPr>
          <w:p>
            <w:pPr>
              <w:adjustRightInd w:val="0"/>
              <w:snapToGrid w:val="0"/>
              <w:jc w:val="center"/>
              <w:rPr>
                <w:rFonts w:ascii="仿宋_GB2312" w:hAnsi="宋体" w:eastAsia="仿宋_GB2312" w:cs="宋体"/>
                <w:color w:val="000000"/>
                <w:kern w:val="0"/>
                <w:sz w:val="18"/>
                <w:szCs w:val="18"/>
              </w:rPr>
            </w:pPr>
          </w:p>
        </w:tc>
        <w:tc>
          <w:tcPr>
            <w:tcW w:w="784" w:type="pct"/>
          </w:tcPr>
          <w:p>
            <w:pPr>
              <w:adjustRightInd w:val="0"/>
              <w:snapToGrid w:val="0"/>
              <w:jc w:val="center"/>
              <w:rPr>
                <w:rFonts w:ascii="仿宋_GB2312" w:hAnsi="宋体" w:eastAsia="仿宋_GB2312" w:cs="宋体"/>
                <w:color w:val="000000"/>
                <w:kern w:val="0"/>
                <w:sz w:val="18"/>
                <w:szCs w:val="18"/>
              </w:rPr>
            </w:pPr>
          </w:p>
        </w:tc>
        <w:tc>
          <w:tcPr>
            <w:tcW w:w="773"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315"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2461"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集中备餐、售饭</w:t>
            </w:r>
          </w:p>
        </w:tc>
        <w:tc>
          <w:tcPr>
            <w:tcW w:w="667" w:type="pct"/>
          </w:tcPr>
          <w:p>
            <w:pPr>
              <w:adjustRightInd w:val="0"/>
              <w:snapToGrid w:val="0"/>
              <w:jc w:val="center"/>
              <w:rPr>
                <w:rFonts w:ascii="仿宋_GB2312" w:hAnsi="宋体" w:eastAsia="仿宋_GB2312" w:cs="宋体"/>
                <w:color w:val="000000"/>
                <w:kern w:val="0"/>
                <w:sz w:val="18"/>
                <w:szCs w:val="18"/>
              </w:rPr>
            </w:pPr>
          </w:p>
        </w:tc>
        <w:tc>
          <w:tcPr>
            <w:tcW w:w="784" w:type="pct"/>
          </w:tcPr>
          <w:p>
            <w:pPr>
              <w:adjustRightInd w:val="0"/>
              <w:snapToGrid w:val="0"/>
              <w:jc w:val="center"/>
              <w:rPr>
                <w:rFonts w:ascii="仿宋_GB2312" w:hAnsi="宋体" w:eastAsia="仿宋_GB2312" w:cs="宋体"/>
                <w:color w:val="000000"/>
                <w:kern w:val="0"/>
                <w:sz w:val="18"/>
                <w:szCs w:val="18"/>
              </w:rPr>
            </w:pPr>
          </w:p>
        </w:tc>
        <w:tc>
          <w:tcPr>
            <w:tcW w:w="773" w:type="pct"/>
          </w:tcPr>
          <w:p>
            <w:pPr>
              <w:adjustRightInd w:val="0"/>
              <w:snapToGrid w:val="0"/>
              <w:jc w:val="center"/>
              <w:rPr>
                <w:rFonts w:ascii="仿宋_GB2312" w:hAnsi="宋体" w:eastAsia="仿宋_GB2312" w:cs="宋体"/>
                <w:color w:val="000000"/>
                <w:kern w:val="0"/>
                <w:sz w:val="18"/>
                <w:szCs w:val="18"/>
              </w:rPr>
            </w:pPr>
          </w:p>
        </w:tc>
      </w:tr>
    </w:tbl>
    <w:p>
      <w:pPr>
        <w:tabs>
          <w:tab w:val="center" w:pos="7371"/>
          <w:tab w:val="left" w:pos="11825"/>
        </w:tabs>
        <w:spacing w:line="280" w:lineRule="exact"/>
        <w:jc w:val="left"/>
        <w:rPr>
          <w:rFonts w:ascii="宋体" w:hAnsi="宋体"/>
        </w:rPr>
      </w:pPr>
      <w:r>
        <w:rPr>
          <w:rFonts w:hint="eastAsia" w:ascii="宋体" w:hAnsi="宋体"/>
        </w:rPr>
        <w:t>现场核查结论：该单位现场设备、设施符合以下主体业态和经营项目的基本食品安全要求：</w:t>
      </w:r>
    </w:p>
    <w:p>
      <w:pPr>
        <w:spacing w:line="280" w:lineRule="exact"/>
        <w:jc w:val="left"/>
        <w:rPr>
          <w:rFonts w:ascii="宋体" w:hAnsi="宋体"/>
        </w:rPr>
      </w:pPr>
      <w:r>
        <w:rPr>
          <w:rFonts w:hint="eastAsia" w:ascii="宋体" w:hAnsi="宋体"/>
        </w:rPr>
        <w:t>1. 主体业态：</w:t>
      </w:r>
    </w:p>
    <w:p>
      <w:pPr>
        <w:spacing w:line="280" w:lineRule="exact"/>
        <w:rPr>
          <w:rFonts w:ascii="宋体" w:hAnsi="宋体"/>
        </w:rPr>
      </w:pPr>
      <w:r>
        <w:rPr>
          <w:rFonts w:hint="eastAsia" w:ascii="宋体" w:hAnsi="宋体"/>
        </w:rPr>
        <w:t xml:space="preserve">   □餐饮服务经营者：</w:t>
      </w:r>
    </w:p>
    <w:p>
      <w:pPr>
        <w:spacing w:line="280" w:lineRule="exact"/>
        <w:rPr>
          <w:rFonts w:ascii="宋体" w:hAnsi="宋体"/>
        </w:rPr>
      </w:pPr>
      <w:r>
        <w:rPr>
          <w:rFonts w:hint="eastAsia" w:ascii="宋体" w:hAnsi="宋体"/>
        </w:rPr>
        <w:t xml:space="preserve">       □集体用餐配送单位</w:t>
      </w:r>
    </w:p>
    <w:p>
      <w:pPr>
        <w:spacing w:line="280" w:lineRule="exact"/>
        <w:ind w:left="1260" w:leftChars="350" w:hanging="525" w:hangingChars="250"/>
        <w:rPr>
          <w:rFonts w:ascii="宋体" w:hAnsi="宋体"/>
        </w:rPr>
      </w:pPr>
      <w:r>
        <w:rPr>
          <w:rFonts w:hint="eastAsia" w:ascii="宋体" w:hAnsi="宋体"/>
        </w:rPr>
        <w:t>□普通餐饮（含集体用餐配送 ） （□特大型餐饮□大型餐饮□中型餐饮 □美食城）</w:t>
      </w:r>
    </w:p>
    <w:p>
      <w:pPr>
        <w:spacing w:line="280" w:lineRule="exact"/>
        <w:ind w:firstLine="420" w:firstLineChars="200"/>
        <w:jc w:val="left"/>
        <w:rPr>
          <w:rFonts w:ascii="宋体" w:hAnsi="宋体"/>
        </w:rPr>
      </w:pPr>
      <w:r>
        <w:rPr>
          <w:rFonts w:hint="eastAsia" w:ascii="宋体" w:hAnsi="宋体"/>
        </w:rPr>
        <w:t>□集中用餐单位食堂（含集体用餐配送 ）</w:t>
      </w:r>
    </w:p>
    <w:p>
      <w:pPr>
        <w:spacing w:line="280" w:lineRule="exact"/>
        <w:ind w:left="630" w:hanging="630" w:hangingChars="300"/>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(□大学食堂 □中小学</w:t>
      </w:r>
      <w:r>
        <w:rPr>
          <w:rFonts w:ascii="宋体" w:hAnsi="宋体"/>
        </w:rPr>
        <w:t>食堂</w:t>
      </w:r>
      <w:r>
        <w:rPr>
          <w:rFonts w:hint="eastAsia" w:ascii="宋体" w:hAnsi="宋体"/>
        </w:rPr>
        <w:t xml:space="preserve"> □托幼机构食堂 □托育机构食堂   □医疗机构</w:t>
      </w:r>
      <w:r>
        <w:rPr>
          <w:rFonts w:ascii="宋体" w:hAnsi="宋体"/>
        </w:rPr>
        <w:t>食堂</w:t>
      </w:r>
      <w:r>
        <w:rPr>
          <w:rFonts w:hint="eastAsia" w:ascii="宋体" w:hAnsi="宋体"/>
        </w:rPr>
        <w:t xml:space="preserve"> □工地食堂 □养老食堂 □机关食堂 □职工食堂 □其他食堂)</w:t>
      </w:r>
    </w:p>
    <w:p>
      <w:pPr>
        <w:spacing w:line="280" w:lineRule="exact"/>
        <w:rPr>
          <w:rFonts w:ascii="宋体" w:hAnsi="宋体"/>
        </w:rPr>
      </w:pPr>
      <w:r>
        <w:rPr>
          <w:rFonts w:hint="eastAsia" w:ascii="宋体" w:hAnsi="宋体"/>
        </w:rPr>
        <w:t xml:space="preserve">2.经营项目： </w:t>
      </w:r>
    </w:p>
    <w:p>
      <w:pPr>
        <w:spacing w:line="280" w:lineRule="exact"/>
        <w:rPr>
          <w:rFonts w:ascii="宋体" w:hAnsi="宋体"/>
        </w:rPr>
      </w:pPr>
      <w:r>
        <w:rPr>
          <w:rFonts w:hint="eastAsia" w:ascii="宋体" w:hAnsi="宋体"/>
        </w:rPr>
        <w:t>□热食类食品制售</w:t>
      </w:r>
    </w:p>
    <w:p>
      <w:pPr>
        <w:pStyle w:val="2"/>
        <w:ind w:firstLine="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以下限普通餐饮和集中用餐单位食堂堂食:</w:t>
      </w:r>
    </w:p>
    <w:p>
      <w:pPr>
        <w:spacing w:line="280" w:lineRule="exact"/>
        <w:jc w:val="left"/>
        <w:rPr>
          <w:rFonts w:ascii="宋体" w:hAnsi="宋体"/>
        </w:rPr>
      </w:pPr>
      <w:r>
        <w:rPr>
          <w:rFonts w:hint="eastAsia" w:ascii="宋体" w:hAnsi="宋体"/>
        </w:rPr>
        <w:t>□冷食类食品制售（□含冷加工糕点制售 □不含冷加工糕点制售；</w:t>
      </w:r>
    </w:p>
    <w:p>
      <w:pPr>
        <w:spacing w:line="280" w:lineRule="exact"/>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□含冷荤类食品制售 □不含冷荤类食品制售）</w:t>
      </w:r>
    </w:p>
    <w:p>
      <w:pPr>
        <w:pStyle w:val="2"/>
        <w:ind w:firstLine="420"/>
        <w:rPr>
          <w:rFonts w:ascii="宋体" w:hAnsi="宋体" w:eastAsia="宋体"/>
          <w:sz w:val="21"/>
          <w:szCs w:val="21"/>
        </w:rPr>
      </w:pPr>
      <w:r>
        <w:rPr>
          <w:rFonts w:hint="eastAsia" w:ascii="宋体" w:hAnsi="宋体" w:eastAsia="宋体"/>
          <w:color w:val="000000"/>
          <w:spacing w:val="-10"/>
          <w:sz w:val="21"/>
          <w:szCs w:val="21"/>
        </w:rPr>
        <w:sym w:font="Wingdings 2" w:char="00A3"/>
      </w:r>
      <w:r>
        <w:rPr>
          <w:rFonts w:hint="eastAsia" w:ascii="宋体" w:hAnsi="宋体" w:eastAsia="宋体"/>
          <w:color w:val="000000"/>
          <w:spacing w:val="-10"/>
          <w:sz w:val="21"/>
          <w:szCs w:val="21"/>
        </w:rPr>
        <w:t>冷食类食品简单制售</w:t>
      </w:r>
    </w:p>
    <w:p>
      <w:pPr>
        <w:spacing w:line="280" w:lineRule="exact"/>
        <w:jc w:val="left"/>
        <w:rPr>
          <w:rFonts w:ascii="宋体" w:hAnsi="宋体"/>
        </w:rPr>
      </w:pPr>
      <w:r>
        <w:rPr>
          <w:rFonts w:hint="eastAsia" w:ascii="宋体" w:hAnsi="宋体"/>
        </w:rPr>
        <w:t>□生食类食品制售</w:t>
      </w:r>
    </w:p>
    <w:p>
      <w:pPr>
        <w:adjustRightInd w:val="0"/>
        <w:spacing w:line="280" w:lineRule="exact"/>
        <w:jc w:val="left"/>
        <w:rPr>
          <w:rFonts w:hint="eastAsia" w:ascii="宋体" w:hAnsi="宋体"/>
        </w:rPr>
      </w:pPr>
      <w:r>
        <w:rPr>
          <w:rFonts w:hint="eastAsia" w:ascii="宋体" w:hAnsi="宋体"/>
        </w:rPr>
        <w:t>□自制饮品制售   □自制</w:t>
      </w:r>
      <w:r>
        <w:rPr>
          <w:rFonts w:ascii="宋体" w:hAnsi="宋体"/>
        </w:rPr>
        <w:t>饮品</w:t>
      </w:r>
      <w:r>
        <w:rPr>
          <w:rFonts w:hint="eastAsia" w:ascii="宋体" w:hAnsi="宋体"/>
        </w:rPr>
        <w:t xml:space="preserve">简单制售 </w:t>
      </w:r>
    </w:p>
    <w:p>
      <w:pPr>
        <w:pStyle w:val="2"/>
      </w:pPr>
    </w:p>
    <w:p>
      <w:pPr>
        <w:tabs>
          <w:tab w:val="center" w:pos="6960"/>
          <w:tab w:val="left" w:pos="11825"/>
        </w:tabs>
        <w:spacing w:line="360" w:lineRule="auto"/>
        <w:jc w:val="left"/>
        <w:rPr>
          <w:rFonts w:ascii="宋体" w:hAnsi="宋体" w:cs="宋体"/>
          <w:kern w:val="0"/>
          <w:lang w:val="zh-CN"/>
        </w:rPr>
      </w:pPr>
      <w:r>
        <w:rPr>
          <w:rFonts w:hint="eastAsia" w:ascii="宋体" w:hAnsi="宋体" w:cs="宋体"/>
          <w:kern w:val="0"/>
          <w:lang w:val="zh-CN"/>
        </w:rPr>
        <w:t>核查人签名：</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hint="eastAsia" w:ascii="宋体" w:hAnsi="宋体" w:cs="宋体"/>
          <w:kern w:val="0"/>
          <w:lang w:val="zh-CN"/>
        </w:rPr>
        <w:t>阅后确认签名</w:t>
      </w:r>
      <w:r>
        <w:rPr>
          <w:rFonts w:hint="eastAsia" w:ascii="宋体" w:hAnsi="宋体" w:cs="宋体"/>
          <w:color w:val="000000"/>
          <w:kern w:val="0"/>
          <w:lang w:val="zh-CN"/>
        </w:rPr>
        <w:t>或盖章：</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ascii="宋体" w:hAnsi="宋体" w:cs="宋体"/>
          <w:kern w:val="0"/>
          <w:u w:val="single"/>
          <w:lang w:val="zh-CN"/>
        </w:rPr>
        <w:t xml:space="preserve">          </w:t>
      </w:r>
    </w:p>
    <w:p>
      <w:pPr>
        <w:spacing w:after="312" w:afterLines="100" w:line="360" w:lineRule="auto"/>
        <w:ind w:left="141" w:leftChars="67" w:firstLine="630" w:firstLineChars="300"/>
        <w:rPr>
          <w:rFonts w:ascii="宋体" w:hAnsi="宋体" w:cs="宋体"/>
          <w:kern w:val="0"/>
          <w:lang w:val="zh-CN"/>
        </w:rPr>
      </w:pPr>
      <w:r>
        <w:rPr>
          <w:rFonts w:hint="eastAsia" w:ascii="宋体" w:hAnsi="宋体" w:cs="宋体"/>
          <w:kern w:val="0"/>
          <w:lang w:val="zh-CN"/>
        </w:rPr>
        <w:t>日期：</w:t>
      </w:r>
      <w:r>
        <w:rPr>
          <w:rFonts w:ascii="宋体" w:hAnsi="宋体" w:cs="宋体"/>
          <w:kern w:val="0"/>
          <w:u w:val="single"/>
          <w:lang w:val="zh-CN"/>
        </w:rPr>
        <w:t xml:space="preserve">             </w:t>
      </w:r>
      <w:r>
        <w:rPr>
          <w:rFonts w:ascii="宋体" w:hAnsi="宋体" w:cs="宋体"/>
          <w:kern w:val="0"/>
          <w:lang w:val="zh-CN"/>
        </w:rPr>
        <w:t xml:space="preserve">    </w:t>
      </w:r>
      <w:r>
        <w:rPr>
          <w:rFonts w:hint="eastAsia" w:ascii="宋体" w:hAnsi="宋体" w:cs="宋体"/>
          <w:kern w:val="0"/>
          <w:lang w:val="zh-CN"/>
        </w:rPr>
        <w:t xml:space="preserve">       日期：</w:t>
      </w:r>
      <w:r>
        <w:rPr>
          <w:rFonts w:ascii="宋体" w:hAnsi="宋体" w:cs="宋体"/>
          <w:kern w:val="0"/>
          <w:u w:val="single"/>
          <w:lang w:val="zh-CN"/>
        </w:rPr>
        <w:t xml:space="preserve">           </w:t>
      </w:r>
    </w:p>
    <w:sectPr>
      <w:pgSz w:w="16838" w:h="11906" w:orient="landscape"/>
      <w:pgMar w:top="1587" w:right="2098" w:bottom="1474" w:left="1984" w:header="851" w:footer="992" w:gutter="0"/>
      <w:cols w:space="42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文泉驿微米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等线">
    <w:altName w:val="仿宋_GB2312"/>
    <w:panose1 w:val="00000000000000000000"/>
    <w:charset w:val="86"/>
    <w:family w:val="auto"/>
    <w:pitch w:val="default"/>
    <w:sig w:usb0="00000000" w:usb1="00000000" w:usb2="00000016" w:usb3="00000000" w:csb0="0004000F" w:csb1="00000000"/>
  </w:font>
  <w:font w:name="方正仿宋_GBK">
    <w:altName w:val="文泉驿微米黑"/>
    <w:panose1 w:val="03000509000000000000"/>
    <w:charset w:val="86"/>
    <w:family w:val="script"/>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9"/>
      <w:suff w:val="nothing"/>
      <w:lvlText w:val="%1%2.%3.%4　"/>
      <w:lvlJc w:val="left"/>
      <w:pPr>
        <w:ind w:left="426" w:firstLine="0"/>
      </w:pPr>
      <w:rPr>
        <w:rFonts w:hint="eastAsia" w:ascii="黑体" w:eastAsia="黑体"/>
        <w:b w:val="0"/>
        <w:i w:val="0"/>
        <w:color w:val="000000"/>
        <w:sz w:val="21"/>
      </w:rPr>
    </w:lvl>
    <w:lvl w:ilvl="4" w:tentative="0">
      <w:start w:val="1"/>
      <w:numFmt w:val="decimal"/>
      <w:suff w:val="nothing"/>
      <w:lvlText w:val="%1%2.%3.%4.%5　"/>
      <w:lvlJc w:val="left"/>
      <w:pPr>
        <w:ind w:left="567" w:firstLine="0"/>
      </w:pPr>
      <w:rPr>
        <w:rFonts w:hint="eastAsia" w:ascii="黑体" w:eastAsia="黑体"/>
        <w:b w:val="0"/>
        <w:i w:val="0"/>
        <w:color w:val="00000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235889"/>
    <w:rsid w:val="00002619"/>
    <w:rsid w:val="00187041"/>
    <w:rsid w:val="00212897"/>
    <w:rsid w:val="002A6B7F"/>
    <w:rsid w:val="002F54C1"/>
    <w:rsid w:val="00325626"/>
    <w:rsid w:val="00357713"/>
    <w:rsid w:val="003E244A"/>
    <w:rsid w:val="005608D1"/>
    <w:rsid w:val="00573D62"/>
    <w:rsid w:val="00593125"/>
    <w:rsid w:val="005B09E0"/>
    <w:rsid w:val="005E38C1"/>
    <w:rsid w:val="005F03EB"/>
    <w:rsid w:val="00650F31"/>
    <w:rsid w:val="00673805"/>
    <w:rsid w:val="0067659B"/>
    <w:rsid w:val="006D619C"/>
    <w:rsid w:val="007319CE"/>
    <w:rsid w:val="00736E6E"/>
    <w:rsid w:val="008063A5"/>
    <w:rsid w:val="00876C2A"/>
    <w:rsid w:val="008865A9"/>
    <w:rsid w:val="00941602"/>
    <w:rsid w:val="009558AD"/>
    <w:rsid w:val="00957F37"/>
    <w:rsid w:val="00A53E29"/>
    <w:rsid w:val="00AA4D33"/>
    <w:rsid w:val="00B4677C"/>
    <w:rsid w:val="00B738D7"/>
    <w:rsid w:val="00BB24FA"/>
    <w:rsid w:val="00BD2D6C"/>
    <w:rsid w:val="00C21935"/>
    <w:rsid w:val="00CD0AF9"/>
    <w:rsid w:val="00D1124A"/>
    <w:rsid w:val="00E53EEC"/>
    <w:rsid w:val="00F651C8"/>
    <w:rsid w:val="00F94A4F"/>
    <w:rsid w:val="32FF5F5A"/>
    <w:rsid w:val="3E770D32"/>
    <w:rsid w:val="3FDEC225"/>
    <w:rsid w:val="477BFB97"/>
    <w:rsid w:val="4FF680DF"/>
    <w:rsid w:val="5DD75893"/>
    <w:rsid w:val="5DF21DFA"/>
    <w:rsid w:val="66235889"/>
    <w:rsid w:val="6BD5421F"/>
    <w:rsid w:val="6FD7D3D9"/>
    <w:rsid w:val="7DFFEDE5"/>
    <w:rsid w:val="E9DD378B"/>
    <w:rsid w:val="F6EC35F7"/>
    <w:rsid w:val="F7FF75EC"/>
    <w:rsid w:val="FBA5C9FB"/>
    <w:rsid w:val="FFDB1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annotation text"/>
    <w:basedOn w:val="1"/>
    <w:qFormat/>
    <w:uiPriority w:val="0"/>
    <w:pPr>
      <w:jc w:val="left"/>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标准文件_二级无标题"/>
    <w:basedOn w:val="9"/>
    <w:qFormat/>
    <w:uiPriority w:val="0"/>
    <w:pPr>
      <w:spacing w:beforeLines="0" w:afterLines="0"/>
      <w:outlineLvl w:val="9"/>
    </w:pPr>
    <w:rPr>
      <w:rFonts w:ascii="宋体" w:eastAsia="宋体"/>
    </w:rPr>
  </w:style>
  <w:style w:type="paragraph" w:customStyle="1" w:styleId="9">
    <w:name w:val="标准文件_二级条标题"/>
    <w:next w:val="10"/>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1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1">
    <w:name w:val="页眉 Char"/>
    <w:basedOn w:val="7"/>
    <w:link w:val="5"/>
    <w:qFormat/>
    <w:uiPriority w:val="0"/>
    <w:rPr>
      <w:rFonts w:ascii="Times New Roman" w:hAnsi="Times New Roman" w:eastAsia="宋体" w:cs="Times New Roman"/>
      <w:kern w:val="2"/>
      <w:sz w:val="18"/>
      <w:szCs w:val="18"/>
    </w:rPr>
  </w:style>
  <w:style w:type="character" w:customStyle="1" w:styleId="12">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Company>
  <Pages>10</Pages>
  <Words>948</Words>
  <Characters>5406</Characters>
  <Lines>45</Lines>
  <Paragraphs>12</Paragraphs>
  <TotalTime>0</TotalTime>
  <ScaleCrop>false</ScaleCrop>
  <LinksUpToDate>false</LinksUpToDate>
  <CharactersWithSpaces>6342</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2023-09-02T03:04:00Z</dcterms:created>
  <dc:creator>scjgj</dc:creator>
  <cp:lastModifiedBy>scjgj</cp:lastModifiedBy>
  <dcterms:modified xsi:type="dcterms:W3CDTF">2023-09-05T16:18:46Z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