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56" w:rsidRDefault="00CB1124">
      <w:pPr>
        <w:adjustRightInd/>
        <w:spacing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《北京市地下水超采综合治理实施方案（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年）》</w:t>
      </w:r>
      <w:r w:rsidR="00D53B8C"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A11356" w:rsidRDefault="00A11356">
      <w:pPr>
        <w:tabs>
          <w:tab w:val="right" w:pos="7666"/>
        </w:tabs>
        <w:spacing w:line="640" w:lineRule="exact"/>
        <w:ind w:firstLine="720"/>
        <w:rPr>
          <w:sz w:val="36"/>
          <w:szCs w:val="36"/>
          <w:lang w:val="zh-CN"/>
        </w:rPr>
      </w:pPr>
    </w:p>
    <w:p w:rsidR="00A11356" w:rsidRDefault="00CB1124">
      <w:pPr>
        <w:spacing w:line="640" w:lineRule="exact"/>
        <w:ind w:firstLine="72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自</w:t>
      </w:r>
      <w:r>
        <w:rPr>
          <w:rFonts w:hint="eastAsia"/>
          <w:bCs/>
          <w:sz w:val="36"/>
          <w:szCs w:val="36"/>
        </w:rPr>
        <w:t>2</w:t>
      </w:r>
      <w:r>
        <w:rPr>
          <w:bCs/>
          <w:sz w:val="36"/>
          <w:szCs w:val="36"/>
        </w:rPr>
        <w:t>019</w:t>
      </w:r>
      <w:r>
        <w:rPr>
          <w:rFonts w:hint="eastAsia"/>
          <w:bCs/>
          <w:sz w:val="36"/>
          <w:szCs w:val="36"/>
        </w:rPr>
        <w:t>年起我市实施了地下水超采综合治理行动方案，</w:t>
      </w:r>
      <w:r>
        <w:rPr>
          <w:rFonts w:hint="eastAsia"/>
          <w:bCs/>
          <w:sz w:val="36"/>
          <w:szCs w:val="36"/>
        </w:rPr>
        <w:t>2</w:t>
      </w:r>
      <w:r>
        <w:rPr>
          <w:bCs/>
          <w:sz w:val="36"/>
          <w:szCs w:val="36"/>
        </w:rPr>
        <w:t>022</w:t>
      </w:r>
      <w:r>
        <w:rPr>
          <w:rFonts w:hint="eastAsia"/>
          <w:bCs/>
          <w:sz w:val="36"/>
          <w:szCs w:val="36"/>
        </w:rPr>
        <w:t>年已完成近期目标。为巩固已有治理成效，结合前一阶段治理经验，针对现存关键问题，市水</w:t>
      </w:r>
      <w:proofErr w:type="gramStart"/>
      <w:r>
        <w:rPr>
          <w:rFonts w:hint="eastAsia"/>
          <w:bCs/>
          <w:sz w:val="36"/>
          <w:szCs w:val="36"/>
        </w:rPr>
        <w:t>务</w:t>
      </w:r>
      <w:proofErr w:type="gramEnd"/>
      <w:r>
        <w:rPr>
          <w:rFonts w:hint="eastAsia"/>
          <w:bCs/>
          <w:sz w:val="36"/>
          <w:szCs w:val="36"/>
        </w:rPr>
        <w:t>局牵头制定了《北京市地下水超采综合治理实施方案（</w:t>
      </w:r>
      <w:r>
        <w:rPr>
          <w:rFonts w:hint="eastAsia"/>
          <w:bCs/>
          <w:sz w:val="36"/>
          <w:szCs w:val="36"/>
        </w:rPr>
        <w:t>2023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Cs/>
          <w:sz w:val="36"/>
          <w:szCs w:val="36"/>
        </w:rPr>
        <w:t>-2025</w:t>
      </w:r>
      <w:r>
        <w:rPr>
          <w:rFonts w:hint="eastAsia"/>
          <w:bCs/>
          <w:sz w:val="36"/>
          <w:szCs w:val="36"/>
        </w:rPr>
        <w:t>年）》（以下简称《实施方案》）。</w:t>
      </w:r>
    </w:p>
    <w:p w:rsidR="00A11356" w:rsidRDefault="00CB1124">
      <w:pPr>
        <w:tabs>
          <w:tab w:val="right" w:pos="7666"/>
        </w:tabs>
        <w:spacing w:line="640" w:lineRule="exact"/>
        <w:ind w:firstLine="720"/>
        <w:rPr>
          <w:rFonts w:eastAsia="黑体"/>
          <w:bCs/>
          <w:sz w:val="36"/>
          <w:szCs w:val="36"/>
        </w:rPr>
      </w:pPr>
      <w:r>
        <w:rPr>
          <w:rFonts w:eastAsia="黑体"/>
          <w:sz w:val="36"/>
          <w:szCs w:val="36"/>
        </w:rPr>
        <w:t>一、</w:t>
      </w:r>
      <w:r>
        <w:rPr>
          <w:rFonts w:eastAsia="黑体" w:hint="eastAsia"/>
          <w:sz w:val="36"/>
          <w:szCs w:val="36"/>
        </w:rPr>
        <w:t>编制背景</w:t>
      </w:r>
    </w:p>
    <w:p w:rsidR="00A11356" w:rsidRDefault="00CB1124">
      <w:pPr>
        <w:spacing w:line="640" w:lineRule="exact"/>
        <w:ind w:firstLine="72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1</w:t>
      </w:r>
      <w:r>
        <w:rPr>
          <w:bCs/>
          <w:sz w:val="36"/>
          <w:szCs w:val="36"/>
        </w:rPr>
        <w:t>.</w:t>
      </w:r>
      <w:r>
        <w:rPr>
          <w:rFonts w:hint="eastAsia"/>
          <w:b/>
          <w:bCs/>
          <w:sz w:val="36"/>
          <w:szCs w:val="36"/>
        </w:rPr>
        <w:t>地下水历史欠账仍较多，超采压力仍然存在。</w:t>
      </w:r>
      <w:r>
        <w:rPr>
          <w:rFonts w:hint="eastAsia"/>
          <w:bCs/>
          <w:sz w:val="36"/>
          <w:szCs w:val="36"/>
        </w:rPr>
        <w:t>北京地区人均水资源量严重不足，地下水长期超量开采。虽然近年来随着地下水超采综合治理工作的推进，超采状况有所缓解，但与</w:t>
      </w:r>
      <w:r>
        <w:rPr>
          <w:rFonts w:hint="eastAsia"/>
          <w:bCs/>
          <w:sz w:val="36"/>
          <w:szCs w:val="36"/>
        </w:rPr>
        <w:t>1</w:t>
      </w:r>
      <w:r>
        <w:rPr>
          <w:bCs/>
          <w:sz w:val="36"/>
          <w:szCs w:val="36"/>
        </w:rPr>
        <w:t>980</w:t>
      </w:r>
      <w:r>
        <w:rPr>
          <w:rFonts w:hint="eastAsia"/>
          <w:bCs/>
          <w:sz w:val="36"/>
          <w:szCs w:val="36"/>
        </w:rPr>
        <w:t>年相比，目前地下水储量仍有较大亏空，超采区面积仍有</w:t>
      </w:r>
      <w:r>
        <w:rPr>
          <w:rFonts w:hint="eastAsia"/>
          <w:bCs/>
          <w:sz w:val="36"/>
          <w:szCs w:val="36"/>
        </w:rPr>
        <w:t>1200</w:t>
      </w:r>
      <w:r>
        <w:rPr>
          <w:rFonts w:hint="eastAsia"/>
          <w:bCs/>
          <w:sz w:val="36"/>
          <w:szCs w:val="36"/>
        </w:rPr>
        <w:t>平方公里，缺水仍是首都需要长期面对的基本市情水情。</w:t>
      </w:r>
    </w:p>
    <w:p w:rsidR="00A11356" w:rsidRDefault="00CB1124">
      <w:pPr>
        <w:spacing w:line="640" w:lineRule="exact"/>
        <w:ind w:firstLine="72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2</w:t>
      </w:r>
      <w:r>
        <w:rPr>
          <w:bCs/>
          <w:sz w:val="36"/>
          <w:szCs w:val="36"/>
        </w:rPr>
        <w:t>.</w:t>
      </w:r>
      <w:r>
        <w:rPr>
          <w:rFonts w:hint="eastAsia"/>
          <w:b/>
          <w:bCs/>
          <w:sz w:val="36"/>
          <w:szCs w:val="36"/>
        </w:rPr>
        <w:t>水资源储备量不满足首都新时代高质量发展需求，水资源调配工程还存在卡口、堵点。</w:t>
      </w:r>
      <w:r>
        <w:rPr>
          <w:rFonts w:hint="eastAsia"/>
          <w:bCs/>
          <w:sz w:val="36"/>
          <w:szCs w:val="36"/>
        </w:rPr>
        <w:t>当前本市水资源总体情势仍将处于“紧平衡”状态，部分区域供水基础设施还存在短板，不足以支撑首都高质量发展，需要统筹发展和安全，防范化解重大风险带来的新挑战，强化水资源战略储备，加快</w:t>
      </w:r>
      <w:r>
        <w:rPr>
          <w:rFonts w:hint="eastAsia"/>
          <w:sz w:val="36"/>
          <w:szCs w:val="36"/>
        </w:rPr>
        <w:t>供水设施体系，扩大</w:t>
      </w:r>
      <w:r>
        <w:rPr>
          <w:rFonts w:hint="eastAsia"/>
          <w:sz w:val="36"/>
          <w:szCs w:val="36"/>
        </w:rPr>
        <w:lastRenderedPageBreak/>
        <w:t>公共供水覆盖范围，</w:t>
      </w:r>
      <w:r>
        <w:rPr>
          <w:rFonts w:hint="eastAsia"/>
          <w:bCs/>
          <w:sz w:val="36"/>
          <w:szCs w:val="36"/>
        </w:rPr>
        <w:t>提高首都水资源安全保障和风险应对能力。</w:t>
      </w:r>
    </w:p>
    <w:p w:rsidR="00A11356" w:rsidRDefault="00CB1124">
      <w:pPr>
        <w:spacing w:line="640" w:lineRule="exact"/>
        <w:ind w:firstLine="72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3</w:t>
      </w:r>
      <w:r>
        <w:rPr>
          <w:bCs/>
          <w:sz w:val="36"/>
          <w:szCs w:val="36"/>
        </w:rPr>
        <w:t>.</w:t>
      </w:r>
      <w:r>
        <w:rPr>
          <w:rFonts w:hint="eastAsia"/>
          <w:b/>
          <w:bCs/>
          <w:sz w:val="36"/>
          <w:szCs w:val="36"/>
        </w:rPr>
        <w:t>地下水资源精细管理水平需进一步提升。</w:t>
      </w:r>
      <w:r>
        <w:rPr>
          <w:rFonts w:hint="eastAsia"/>
          <w:bCs/>
          <w:sz w:val="36"/>
          <w:szCs w:val="36"/>
        </w:rPr>
        <w:t>部分重点地区的监测还不精细，</w:t>
      </w:r>
      <w:r>
        <w:rPr>
          <w:rFonts w:hint="eastAsia"/>
          <w:bCs/>
          <w:sz w:val="36"/>
          <w:szCs w:val="36"/>
        </w:rPr>
        <w:t>不利于相关区域的建设和保护，需进一步提高地下水监测分析能力，支撑区域地下水取水量合理调增调减和优化配置，促进地下水储备区建设和</w:t>
      </w:r>
      <w:proofErr w:type="gramStart"/>
      <w:r>
        <w:rPr>
          <w:rFonts w:hint="eastAsia"/>
          <w:bCs/>
          <w:sz w:val="36"/>
          <w:szCs w:val="36"/>
        </w:rPr>
        <w:t>重要泉域恢复</w:t>
      </w:r>
      <w:proofErr w:type="gramEnd"/>
      <w:r>
        <w:rPr>
          <w:rFonts w:hint="eastAsia"/>
          <w:bCs/>
          <w:sz w:val="36"/>
          <w:szCs w:val="36"/>
        </w:rPr>
        <w:t>，实现地下水超采区的治理。</w:t>
      </w:r>
    </w:p>
    <w:p w:rsidR="00A11356" w:rsidRDefault="00CB1124">
      <w:pPr>
        <w:pStyle w:val="9"/>
        <w:spacing w:line="640" w:lineRule="exact"/>
        <w:ind w:left="0" w:firstLineChars="200" w:firstLine="72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二、主要</w:t>
      </w:r>
      <w:r>
        <w:rPr>
          <w:rFonts w:ascii="Times New Roman" w:eastAsia="黑体" w:hAnsi="Times New Roman" w:hint="eastAsia"/>
          <w:sz w:val="36"/>
          <w:szCs w:val="36"/>
        </w:rPr>
        <w:t>内容</w:t>
      </w:r>
    </w:p>
    <w:p w:rsidR="00A11356" w:rsidRDefault="00CB1124">
      <w:pPr>
        <w:pStyle w:val="a5"/>
        <w:widowControl/>
        <w:spacing w:after="0" w:line="640" w:lineRule="exact"/>
        <w:ind w:leftChars="0" w:left="0" w:rightChars="0" w:right="0" w:firstLineChars="200" w:firstLine="720"/>
        <w:textAlignment w:val="baseline"/>
        <w:rPr>
          <w:rFonts w:ascii="Times New Roman" w:eastAsia="仿宋_GB2312" w:hAnsi="Times New Roman" w:cstheme="minorBidi"/>
          <w:bCs/>
          <w:sz w:val="36"/>
          <w:szCs w:val="36"/>
        </w:rPr>
      </w:pP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《实施方案》共包括三个部分，主要包括：总体要求、治理任务和保障措施，并针对重点区制定了细化方案。</w:t>
      </w:r>
    </w:p>
    <w:p w:rsidR="00A11356" w:rsidRDefault="00CB1124">
      <w:pPr>
        <w:pStyle w:val="a5"/>
        <w:widowControl/>
        <w:spacing w:after="0" w:line="640" w:lineRule="exact"/>
        <w:ind w:leftChars="0" w:left="0" w:rightChars="0" w:right="0" w:firstLineChars="200" w:firstLine="720"/>
        <w:textAlignment w:val="baseline"/>
        <w:rPr>
          <w:rFonts w:ascii="Times New Roman" w:eastAsia="仿宋_GB2312" w:hAnsi="Times New Roman" w:cstheme="minorBidi"/>
          <w:bCs/>
          <w:sz w:val="36"/>
          <w:szCs w:val="36"/>
        </w:rPr>
      </w:pP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第一部分是总体要求，明确了《行动方案》的指导思想、工作原则；同时结合我市实际确定了工作目标：到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2025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年，在巩固和保持已有治理成效的基础上，持续开展河湖生态补水，水生态环境持续改善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;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地下水储备区建设取得明显成效，重要</w:t>
      </w:r>
      <w:proofErr w:type="gramStart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泉域得到</w:t>
      </w:r>
      <w:proofErr w:type="gramEnd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有效修复；地下水禁止开采区地下水源得到有效置换；水资源刚性约束制度基本建立，地下水利用管控能力进一步提升，地下水水位监测体系更加完善，地下水利用与保护长效机制得到健全。通过各项治理措施的实施，在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lastRenderedPageBreak/>
        <w:t>南水北调正常来水条件下，将地下水开采总量严格控制在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17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亿立方米以下，平水年压减地下水开采量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0.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2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亿立方米，地下水超采区面积不增加，平原区地下水位上升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米，地下水储量增加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5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亿立方米。</w:t>
      </w:r>
    </w:p>
    <w:p w:rsidR="00A11356" w:rsidRDefault="00CB1124">
      <w:pPr>
        <w:pStyle w:val="a5"/>
        <w:widowControl/>
        <w:spacing w:after="0" w:line="640" w:lineRule="exact"/>
        <w:ind w:leftChars="0" w:left="0" w:rightChars="0" w:right="0" w:firstLineChars="200" w:firstLine="720"/>
        <w:textAlignment w:val="baseline"/>
        <w:rPr>
          <w:rFonts w:ascii="Times New Roman" w:eastAsia="仿宋_GB2312" w:hAnsi="Times New Roman" w:cstheme="minorBidi"/>
          <w:bCs/>
          <w:sz w:val="36"/>
          <w:szCs w:val="36"/>
        </w:rPr>
      </w:pP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第二部分治理任务主要包括四个方面。</w:t>
      </w:r>
    </w:p>
    <w:p w:rsidR="00A11356" w:rsidRDefault="00CB1124">
      <w:pPr>
        <w:pStyle w:val="a5"/>
        <w:widowControl/>
        <w:spacing w:after="0" w:line="640" w:lineRule="exact"/>
        <w:ind w:leftChars="0" w:left="0" w:rightChars="0" w:right="0" w:firstLineChars="200" w:firstLine="720"/>
        <w:textAlignment w:val="baseline"/>
        <w:rPr>
          <w:rFonts w:ascii="Times New Roman" w:eastAsia="仿宋_GB2312" w:hAnsi="Times New Roman" w:cstheme="minorBidi"/>
          <w:bCs/>
          <w:sz w:val="36"/>
          <w:szCs w:val="36"/>
        </w:rPr>
      </w:pP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一是坚持节控优先，强化刚性约束、实施全面节水。坚持量水发展，持续推进疏解整治促提升，落实北京市新增产业的禁止和限制目录，推动不符合首都功能定位的一般制造业企业动态调整退出，实施地下水取水总量和水位控制，将地下水年开采</w:t>
      </w:r>
      <w:proofErr w:type="gramStart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量严格</w:t>
      </w:r>
      <w:proofErr w:type="gramEnd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控制在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7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亿立方米以下，到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2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025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年，力争降至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14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亿立方米左右。深入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推进《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北京市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节水条例》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落实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，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实施高效节水灌溉面积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18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万亩，正常年份用水量控制在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4.5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亿立方米以内，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新增林地绿地节水灌溉面积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3019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公顷，规模以上工业用水重复利用率保持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95%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以上。</w:t>
      </w:r>
    </w:p>
    <w:p w:rsidR="00A11356" w:rsidRDefault="00CB1124">
      <w:pPr>
        <w:pStyle w:val="a5"/>
        <w:widowControl/>
        <w:spacing w:after="0" w:line="640" w:lineRule="exact"/>
        <w:ind w:leftChars="0" w:left="0" w:rightChars="0" w:right="0" w:firstLineChars="200" w:firstLine="720"/>
        <w:textAlignment w:val="baseline"/>
        <w:rPr>
          <w:rFonts w:ascii="Times New Roman" w:eastAsia="仿宋_GB2312" w:hAnsi="Times New Roman" w:cstheme="minorBidi"/>
          <w:bCs/>
          <w:sz w:val="36"/>
          <w:szCs w:val="36"/>
        </w:rPr>
      </w:pP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二是坚持增调优配，争取增加外调水、优化配置水资源。</w:t>
      </w:r>
      <w:bookmarkStart w:id="1" w:name="_Toc92073870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争取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稳定南水北调进京水量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亿立方米以上，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适时推进南水北调中线扩能，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打通</w:t>
      </w:r>
      <w:proofErr w:type="gramStart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地表水厂输配</w:t>
      </w:r>
      <w:proofErr w:type="gramEnd"/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通道和水资源调配工程卡口、堵点，扩大公共供水管网覆盖范围。到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2025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年，全市总供水能力提高到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1000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万立方米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/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日以上，城镇供水管网漏损率力争下降到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8%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，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lastRenderedPageBreak/>
        <w:t>新建（改造）供水厂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19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座，新建（改造）供水管线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800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公里，完成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60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个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自建设施供水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住宅小区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（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社会单位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）置换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。大力推进非常规水资源利用，新建再生水管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线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170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公里，新增园林绿化再生水利用能力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1500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万立方米，新增工业用户再生水利用能力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2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6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00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万立方米，新增环卫和居民小区用户再生水利用能力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6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00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万立方米。</w:t>
      </w:r>
    </w:p>
    <w:p w:rsidR="00A11356" w:rsidRDefault="00CB1124">
      <w:pPr>
        <w:pStyle w:val="a5"/>
        <w:widowControl/>
        <w:spacing w:after="0" w:line="640" w:lineRule="exact"/>
        <w:ind w:leftChars="0" w:left="0" w:rightChars="0" w:right="0" w:firstLineChars="200" w:firstLine="720"/>
        <w:textAlignment w:val="baseline"/>
        <w:rPr>
          <w:rFonts w:ascii="Times New Roman" w:eastAsia="仿宋_GB2312" w:hAnsi="Times New Roman" w:cstheme="minorBidi"/>
          <w:bCs/>
          <w:sz w:val="36"/>
          <w:szCs w:val="36"/>
        </w:rPr>
      </w:pP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三是坚持增补扩储，实施生态补水、提升地下水储备。持续采用地表水、南水北调水、非常规水等水源，推进河湖生态补水常态化，扩大补水范围，逐步实现“有形态、有水量、有补给”目标。构建地表和地下联动、流域内和流域间调配的地下水储备区回补体系，规划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13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个回补区域，打造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30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条回补通道，加快恢复地下水资源战略储备。推进建立地下水战略储备制度，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保障首都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供水水源稳定可靠，力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争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2025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年本地地表、地下战略储备水量总量达到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40</w:t>
      </w:r>
      <w:r>
        <w:rPr>
          <w:rFonts w:ascii="Times New Roman" w:eastAsia="仿宋_GB2312" w:hAnsi="Times New Roman" w:cstheme="minorBidi"/>
          <w:bCs/>
          <w:sz w:val="36"/>
          <w:szCs w:val="36"/>
        </w:rPr>
        <w:t>亿立方米</w:t>
      </w:r>
      <w:r>
        <w:rPr>
          <w:rFonts w:ascii="Times New Roman" w:eastAsia="仿宋_GB2312" w:hAnsi="Times New Roman" w:cstheme="minorBidi" w:hint="eastAsia"/>
          <w:bCs/>
          <w:sz w:val="36"/>
          <w:szCs w:val="36"/>
        </w:rPr>
        <w:t>。</w:t>
      </w:r>
    </w:p>
    <w:bookmarkEnd w:id="1"/>
    <w:p w:rsidR="00A11356" w:rsidRDefault="00CB1124">
      <w:pPr>
        <w:spacing w:line="640" w:lineRule="exact"/>
        <w:ind w:firstLine="720"/>
        <w:outlineLvl w:val="1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四是坚持监管提效，细化地下水监控、严格地下水管理。加强重要区域地下水开采管理，提升地下水管理能力。加强地下水监测体系建设，做好地下水分析评价与信息共享。</w:t>
      </w:r>
    </w:p>
    <w:p w:rsidR="00A11356" w:rsidRDefault="00CB1124">
      <w:pPr>
        <w:spacing w:line="640" w:lineRule="exact"/>
        <w:ind w:firstLine="720"/>
        <w:outlineLvl w:val="1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第三部分是</w:t>
      </w:r>
      <w:r>
        <w:rPr>
          <w:bCs/>
          <w:sz w:val="36"/>
          <w:szCs w:val="36"/>
        </w:rPr>
        <w:t>强化组织保障和任务落实。</w:t>
      </w:r>
      <w:r>
        <w:rPr>
          <w:rFonts w:hint="eastAsia"/>
          <w:bCs/>
          <w:sz w:val="36"/>
          <w:szCs w:val="36"/>
        </w:rPr>
        <w:t>主要从</w:t>
      </w:r>
      <w:r>
        <w:rPr>
          <w:bCs/>
          <w:sz w:val="36"/>
          <w:szCs w:val="36"/>
        </w:rPr>
        <w:t>加</w:t>
      </w:r>
      <w:r>
        <w:rPr>
          <w:bCs/>
          <w:sz w:val="36"/>
          <w:szCs w:val="36"/>
        </w:rPr>
        <w:lastRenderedPageBreak/>
        <w:t>强</w:t>
      </w:r>
      <w:r>
        <w:rPr>
          <w:rFonts w:hint="eastAsia"/>
          <w:bCs/>
          <w:sz w:val="36"/>
          <w:szCs w:val="36"/>
        </w:rPr>
        <w:t>组织领导、保障资金投入、加强监督考核、加大宣传引导等提出确保《实施方案》落地的保障措施。</w:t>
      </w:r>
    </w:p>
    <w:p w:rsidR="00A11356" w:rsidRDefault="00A11356">
      <w:pPr>
        <w:ind w:firstLine="640"/>
      </w:pPr>
    </w:p>
    <w:sectPr w:rsidR="00A11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24" w:rsidRDefault="00CB1124">
      <w:pPr>
        <w:spacing w:line="240" w:lineRule="auto"/>
        <w:ind w:firstLine="640"/>
      </w:pPr>
      <w:r>
        <w:separator/>
      </w:r>
    </w:p>
  </w:endnote>
  <w:endnote w:type="continuationSeparator" w:id="0">
    <w:p w:rsidR="00CB1124" w:rsidRDefault="00CB112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56" w:rsidRDefault="00A1135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56" w:rsidRDefault="00A11356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56" w:rsidRDefault="00A1135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24" w:rsidRDefault="00CB1124">
      <w:pPr>
        <w:spacing w:line="240" w:lineRule="auto"/>
        <w:ind w:firstLine="640"/>
      </w:pPr>
      <w:r>
        <w:separator/>
      </w:r>
    </w:p>
  </w:footnote>
  <w:footnote w:type="continuationSeparator" w:id="0">
    <w:p w:rsidR="00CB1124" w:rsidRDefault="00CB112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56" w:rsidRDefault="00A1135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56" w:rsidRDefault="00A11356">
    <w:pPr>
      <w:pStyle w:val="aa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56" w:rsidRDefault="00A1135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2MjYyYWFjZDhmY2JhZGE1MzAxYjZlZTIyNzI2MzkifQ=="/>
  </w:docVars>
  <w:rsids>
    <w:rsidRoot w:val="002F168D"/>
    <w:rsid w:val="0003140D"/>
    <w:rsid w:val="00056AB4"/>
    <w:rsid w:val="0006314E"/>
    <w:rsid w:val="000E0D24"/>
    <w:rsid w:val="000E1CF5"/>
    <w:rsid w:val="000F4341"/>
    <w:rsid w:val="00160F90"/>
    <w:rsid w:val="001861AF"/>
    <w:rsid w:val="0019581D"/>
    <w:rsid w:val="001B0D80"/>
    <w:rsid w:val="002322ED"/>
    <w:rsid w:val="002331D8"/>
    <w:rsid w:val="00236564"/>
    <w:rsid w:val="002907BE"/>
    <w:rsid w:val="002F168D"/>
    <w:rsid w:val="003215B3"/>
    <w:rsid w:val="00322259"/>
    <w:rsid w:val="003316B0"/>
    <w:rsid w:val="003743F5"/>
    <w:rsid w:val="003C5B07"/>
    <w:rsid w:val="00402721"/>
    <w:rsid w:val="00410068"/>
    <w:rsid w:val="00420524"/>
    <w:rsid w:val="00421682"/>
    <w:rsid w:val="00433466"/>
    <w:rsid w:val="004672B0"/>
    <w:rsid w:val="0048673E"/>
    <w:rsid w:val="00496922"/>
    <w:rsid w:val="00496A38"/>
    <w:rsid w:val="004F729D"/>
    <w:rsid w:val="00533161"/>
    <w:rsid w:val="005414CC"/>
    <w:rsid w:val="00552055"/>
    <w:rsid w:val="005810D4"/>
    <w:rsid w:val="005B02B7"/>
    <w:rsid w:val="005C2B01"/>
    <w:rsid w:val="005F218E"/>
    <w:rsid w:val="006737F9"/>
    <w:rsid w:val="0069121F"/>
    <w:rsid w:val="006C1C67"/>
    <w:rsid w:val="006D299C"/>
    <w:rsid w:val="0073563A"/>
    <w:rsid w:val="0076066A"/>
    <w:rsid w:val="007705D5"/>
    <w:rsid w:val="007949EE"/>
    <w:rsid w:val="007A2D6E"/>
    <w:rsid w:val="007C1465"/>
    <w:rsid w:val="007C2804"/>
    <w:rsid w:val="00825049"/>
    <w:rsid w:val="008A70EE"/>
    <w:rsid w:val="008B018C"/>
    <w:rsid w:val="008B68BB"/>
    <w:rsid w:val="008E121A"/>
    <w:rsid w:val="008F2011"/>
    <w:rsid w:val="008F53DD"/>
    <w:rsid w:val="00915754"/>
    <w:rsid w:val="00994D3E"/>
    <w:rsid w:val="009B6E2F"/>
    <w:rsid w:val="00A11356"/>
    <w:rsid w:val="00A37BF7"/>
    <w:rsid w:val="00A67EF4"/>
    <w:rsid w:val="00A8026F"/>
    <w:rsid w:val="00A94A16"/>
    <w:rsid w:val="00AB4F0B"/>
    <w:rsid w:val="00AC7FA2"/>
    <w:rsid w:val="00B061A7"/>
    <w:rsid w:val="00B4686B"/>
    <w:rsid w:val="00B65072"/>
    <w:rsid w:val="00B837A9"/>
    <w:rsid w:val="00BB082F"/>
    <w:rsid w:val="00BB1EFE"/>
    <w:rsid w:val="00BF57E9"/>
    <w:rsid w:val="00C10360"/>
    <w:rsid w:val="00C12F5C"/>
    <w:rsid w:val="00C276A6"/>
    <w:rsid w:val="00C518AF"/>
    <w:rsid w:val="00CB1124"/>
    <w:rsid w:val="00CB5239"/>
    <w:rsid w:val="00CD7A73"/>
    <w:rsid w:val="00D06924"/>
    <w:rsid w:val="00D171E4"/>
    <w:rsid w:val="00D3322E"/>
    <w:rsid w:val="00D35630"/>
    <w:rsid w:val="00D53B8C"/>
    <w:rsid w:val="00D77BE5"/>
    <w:rsid w:val="00DA49ED"/>
    <w:rsid w:val="00E022C3"/>
    <w:rsid w:val="00E1565D"/>
    <w:rsid w:val="00E743A8"/>
    <w:rsid w:val="00E809F1"/>
    <w:rsid w:val="00E83F44"/>
    <w:rsid w:val="00E842F1"/>
    <w:rsid w:val="00EE044C"/>
    <w:rsid w:val="00EF3005"/>
    <w:rsid w:val="00F02CE1"/>
    <w:rsid w:val="00F30A91"/>
    <w:rsid w:val="00F570A8"/>
    <w:rsid w:val="00FA2641"/>
    <w:rsid w:val="00FA4047"/>
    <w:rsid w:val="00FB3C4A"/>
    <w:rsid w:val="00FB7185"/>
    <w:rsid w:val="00FE64F0"/>
    <w:rsid w:val="77CC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2F336-6A44-4D1F-9719-85D0EDF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580" w:lineRule="exact"/>
    </w:pPr>
    <w:rPr>
      <w:rFonts w:cs="Times New Roman"/>
      <w:kern w:val="0"/>
      <w:szCs w:val="24"/>
      <w:lang w:val="zh-CN"/>
    </w:rPr>
  </w:style>
  <w:style w:type="paragraph" w:styleId="a5">
    <w:name w:val="Block Text"/>
    <w:basedOn w:val="a"/>
    <w:qFormat/>
    <w:pPr>
      <w:suppressAutoHyphens/>
      <w:adjustRightInd/>
      <w:snapToGrid/>
      <w:spacing w:after="120" w:line="240" w:lineRule="auto"/>
      <w:ind w:leftChars="700" w:left="1440" w:rightChars="700" w:right="1440" w:firstLineChars="0" w:firstLine="0"/>
    </w:pPr>
    <w:rPr>
      <w:rFonts w:ascii="Calibri" w:eastAsia="宋体" w:hAnsi="Calibri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index 9"/>
    <w:basedOn w:val="a"/>
    <w:next w:val="a"/>
    <w:qFormat/>
    <w:pPr>
      <w:suppressAutoHyphens/>
      <w:adjustRightInd/>
      <w:snapToGrid/>
      <w:spacing w:line="240" w:lineRule="auto"/>
      <w:ind w:left="3360" w:firstLineChars="0" w:firstLine="0"/>
      <w:jc w:val="left"/>
    </w:pPr>
    <w:rPr>
      <w:rFonts w:ascii="Calibri" w:eastAsia="宋体" w:hAnsi="Calibri" w:cs="Times New Roman"/>
      <w:sz w:val="21"/>
      <w:szCs w:val="20"/>
    </w:r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仿宋_GB2312" w:hAnsi="Times New Roman" w:cs="Times New Roman"/>
      <w:kern w:val="0"/>
      <w:sz w:val="32"/>
      <w:szCs w:val="24"/>
      <w:lang w:val="zh-CN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7B30-BEEB-4E36-BC55-090D3129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段光耀</dc:creator>
  <cp:lastModifiedBy>段光耀</cp:lastModifiedBy>
  <cp:revision>100</cp:revision>
  <cp:lastPrinted>2023-04-06T07:05:00Z</cp:lastPrinted>
  <dcterms:created xsi:type="dcterms:W3CDTF">2023-04-06T04:25:00Z</dcterms:created>
  <dcterms:modified xsi:type="dcterms:W3CDTF">2023-04-07T04:39:00Z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D6D93D8DDB9D4A748913C54FE17A60BC_12</vt:lpwstr>
  </property>
</Properties>
</file>