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2240" w:right="2240" w:firstLine="640"/>
        <w:rPr>
          <w:lang w:val="zh-CN"/>
        </w:rPr>
      </w:pPr>
      <w:bookmarkStart w:id="0" w:name="_Hlk80718906"/>
    </w:p>
    <w:p>
      <w:pPr>
        <w:spacing w:line="240" w:lineRule="auto"/>
        <w:ind w:firstLine="0" w:firstLineChars="0"/>
        <w:jc w:val="center"/>
        <w:rPr>
          <w:rFonts w:ascii="方正小标宋简体" w:eastAsia="方正小标宋简体" w:cs="Times New Roman"/>
          <w:kern w:val="0"/>
          <w:sz w:val="44"/>
          <w:szCs w:val="44"/>
        </w:rPr>
      </w:pPr>
      <w:r>
        <w:rPr>
          <w:rFonts w:hint="eastAsia" w:ascii="方正小标宋简体" w:eastAsia="方正小标宋简体" w:cs="Times New Roman"/>
          <w:kern w:val="0"/>
          <w:sz w:val="44"/>
          <w:szCs w:val="44"/>
        </w:rPr>
        <w:t>北京市地下水超采综合治理实施方案</w:t>
      </w:r>
    </w:p>
    <w:p>
      <w:pPr>
        <w:spacing w:line="240" w:lineRule="auto"/>
        <w:ind w:firstLine="0" w:firstLineChars="0"/>
        <w:jc w:val="center"/>
        <w:rPr>
          <w:rFonts w:ascii="方正小标宋简体" w:eastAsia="方正小标宋简体" w:cs="Times New Roman"/>
          <w:kern w:val="0"/>
          <w:sz w:val="44"/>
          <w:szCs w:val="44"/>
        </w:rPr>
      </w:pPr>
      <w:r>
        <w:rPr>
          <w:rFonts w:hint="eastAsia" w:ascii="方正小标宋简体" w:eastAsia="方正小标宋简体" w:cs="Times New Roman"/>
          <w:kern w:val="0"/>
          <w:sz w:val="44"/>
          <w:szCs w:val="44"/>
        </w:rPr>
        <w:t>（2023-2025）</w:t>
      </w:r>
    </w:p>
    <w:bookmarkEnd w:id="0"/>
    <w:p>
      <w:pPr>
        <w:spacing w:line="360" w:lineRule="auto"/>
        <w:ind w:firstLine="0" w:firstLineChars="0"/>
        <w:jc w:val="center"/>
        <w:rPr>
          <w:rFonts w:ascii="楷体" w:hAnsi="楷体" w:eastAsia="楷体" w:cs="Times New Roman"/>
          <w:kern w:val="0"/>
          <w:sz w:val="36"/>
          <w:szCs w:val="32"/>
        </w:rPr>
      </w:pPr>
      <w:r>
        <w:rPr>
          <w:rFonts w:hint="eastAsia" w:ascii="楷体" w:hAnsi="楷体" w:eastAsia="楷体" w:cs="Times New Roman"/>
          <w:kern w:val="0"/>
          <w:sz w:val="36"/>
          <w:szCs w:val="32"/>
        </w:rPr>
        <w:t>（征求意见稿）</w:t>
      </w:r>
    </w:p>
    <w:p>
      <w:pPr>
        <w:suppressAutoHyphens/>
        <w:adjustRightInd/>
        <w:snapToGrid/>
        <w:spacing w:line="580" w:lineRule="exact"/>
        <w:ind w:firstLine="640" w:firstLineChars="0"/>
        <w:rPr>
          <w:rFonts w:ascii="仿宋_GB2312" w:hAnsi="仿宋_GB2312" w:cs="仿宋_GB2312"/>
          <w:szCs w:val="32"/>
          <w:lang w:val="zh-CN"/>
        </w:rPr>
      </w:pPr>
      <w:bookmarkStart w:id="1" w:name="_Toc87348544"/>
      <w:bookmarkEnd w:id="1"/>
      <w:bookmarkStart w:id="2" w:name="_Toc18558"/>
      <w:bookmarkStart w:id="3" w:name="_Toc9593"/>
      <w:bookmarkStart w:id="4" w:name="_Toc111121786"/>
      <w:bookmarkStart w:id="5" w:name="_Toc14283"/>
      <w:bookmarkStart w:id="6" w:name="_Toc15661"/>
      <w:bookmarkStart w:id="7" w:name="_Toc18424"/>
      <w:bookmarkStart w:id="8" w:name="_Toc14299"/>
      <w:bookmarkStart w:id="9" w:name="_Toc10161"/>
      <w:bookmarkStart w:id="10" w:name="_Toc20799"/>
      <w:bookmarkStart w:id="11" w:name="_Toc26163"/>
      <w:r>
        <w:rPr>
          <w:rFonts w:hint="eastAsia" w:ascii="仿宋_GB2312" w:hAnsi="仿宋_GB2312" w:cs="仿宋_GB2312"/>
          <w:szCs w:val="32"/>
          <w:lang w:val="zh-CN"/>
        </w:rPr>
        <w:t>为进一步落实</w:t>
      </w:r>
      <w:r>
        <w:rPr>
          <w:rFonts w:ascii="仿宋_GB2312" w:hAnsi="仿宋_GB2312" w:cs="仿宋_GB2312"/>
          <w:szCs w:val="32"/>
          <w:lang w:val="zh-CN"/>
        </w:rPr>
        <w:t>2019</w:t>
      </w:r>
      <w:r>
        <w:rPr>
          <w:rFonts w:hint="eastAsia" w:ascii="仿宋_GB2312" w:hAnsi="仿宋_GB2312" w:cs="仿宋_GB2312"/>
          <w:szCs w:val="32"/>
          <w:lang w:val="zh-CN"/>
        </w:rPr>
        <w:t>年印发的《北京市地下水超采综合治理行动方案》（以下简称“方案”），巩固已有治理效果，促进地下水可持续利用，特制定本方案</w:t>
      </w:r>
      <w:r>
        <w:rPr>
          <w:rStyle w:val="34"/>
          <w:rFonts w:ascii="仿宋_GB2312" w:cs="Times New Roman"/>
          <w:szCs w:val="32"/>
        </w:rPr>
        <w:footnoteReference w:id="0"/>
      </w:r>
      <w:r>
        <w:rPr>
          <w:rFonts w:hint="eastAsia" w:ascii="仿宋_GB2312" w:cs="Times New Roman"/>
          <w:szCs w:val="32"/>
        </w:rPr>
        <w:t>。</w:t>
      </w:r>
    </w:p>
    <w:bookmarkEnd w:id="2"/>
    <w:bookmarkEnd w:id="3"/>
    <w:bookmarkEnd w:id="4"/>
    <w:bookmarkEnd w:id="5"/>
    <w:bookmarkEnd w:id="6"/>
    <w:bookmarkEnd w:id="7"/>
    <w:bookmarkEnd w:id="8"/>
    <w:bookmarkEnd w:id="9"/>
    <w:bookmarkEnd w:id="10"/>
    <w:bookmarkEnd w:id="11"/>
    <w:p>
      <w:pPr>
        <w:suppressAutoHyphens/>
        <w:adjustRightInd/>
        <w:snapToGrid/>
        <w:spacing w:line="580" w:lineRule="exact"/>
        <w:ind w:firstLine="640" w:firstLineChars="0"/>
        <w:jc w:val="left"/>
        <w:outlineLvl w:val="0"/>
        <w:rPr>
          <w:rFonts w:ascii="黑体" w:hAnsi="黑体" w:cs="Times New Roman"/>
          <w:szCs w:val="32"/>
        </w:rPr>
      </w:pPr>
      <w:bookmarkStart w:id="12" w:name="_Toc87348545"/>
      <w:bookmarkEnd w:id="12"/>
      <w:bookmarkStart w:id="13" w:name="_Toc87348550"/>
      <w:bookmarkEnd w:id="13"/>
      <w:bookmarkStart w:id="14" w:name="_Toc11149"/>
      <w:bookmarkStart w:id="15" w:name="_Toc27832"/>
      <w:bookmarkStart w:id="16" w:name="_Toc27295"/>
      <w:bookmarkStart w:id="17" w:name="_Toc123040331"/>
      <w:bookmarkStart w:id="18" w:name="_Toc8733"/>
      <w:bookmarkStart w:id="19" w:name="_Toc111121791"/>
      <w:bookmarkStart w:id="20" w:name="_Toc9994"/>
      <w:bookmarkStart w:id="21" w:name="_Toc25168"/>
      <w:bookmarkStart w:id="22" w:name="_Toc7807"/>
      <w:bookmarkStart w:id="23" w:name="_Toc12564"/>
      <w:bookmarkStart w:id="24" w:name="_Toc6463"/>
      <w:r>
        <w:rPr>
          <w:rFonts w:hint="eastAsia" w:ascii="黑体" w:hAnsi="黑体" w:eastAsia="黑体" w:cs="Times New Roman"/>
          <w:szCs w:val="32"/>
        </w:rPr>
        <w:t>一、总体要求</w:t>
      </w:r>
      <w:bookmarkEnd w:id="14"/>
      <w:bookmarkEnd w:id="15"/>
      <w:bookmarkEnd w:id="16"/>
      <w:bookmarkEnd w:id="17"/>
      <w:bookmarkEnd w:id="18"/>
      <w:bookmarkEnd w:id="19"/>
      <w:bookmarkEnd w:id="20"/>
      <w:bookmarkEnd w:id="21"/>
      <w:bookmarkEnd w:id="22"/>
      <w:bookmarkEnd w:id="23"/>
      <w:bookmarkEnd w:id="24"/>
    </w:p>
    <w:p>
      <w:pPr>
        <w:suppressAutoHyphens/>
        <w:adjustRightInd/>
        <w:snapToGrid/>
        <w:spacing w:line="580" w:lineRule="exact"/>
        <w:ind w:firstLine="640" w:firstLineChars="0"/>
        <w:outlineLvl w:val="1"/>
        <w:rPr>
          <w:rFonts w:ascii="楷体" w:hAnsi="楷体" w:eastAsia="楷体" w:cs="楷体"/>
          <w:lang w:val="zh-CN"/>
        </w:rPr>
      </w:pPr>
      <w:bookmarkStart w:id="25" w:name="_Toc27505"/>
      <w:bookmarkStart w:id="26" w:name="_Toc24119"/>
      <w:bookmarkStart w:id="27" w:name="_Toc23906"/>
      <w:bookmarkStart w:id="28" w:name="_Toc22924"/>
      <w:bookmarkStart w:id="29" w:name="_Toc18076"/>
      <w:bookmarkStart w:id="30" w:name="_Toc10317"/>
      <w:bookmarkStart w:id="31" w:name="_Toc123040332"/>
      <w:bookmarkStart w:id="32" w:name="_Toc16386"/>
      <w:bookmarkStart w:id="33" w:name="_Toc111121792"/>
      <w:bookmarkStart w:id="34" w:name="_Toc5460"/>
      <w:bookmarkStart w:id="35" w:name="_Toc29434"/>
      <w:r>
        <w:rPr>
          <w:rFonts w:hint="eastAsia" w:ascii="楷体" w:hAnsi="楷体" w:eastAsia="楷体" w:cs="楷体"/>
          <w:szCs w:val="32"/>
          <w:lang w:val="zh-CN"/>
        </w:rPr>
        <w:t>（一）指导思想</w:t>
      </w:r>
      <w:bookmarkEnd w:id="25"/>
      <w:bookmarkEnd w:id="26"/>
      <w:bookmarkEnd w:id="27"/>
      <w:bookmarkEnd w:id="28"/>
      <w:bookmarkEnd w:id="29"/>
      <w:bookmarkEnd w:id="30"/>
      <w:bookmarkEnd w:id="31"/>
      <w:bookmarkEnd w:id="32"/>
      <w:bookmarkEnd w:id="33"/>
      <w:bookmarkEnd w:id="34"/>
      <w:bookmarkEnd w:id="35"/>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以习近平新时代中国特色社会主义思想为指导，深入贯彻落实党的二十大会议精神和“十六字”治水思路，强化水资源刚性约束，以地下水水位水量“双控”为抓手，以全社会全过程节水为基础，以地下水源置换和生态补水为核心，不欠新账、多还旧账，接续打好地下水超采治理攻坚战，提高地下水战略储备，探索修复标志性泉域，提升北京市水安全保障与生态文明建设水平。</w:t>
      </w:r>
    </w:p>
    <w:p>
      <w:pPr>
        <w:suppressAutoHyphens/>
        <w:adjustRightInd/>
        <w:snapToGrid/>
        <w:spacing w:line="580" w:lineRule="exact"/>
        <w:ind w:firstLine="640" w:firstLineChars="0"/>
        <w:outlineLvl w:val="1"/>
        <w:rPr>
          <w:rFonts w:ascii="楷体" w:hAnsi="楷体" w:eastAsia="楷体" w:cs="楷体"/>
          <w:lang w:val="zh-CN"/>
        </w:rPr>
      </w:pPr>
      <w:bookmarkStart w:id="36" w:name="_Toc25573"/>
      <w:bookmarkStart w:id="37" w:name="_Toc12847"/>
      <w:bookmarkStart w:id="38" w:name="_Toc111121793"/>
      <w:bookmarkStart w:id="39" w:name="_Toc1309"/>
      <w:bookmarkStart w:id="40" w:name="_Toc3694"/>
      <w:bookmarkStart w:id="41" w:name="_Toc15517"/>
      <w:bookmarkStart w:id="42" w:name="_Toc28912"/>
      <w:bookmarkStart w:id="43" w:name="_Toc30474"/>
      <w:bookmarkStart w:id="44" w:name="_Toc30327"/>
      <w:bookmarkStart w:id="45" w:name="_Toc9334"/>
      <w:bookmarkStart w:id="46" w:name="_Toc123040333"/>
      <w:r>
        <w:rPr>
          <w:rFonts w:hint="eastAsia" w:ascii="楷体" w:hAnsi="楷体" w:eastAsia="楷体" w:cs="楷体"/>
          <w:szCs w:val="32"/>
          <w:lang w:val="zh-CN"/>
        </w:rPr>
        <w:t>（二）基本原则</w:t>
      </w:r>
      <w:bookmarkEnd w:id="36"/>
      <w:bookmarkEnd w:id="37"/>
      <w:bookmarkEnd w:id="38"/>
      <w:bookmarkEnd w:id="39"/>
      <w:bookmarkEnd w:id="40"/>
      <w:bookmarkEnd w:id="41"/>
      <w:bookmarkEnd w:id="42"/>
      <w:bookmarkEnd w:id="43"/>
      <w:bookmarkEnd w:id="44"/>
      <w:bookmarkEnd w:id="45"/>
      <w:bookmarkEnd w:id="46"/>
    </w:p>
    <w:p>
      <w:pPr>
        <w:suppressAutoHyphens/>
        <w:adjustRightInd/>
        <w:snapToGrid/>
        <w:spacing w:line="580" w:lineRule="exact"/>
        <w:ind w:firstLine="641" w:firstLineChars="0"/>
        <w:rPr>
          <w:rFonts w:ascii="仿宋_GB2312" w:hAnsi="仿宋_GB2312" w:cs="仿宋_GB2312"/>
          <w:szCs w:val="32"/>
          <w:lang w:val="zh-CN"/>
        </w:rPr>
      </w:pPr>
      <w:r>
        <w:rPr>
          <w:rFonts w:hint="eastAsia" w:ascii="仿宋_GB2312" w:hAnsi="仿宋_GB2312" w:cs="仿宋_GB2312"/>
          <w:b/>
          <w:bCs/>
          <w:szCs w:val="32"/>
        </w:rPr>
        <w:t>坚持问题导向、目标引领。</w:t>
      </w:r>
      <w:r>
        <w:rPr>
          <w:rFonts w:hint="eastAsia" w:ascii="仿宋_GB2312" w:hAnsi="仿宋_GB2312" w:cs="仿宋_GB2312"/>
          <w:szCs w:val="32"/>
          <w:lang w:val="zh-CN"/>
        </w:rPr>
        <w:t>聚焦地下水超采与历史欠账等问题，因地制宜，综合施策，实现地下水超采面积进一步缩减，平水年条件下地下水位稳步回升，地下水储量逐年递增。</w:t>
      </w:r>
    </w:p>
    <w:p>
      <w:pPr>
        <w:suppressAutoHyphens/>
        <w:adjustRightInd/>
        <w:snapToGrid/>
        <w:spacing w:line="580" w:lineRule="exact"/>
        <w:ind w:firstLine="641" w:firstLineChars="0"/>
        <w:rPr>
          <w:rFonts w:ascii="仿宋_GB2312" w:hAnsi="仿宋_GB2312" w:cs="仿宋_GB2312"/>
          <w:szCs w:val="32"/>
          <w:lang w:val="zh-CN"/>
        </w:rPr>
      </w:pPr>
      <w:r>
        <w:rPr>
          <w:rFonts w:hint="eastAsia" w:ascii="仿宋_GB2312" w:hAnsi="仿宋_GB2312" w:cs="仿宋_GB2312"/>
          <w:b/>
          <w:bCs/>
          <w:szCs w:val="32"/>
        </w:rPr>
        <w:t>坚持节水优先、优化配置。</w:t>
      </w:r>
      <w:r>
        <w:rPr>
          <w:rFonts w:hint="eastAsia" w:ascii="仿宋_GB2312" w:hAnsi="仿宋_GB2312" w:cs="仿宋_GB2312"/>
          <w:szCs w:val="32"/>
          <w:lang w:val="zh-CN"/>
        </w:rPr>
        <w:t>持续推进水资源“取供用排”全社会、全过程节水，强化“外调水、本地地表水、地下水、再生水、雨洪水”五水联调、空间均衡。</w:t>
      </w:r>
    </w:p>
    <w:p>
      <w:pPr>
        <w:suppressAutoHyphens/>
        <w:adjustRightInd/>
        <w:snapToGrid/>
        <w:spacing w:line="580" w:lineRule="exact"/>
        <w:ind w:firstLine="641" w:firstLineChars="0"/>
        <w:rPr>
          <w:rFonts w:ascii="仿宋_GB2312" w:hAnsi="仿宋_GB2312" w:cs="仿宋_GB2312"/>
          <w:szCs w:val="32"/>
          <w:lang w:val="zh-CN"/>
        </w:rPr>
      </w:pPr>
      <w:r>
        <w:rPr>
          <w:rFonts w:hint="eastAsia" w:ascii="仿宋_GB2312" w:hAnsi="仿宋_GB2312" w:cs="仿宋_GB2312"/>
          <w:b/>
          <w:bCs/>
          <w:szCs w:val="32"/>
        </w:rPr>
        <w:t>坚持统筹兼顾、突出重点。</w:t>
      </w:r>
      <w:r>
        <w:rPr>
          <w:rFonts w:hint="eastAsia" w:ascii="仿宋_GB2312" w:hAnsi="仿宋_GB2312" w:cs="仿宋_GB2312"/>
          <w:szCs w:val="32"/>
          <w:lang w:val="zh-CN"/>
        </w:rPr>
        <w:t>以地下水超采区治理为重点，兼顾全市平原区地下水涵养修复与河湖生态环境复苏。</w:t>
      </w:r>
    </w:p>
    <w:p>
      <w:pPr>
        <w:suppressAutoHyphens/>
        <w:adjustRightInd/>
        <w:snapToGrid/>
        <w:spacing w:line="580" w:lineRule="exact"/>
        <w:ind w:firstLine="641" w:firstLineChars="0"/>
        <w:rPr>
          <w:rFonts w:ascii="仿宋_GB2312" w:hAnsi="仿宋_GB2312" w:cs="仿宋_GB2312"/>
          <w:szCs w:val="32"/>
          <w:lang w:val="zh-CN"/>
        </w:rPr>
      </w:pPr>
      <w:r>
        <w:rPr>
          <w:rFonts w:hint="eastAsia" w:ascii="仿宋_GB2312" w:hAnsi="仿宋_GB2312" w:cs="仿宋_GB2312"/>
          <w:b/>
          <w:bCs/>
          <w:szCs w:val="32"/>
        </w:rPr>
        <w:t>坚持依规治理、精细管控。</w:t>
      </w:r>
      <w:r>
        <w:rPr>
          <w:rFonts w:hint="eastAsia" w:ascii="仿宋_GB2312" w:hAnsi="仿宋_GB2312" w:cs="仿宋_GB2312"/>
          <w:szCs w:val="32"/>
          <w:lang w:val="zh-CN"/>
        </w:rPr>
        <w:t>严格落实《地下水管理条例》，完善取水户数据汇聚体系，健全机井管理台账，实施地下水分区、分层管理。</w:t>
      </w:r>
    </w:p>
    <w:p>
      <w:pPr>
        <w:suppressAutoHyphens/>
        <w:adjustRightInd/>
        <w:snapToGrid/>
        <w:spacing w:line="580" w:lineRule="exact"/>
        <w:ind w:firstLine="641" w:firstLineChars="0"/>
        <w:rPr>
          <w:rFonts w:ascii="仿宋_GB2312" w:hAnsi="仿宋_GB2312" w:cs="仿宋_GB2312"/>
          <w:szCs w:val="32"/>
          <w:lang w:val="zh-CN"/>
        </w:rPr>
      </w:pPr>
      <w:r>
        <w:rPr>
          <w:rFonts w:hint="eastAsia" w:ascii="仿宋_GB2312" w:hAnsi="仿宋_GB2312" w:cs="仿宋_GB2312"/>
          <w:b/>
          <w:bCs/>
          <w:szCs w:val="32"/>
        </w:rPr>
        <w:t>坚持常备不懈、生态发展。</w:t>
      </w:r>
      <w:r>
        <w:rPr>
          <w:rFonts w:hint="eastAsia" w:ascii="仿宋_GB2312" w:hAnsi="仿宋_GB2312" w:cs="仿宋_GB2312"/>
          <w:szCs w:val="32"/>
          <w:lang w:val="zh-CN"/>
        </w:rPr>
        <w:t>持续实施永定河、潮白河生态补水，推进地下水储备区建设，增强水安全保障能力。推进白浮泉、玉泉山等重点泉域地表水-地下水协同修复，助力生态文明提升。</w:t>
      </w:r>
    </w:p>
    <w:p>
      <w:pPr>
        <w:suppressAutoHyphens/>
        <w:adjustRightInd/>
        <w:snapToGrid/>
        <w:spacing w:line="580" w:lineRule="exact"/>
        <w:ind w:firstLine="640" w:firstLineChars="0"/>
        <w:outlineLvl w:val="1"/>
        <w:rPr>
          <w:rFonts w:ascii="楷体" w:hAnsi="楷体" w:eastAsia="楷体" w:cs="楷体"/>
          <w:lang w:val="zh-CN"/>
        </w:rPr>
      </w:pPr>
      <w:bookmarkStart w:id="47" w:name="_Toc28789"/>
      <w:bookmarkStart w:id="48" w:name="_Toc28"/>
      <w:bookmarkStart w:id="49" w:name="_Toc25658"/>
      <w:bookmarkStart w:id="50" w:name="_Toc15251"/>
      <w:bookmarkStart w:id="51" w:name="_Toc123040334"/>
      <w:bookmarkStart w:id="52" w:name="_Toc30102"/>
      <w:bookmarkStart w:id="53" w:name="_Toc2577"/>
      <w:bookmarkStart w:id="54" w:name="_Hlk82163107"/>
      <w:bookmarkStart w:id="55" w:name="_Toc4380"/>
      <w:bookmarkStart w:id="56" w:name="_Toc9456"/>
      <w:bookmarkStart w:id="57" w:name="_Toc30711"/>
      <w:bookmarkStart w:id="58" w:name="_Toc111121795"/>
      <w:r>
        <w:rPr>
          <w:rFonts w:hint="eastAsia" w:ascii="楷体" w:hAnsi="楷体" w:eastAsia="楷体" w:cs="楷体"/>
          <w:szCs w:val="32"/>
          <w:lang w:val="zh-CN"/>
        </w:rPr>
        <w:t>（三）治理目标</w:t>
      </w:r>
      <w:bookmarkEnd w:id="47"/>
      <w:bookmarkEnd w:id="48"/>
      <w:bookmarkEnd w:id="49"/>
      <w:bookmarkEnd w:id="50"/>
      <w:bookmarkEnd w:id="51"/>
      <w:bookmarkEnd w:id="52"/>
      <w:bookmarkEnd w:id="53"/>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到2</w:t>
      </w:r>
      <w:r>
        <w:rPr>
          <w:rFonts w:ascii="仿宋_GB2312" w:hAnsi="仿宋_GB2312" w:cs="仿宋_GB2312"/>
          <w:szCs w:val="32"/>
          <w:lang w:val="zh-CN"/>
        </w:rPr>
        <w:t>025</w:t>
      </w:r>
      <w:r>
        <w:rPr>
          <w:rFonts w:hint="eastAsia" w:ascii="仿宋_GB2312" w:hAnsi="仿宋_GB2312" w:cs="仿宋_GB2312"/>
          <w:szCs w:val="32"/>
          <w:lang w:val="zh-CN"/>
        </w:rPr>
        <w:t>年，在巩固和保持已有治理成效的基础上，持续开展河湖生态补水</w:t>
      </w:r>
      <w:r>
        <w:rPr>
          <w:rFonts w:hint="eastAsia" w:ascii="仿宋_GB2312" w:hAnsi="仿宋_GB2312" w:cs="仿宋_GB2312"/>
          <w:szCs w:val="32"/>
        </w:rPr>
        <w:t>，水生态环境持续改善;</w:t>
      </w:r>
      <w:r>
        <w:rPr>
          <w:rFonts w:hint="eastAsia" w:ascii="仿宋_GB2312" w:hAnsi="仿宋_GB2312" w:cs="仿宋_GB2312"/>
          <w:szCs w:val="32"/>
          <w:lang w:val="zh-CN"/>
        </w:rPr>
        <w:t>地下水储备区建设取得明显成效，重要泉域得到有效修复；地下水禁止开采区地下水源得到有效置换；水资源刚性约束制度基本建立，地下水利用管控能力进一步提升，地下水水位监测体系更加完善，地下水利用与保护长效机制得到健全。通过各项治理措施的实施，在南水北调正常来水条件下，将地下水开采总量严格控制在</w:t>
      </w:r>
      <w:r>
        <w:rPr>
          <w:rFonts w:ascii="仿宋_GB2312" w:hAnsi="仿宋_GB2312" w:cs="仿宋_GB2312"/>
          <w:szCs w:val="32"/>
          <w:lang w:val="zh-CN"/>
        </w:rPr>
        <w:t>17亿立方米以下，</w:t>
      </w:r>
      <w:r>
        <w:rPr>
          <w:rFonts w:hint="eastAsia" w:ascii="仿宋_GB2312" w:hAnsi="仿宋_GB2312" w:cs="仿宋_GB2312"/>
          <w:szCs w:val="32"/>
          <w:lang w:val="zh-CN"/>
        </w:rPr>
        <w:t>平水年压减地下水开采量</w:t>
      </w:r>
      <w:r>
        <w:rPr>
          <w:rFonts w:hint="eastAsia" w:ascii="仿宋_GB2312" w:hAnsi="仿宋_GB2312" w:cs="仿宋_GB2312"/>
          <w:szCs w:val="32"/>
        </w:rPr>
        <w:t>0.2亿立方米，</w:t>
      </w:r>
      <w:r>
        <w:rPr>
          <w:rFonts w:hint="eastAsia" w:ascii="仿宋_GB2312" w:hAnsi="仿宋_GB2312" w:cs="仿宋_GB2312"/>
          <w:szCs w:val="32"/>
          <w:lang w:val="zh-CN"/>
        </w:rPr>
        <w:t>地下水超采区面积不增加，平原区地下水位上升1米，地下水储量增加5亿立方米。</w:t>
      </w:r>
    </w:p>
    <w:p>
      <w:pPr>
        <w:suppressAutoHyphens/>
        <w:adjustRightInd/>
        <w:snapToGrid/>
        <w:spacing w:line="580" w:lineRule="exact"/>
        <w:ind w:firstLine="640" w:firstLineChars="0"/>
        <w:jc w:val="left"/>
        <w:outlineLvl w:val="0"/>
        <w:rPr>
          <w:rFonts w:ascii="黑体" w:hAnsi="黑体" w:eastAsia="黑体" w:cs="Times New Roman"/>
          <w:szCs w:val="32"/>
        </w:rPr>
      </w:pPr>
      <w:bookmarkStart w:id="59" w:name="_Toc19175"/>
      <w:bookmarkStart w:id="60" w:name="_Toc4913"/>
      <w:bookmarkStart w:id="61" w:name="_Toc871"/>
      <w:bookmarkStart w:id="62" w:name="_Toc25543"/>
      <w:bookmarkStart w:id="63" w:name="_Toc4756"/>
      <w:bookmarkStart w:id="64" w:name="_Toc5055"/>
      <w:bookmarkStart w:id="65" w:name="_Toc123040335"/>
      <w:r>
        <w:rPr>
          <w:rFonts w:hint="eastAsia" w:ascii="黑体" w:hAnsi="黑体" w:eastAsia="黑体" w:cs="Times New Roman"/>
          <w:szCs w:val="32"/>
        </w:rPr>
        <w:t>二、治理</w:t>
      </w:r>
      <w:bookmarkEnd w:id="59"/>
      <w:r>
        <w:rPr>
          <w:rFonts w:hint="eastAsia" w:ascii="黑体" w:hAnsi="黑体" w:eastAsia="黑体" w:cs="Times New Roman"/>
          <w:szCs w:val="32"/>
        </w:rPr>
        <w:t>任务</w:t>
      </w:r>
      <w:bookmarkEnd w:id="60"/>
      <w:bookmarkEnd w:id="61"/>
      <w:bookmarkEnd w:id="62"/>
      <w:bookmarkEnd w:id="63"/>
      <w:bookmarkEnd w:id="64"/>
      <w:bookmarkEnd w:id="65"/>
    </w:p>
    <w:p>
      <w:pPr>
        <w:suppressAutoHyphens/>
        <w:adjustRightInd/>
        <w:snapToGrid/>
        <w:spacing w:line="580" w:lineRule="exact"/>
        <w:ind w:firstLine="640" w:firstLineChars="0"/>
        <w:outlineLvl w:val="1"/>
        <w:rPr>
          <w:rFonts w:ascii="楷体" w:hAnsi="楷体" w:eastAsia="楷体" w:cs="楷体"/>
          <w:lang w:val="zh-CN"/>
        </w:rPr>
      </w:pPr>
      <w:bookmarkStart w:id="66" w:name="_Toc123040336"/>
      <w:r>
        <w:rPr>
          <w:rFonts w:hint="eastAsia" w:ascii="楷体" w:hAnsi="楷体" w:eastAsia="楷体" w:cs="楷体"/>
          <w:szCs w:val="32"/>
          <w:lang w:val="zh-CN"/>
        </w:rPr>
        <w:t>（一）坚持节控优先，强化刚性</w:t>
      </w:r>
      <w:r>
        <w:rPr>
          <w:rFonts w:ascii="楷体" w:hAnsi="楷体" w:eastAsia="楷体" w:cs="楷体"/>
          <w:szCs w:val="32"/>
          <w:lang w:val="zh-CN"/>
        </w:rPr>
        <w:t>约束</w:t>
      </w:r>
      <w:r>
        <w:rPr>
          <w:rFonts w:hint="eastAsia" w:ascii="楷体" w:hAnsi="楷体" w:eastAsia="楷体" w:cs="楷体"/>
          <w:szCs w:val="32"/>
          <w:lang w:val="zh-CN"/>
        </w:rPr>
        <w:t>、实施全面节水</w:t>
      </w:r>
      <w:bookmarkEnd w:id="66"/>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1.加强</w:t>
      </w:r>
      <w:r>
        <w:rPr>
          <w:rFonts w:ascii="仿宋_GB2312" w:hAnsi="仿宋_GB2312" w:cs="仿宋_GB2312"/>
          <w:szCs w:val="32"/>
          <w:lang w:val="zh-CN"/>
        </w:rPr>
        <w:t>水资源刚性约束</w:t>
      </w:r>
      <w:r>
        <w:rPr>
          <w:rFonts w:hint="eastAsia" w:ascii="仿宋_GB2312" w:hAnsi="仿宋_GB2312" w:cs="仿宋_GB2312"/>
          <w:szCs w:val="32"/>
          <w:lang w:val="zh-CN"/>
        </w:rPr>
        <w:t>。将水资源禀赋和承载能力作为经济社会发展的刚性约束条件，以水定城、以水定地、以水定人、以水定产，坚持量水发展，持续推进疏解整治促提升，落实北京市新增产业的禁止和限制目录，推动不符合首都功能定位的一般制造业企业动态调整退出，</w:t>
      </w:r>
      <w:r>
        <w:rPr>
          <w:rFonts w:ascii="仿宋_GB2312" w:hAnsi="仿宋_GB2312" w:cs="仿宋_GB2312"/>
          <w:szCs w:val="32"/>
          <w:lang w:val="zh-CN"/>
        </w:rPr>
        <w:t>2023</w:t>
      </w:r>
      <w:r>
        <w:rPr>
          <w:rFonts w:hint="eastAsia" w:ascii="仿宋_GB2312" w:hAnsi="仿宋_GB2312" w:cs="仿宋_GB2312"/>
          <w:szCs w:val="32"/>
          <w:lang w:val="zh-CN"/>
        </w:rPr>
        <w:t>年疏解退出</w:t>
      </w:r>
      <w:r>
        <w:rPr>
          <w:rFonts w:ascii="仿宋_GB2312" w:hAnsi="仿宋_GB2312" w:cs="仿宋_GB2312"/>
          <w:szCs w:val="32"/>
          <w:lang w:val="zh-CN"/>
        </w:rPr>
        <w:t>34家</w:t>
      </w:r>
      <w:r>
        <w:rPr>
          <w:rFonts w:hint="eastAsia" w:ascii="仿宋_GB2312" w:hAnsi="仿宋_GB2312" w:cs="仿宋_GB2312"/>
          <w:szCs w:val="32"/>
          <w:lang w:val="zh-CN"/>
        </w:rPr>
        <w:t>。优化城乡空间布局和产业结构，严格控制人口规模，落实最严格水资源管理制度。严格生产生活用水总量管控，对纳入取水许可管理的单位和用水量较大的非居民用水户用水实行计划用水管理和定额管理相结合的制度，确保“十四五”期间生产生活用水总量控制在30亿立方米以内。（市</w:t>
      </w:r>
      <w:r>
        <w:rPr>
          <w:rFonts w:ascii="仿宋_GB2312" w:hAnsi="仿宋_GB2312" w:cs="仿宋_GB2312"/>
          <w:szCs w:val="32"/>
          <w:lang w:val="zh-CN"/>
        </w:rPr>
        <w:t>水务局、</w:t>
      </w:r>
      <w:r>
        <w:rPr>
          <w:rFonts w:hint="eastAsia" w:ascii="仿宋_GB2312" w:hAnsi="仿宋_GB2312" w:cs="仿宋_GB2312"/>
          <w:szCs w:val="32"/>
          <w:lang w:val="zh-CN"/>
        </w:rPr>
        <w:t>市发展改革委</w:t>
      </w:r>
      <w:r>
        <w:rPr>
          <w:rFonts w:ascii="仿宋_GB2312" w:hAnsi="仿宋_GB2312" w:cs="仿宋_GB2312"/>
          <w:szCs w:val="32"/>
          <w:lang w:val="zh-CN"/>
        </w:rPr>
        <w:t>、</w:t>
      </w:r>
      <w:r>
        <w:rPr>
          <w:rFonts w:hint="eastAsia" w:ascii="仿宋_GB2312" w:hAnsi="仿宋_GB2312" w:cs="仿宋_GB2312"/>
          <w:szCs w:val="32"/>
          <w:lang w:val="zh-CN"/>
        </w:rPr>
        <w:t>市规划自然资源委、市经济和信息化局、</w:t>
      </w:r>
      <w:r>
        <w:rPr>
          <w:rFonts w:ascii="仿宋_GB2312" w:hAnsi="仿宋_GB2312" w:cs="仿宋_GB2312"/>
          <w:szCs w:val="32"/>
          <w:lang w:val="zh-CN"/>
        </w:rPr>
        <w:t>各区人民政府、北京经济技术开发区管委会</w:t>
      </w:r>
      <w:r>
        <w:rPr>
          <w:rFonts w:hint="eastAsia"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2.</w:t>
      </w:r>
      <w:r>
        <w:rPr>
          <w:rFonts w:hint="eastAsia" w:ascii="仿宋_GB2312" w:hAnsi="仿宋_GB2312" w:cs="仿宋_GB2312"/>
          <w:szCs w:val="32"/>
          <w:lang w:val="zh-CN"/>
        </w:rPr>
        <w:t>实施地下水取水总量和水位控制。结合本市地下水可开采量、地表水水资源状况及国家下达的地下水开采总量控制指标，将地下水年开采量严格控制在1</w:t>
      </w:r>
      <w:r>
        <w:rPr>
          <w:rFonts w:ascii="仿宋_GB2312" w:hAnsi="仿宋_GB2312" w:cs="仿宋_GB2312"/>
          <w:szCs w:val="32"/>
          <w:lang w:val="zh-CN"/>
        </w:rPr>
        <w:t>7</w:t>
      </w:r>
      <w:r>
        <w:rPr>
          <w:rFonts w:hint="eastAsia" w:ascii="仿宋_GB2312" w:hAnsi="仿宋_GB2312" w:cs="仿宋_GB2312"/>
          <w:szCs w:val="32"/>
          <w:lang w:val="zh-CN"/>
        </w:rPr>
        <w:t>亿立方米以下，到2</w:t>
      </w:r>
      <w:r>
        <w:rPr>
          <w:rFonts w:ascii="仿宋_GB2312" w:hAnsi="仿宋_GB2312" w:cs="仿宋_GB2312"/>
          <w:szCs w:val="32"/>
          <w:lang w:val="zh-CN"/>
        </w:rPr>
        <w:t>025</w:t>
      </w:r>
      <w:r>
        <w:rPr>
          <w:rFonts w:hint="eastAsia" w:ascii="仿宋_GB2312" w:hAnsi="仿宋_GB2312" w:cs="仿宋_GB2312"/>
          <w:szCs w:val="32"/>
          <w:lang w:val="zh-CN"/>
        </w:rPr>
        <w:t>年，力争降至</w:t>
      </w:r>
      <w:r>
        <w:rPr>
          <w:rFonts w:ascii="仿宋_GB2312" w:hAnsi="仿宋_GB2312" w:cs="仿宋_GB2312"/>
          <w:szCs w:val="32"/>
          <w:lang w:val="zh-CN"/>
        </w:rPr>
        <w:t>14</w:t>
      </w:r>
      <w:r>
        <w:rPr>
          <w:rFonts w:hint="eastAsia" w:ascii="仿宋_GB2312" w:hAnsi="仿宋_GB2312" w:cs="仿宋_GB2312"/>
          <w:szCs w:val="32"/>
          <w:lang w:val="zh-CN"/>
        </w:rPr>
        <w:t>亿立方米左右。参照各区本年度地下水实际取水量及下一年度地下水取水计划，制定和下达下一年度全市分区地下水取水总量和水位控制指标。各区人民政府严格落实本区地下水取水总量和水位控制要求，严密监控地下水取水总量和水位变化，完善评价与考核机制。（市水务局、各区人民政府、北京经济技术开发区管委会）</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3</w:t>
      </w:r>
      <w:r>
        <w:rPr>
          <w:rFonts w:hint="eastAsia" w:ascii="仿宋_GB2312" w:hAnsi="仿宋_GB2312" w:cs="仿宋_GB2312"/>
          <w:szCs w:val="32"/>
          <w:lang w:val="zh-CN"/>
        </w:rPr>
        <w:t>.推进农业灌溉、畜牧渔业节水增效。依托高标准农田建设，实施高效节水灌溉面积</w:t>
      </w:r>
      <w:r>
        <w:rPr>
          <w:rFonts w:ascii="仿宋_GB2312" w:hAnsi="仿宋_GB2312" w:cs="仿宋_GB2312"/>
          <w:szCs w:val="32"/>
          <w:lang w:val="zh-CN"/>
        </w:rPr>
        <w:t>18</w:t>
      </w:r>
      <w:r>
        <w:rPr>
          <w:rFonts w:hint="eastAsia" w:ascii="仿宋_GB2312" w:hAnsi="仿宋_GB2312" w:cs="仿宋_GB2312"/>
          <w:szCs w:val="32"/>
          <w:lang w:val="zh-CN"/>
        </w:rPr>
        <w:t>万亩，加大滴灌、喷灌等高效节水技术推广力度，实现已建高效节水灌溉设施应用尽用，实施农业用水总量管控，正常年份用水量控制在4.5亿立方米以内，到</w:t>
      </w:r>
      <w:r>
        <w:rPr>
          <w:rFonts w:hint="eastAsia" w:ascii="仿宋_GB2312" w:hAnsi="仿宋_GB2312" w:cs="仿宋_GB2312"/>
          <w:szCs w:val="32"/>
        </w:rPr>
        <w:t>2025年，</w:t>
      </w:r>
      <w:r>
        <w:rPr>
          <w:rFonts w:hint="eastAsia" w:ascii="仿宋_GB2312" w:hAnsi="仿宋_GB2312" w:cs="仿宋_GB2312"/>
          <w:szCs w:val="32"/>
          <w:lang w:val="zh-CN"/>
        </w:rPr>
        <w:t>农田灌溉水有效利用系数达到0.753。进一步巩固农业水价综合改革，健全完善农业用水精准补贴和节水奖励机制。实施规模养殖场节水改造，推行先进适用的节水型畜禽养殖方式，渔业应用池塘工程化循环水等养殖技术，</w:t>
      </w:r>
      <w:r>
        <w:rPr>
          <w:rFonts w:ascii="仿宋_GB2312" w:hAnsi="仿宋_GB2312" w:cs="仿宋_GB2312"/>
          <w:szCs w:val="32"/>
          <w:lang w:val="zh-CN"/>
        </w:rPr>
        <w:t>提高</w:t>
      </w:r>
      <w:r>
        <w:rPr>
          <w:rFonts w:hint="eastAsia" w:ascii="仿宋_GB2312" w:hAnsi="仿宋_GB2312" w:cs="仿宋_GB2312"/>
          <w:szCs w:val="32"/>
          <w:lang w:val="zh-CN"/>
        </w:rPr>
        <w:t>水资源</w:t>
      </w:r>
      <w:r>
        <w:rPr>
          <w:rFonts w:ascii="仿宋_GB2312" w:hAnsi="仿宋_GB2312" w:cs="仿宋_GB2312"/>
          <w:szCs w:val="32"/>
          <w:lang w:val="zh-CN"/>
        </w:rPr>
        <w:t>利用效率</w:t>
      </w:r>
      <w:r>
        <w:rPr>
          <w:rFonts w:hint="eastAsia" w:ascii="仿宋_GB2312" w:hAnsi="仿宋_GB2312" w:cs="仿宋_GB2312"/>
          <w:szCs w:val="32"/>
          <w:lang w:val="zh-CN"/>
        </w:rPr>
        <w:t>。（市农业农村局、市水务局、各有关区人民政府、北京经济技术开发区管委会）</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4.推进园林绿化节水限额。将园林绿化用水计划指标落实到管理单位，配套完善用水计量设施，加快实现用水“全计量”、“全收费”，严控用水计划。园林绿化选用节水耐旱、环境适应能力强的树木、花草品种，采用喷灌、微灌等先进的节水方式灌溉；不具备节水灌溉条件的，采取其他节水措施，并有计划地组织开展节水改造。新增林地绿地节水灌溉面积3019公顷及道路绿化隔离带节水灌溉工程387.5公里。（市园林绿化局、市水务局、各区人民政府、北京经济技术开发区管委会）</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5.加快工业节水减排。优化产业结构，加快产业绿色升级，发展高精尖产业，推动重点行业和重点企业开展水效对标，鼓励实施节水技术改造，“十四五”期间万元工业增加值用水量比</w:t>
      </w:r>
      <w:r>
        <w:rPr>
          <w:rFonts w:ascii="仿宋_GB2312" w:hAnsi="仿宋_GB2312" w:cs="仿宋_GB2312"/>
          <w:szCs w:val="32"/>
          <w:lang w:val="zh-CN"/>
        </w:rPr>
        <w:t>2020年下降10%以上</w:t>
      </w:r>
      <w:r>
        <w:rPr>
          <w:rFonts w:hint="eastAsia" w:ascii="仿宋_GB2312" w:hAnsi="仿宋_GB2312" w:cs="仿宋_GB2312"/>
          <w:szCs w:val="32"/>
          <w:lang w:val="zh-CN"/>
        </w:rPr>
        <w:t>。完善工业用水定额标准体系，组织企业开展取用水达标测算工作，鼓励企业对标先进提质改造。聚焦重点企业，推行水循环梯级利用，规模以上工业用水重复利用率保持95%以上。（市经济和信息化局、市水务局、各有关区人民政府、北京经济技术开发区管委会）</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6</w:t>
      </w:r>
      <w:r>
        <w:rPr>
          <w:rFonts w:hint="eastAsia" w:ascii="仿宋_GB2312" w:hAnsi="仿宋_GB2312" w:cs="仿宋_GB2312"/>
          <w:szCs w:val="32"/>
          <w:lang w:val="zh-CN"/>
        </w:rPr>
        <w:t>.大力推进服务业节水挖潜。服务业单位应当制定并落实节水措施，按照规定安装、使用循环用水设施。公共机构带头开展节水型单位建设，提升高效节水器具，加强节水宣传，提高用水效率。到2025年，中央国家机关所属在京公共机构及市区两级党政机关全部建成节水型单位，80%普通高等学校建成节水型高校。</w:t>
      </w:r>
      <w:r>
        <w:rPr>
          <w:rFonts w:ascii="仿宋_GB2312" w:hAnsi="仿宋_GB2312" w:cs="仿宋_GB2312"/>
          <w:szCs w:val="32"/>
          <w:lang w:val="zh-CN"/>
        </w:rPr>
        <w:t>严格限制高耗水服务业发展，对存量不再增加</w:t>
      </w:r>
      <w:r>
        <w:rPr>
          <w:rFonts w:hint="eastAsia" w:ascii="仿宋_GB2312" w:hAnsi="仿宋_GB2312" w:cs="仿宋_GB2312"/>
          <w:szCs w:val="32"/>
          <w:lang w:val="zh-CN"/>
        </w:rPr>
        <w:t>常规</w:t>
      </w:r>
      <w:r>
        <w:rPr>
          <w:rFonts w:ascii="仿宋_GB2312" w:hAnsi="仿宋_GB2312" w:cs="仿宋_GB2312"/>
          <w:szCs w:val="32"/>
          <w:lang w:val="zh-CN"/>
        </w:rPr>
        <w:t>水用水计划。</w:t>
      </w:r>
      <w:r>
        <w:rPr>
          <w:rFonts w:hint="eastAsia" w:ascii="仿宋_GB2312" w:hAnsi="仿宋_GB2312" w:cs="仿宋_GB2312"/>
          <w:szCs w:val="32"/>
          <w:lang w:val="zh-CN"/>
        </w:rPr>
        <w:t>严格监管洗车业、高尔夫球场、高档洗浴业、人造滑雪场等特殊行业取用地下水，落实计划用水管理和定额管理，执行特殊行业水价。推动洗车业、高尔夫球场等加大非常规水源利用占比，推广循环用水新技术、新工艺、新设备。（各区人民政府、北京经济技术开发区管委会、市水务局）</w:t>
      </w:r>
    </w:p>
    <w:p>
      <w:pPr>
        <w:suppressAutoHyphens/>
        <w:adjustRightInd/>
        <w:snapToGrid/>
        <w:spacing w:line="580" w:lineRule="exact"/>
        <w:ind w:firstLine="640" w:firstLineChars="0"/>
        <w:outlineLvl w:val="1"/>
        <w:rPr>
          <w:rFonts w:ascii="楷体" w:hAnsi="楷体" w:eastAsia="楷体" w:cs="楷体"/>
          <w:szCs w:val="32"/>
          <w:lang w:val="zh-CN"/>
        </w:rPr>
      </w:pPr>
      <w:bookmarkStart w:id="67" w:name="_Toc123040337"/>
      <w:r>
        <w:rPr>
          <w:rFonts w:hint="eastAsia" w:ascii="楷体" w:hAnsi="楷体" w:eastAsia="楷体" w:cs="楷体"/>
          <w:szCs w:val="32"/>
          <w:lang w:val="zh-CN"/>
        </w:rPr>
        <w:t>（二）坚持增调优配，争取增加外调水、优化配置水资源</w:t>
      </w:r>
      <w:bookmarkEnd w:id="67"/>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7.稳定并适时增加南水北调中线水与引黄水。构建南水北调水、本地地表水、地下水、再生水等多源共济的水源体系，提升首都水安全保障。大力推进南水北调后续工程高质量发展，</w:t>
      </w:r>
      <w:r>
        <w:rPr>
          <w:rFonts w:hint="eastAsia" w:ascii="仿宋_GB2312" w:hAnsi="仿宋_GB2312" w:cs="仿宋_GB2312"/>
          <w:szCs w:val="32"/>
          <w:lang w:val="zh-CN"/>
        </w:rPr>
        <w:t>优化工程布局，确保南水调得进、配得出、用得好，</w:t>
      </w:r>
      <w:r>
        <w:rPr>
          <w:rFonts w:ascii="仿宋_GB2312" w:hAnsi="仿宋_GB2312" w:cs="仿宋_GB2312"/>
          <w:szCs w:val="32"/>
          <w:lang w:val="zh-CN"/>
        </w:rPr>
        <w:t>提升供水效率和效益。</w:t>
      </w:r>
      <w:r>
        <w:rPr>
          <w:rFonts w:hint="eastAsia" w:ascii="仿宋_GB2312" w:hAnsi="仿宋_GB2312" w:cs="仿宋_GB2312"/>
          <w:szCs w:val="32"/>
          <w:lang w:val="zh-CN"/>
        </w:rPr>
        <w:t>争取</w:t>
      </w:r>
      <w:r>
        <w:rPr>
          <w:rFonts w:ascii="仿宋_GB2312" w:hAnsi="仿宋_GB2312" w:cs="仿宋_GB2312"/>
          <w:szCs w:val="32"/>
          <w:lang w:val="zh-CN"/>
        </w:rPr>
        <w:t>稳定南水北调进京水量</w:t>
      </w:r>
      <w:r>
        <w:rPr>
          <w:rFonts w:hint="eastAsia" w:ascii="仿宋_GB2312" w:hAnsi="仿宋_GB2312" w:cs="仿宋_GB2312"/>
          <w:szCs w:val="32"/>
          <w:lang w:val="zh-CN"/>
        </w:rPr>
        <w:t>1</w:t>
      </w:r>
      <w:r>
        <w:rPr>
          <w:rFonts w:ascii="仿宋_GB2312" w:hAnsi="仿宋_GB2312" w:cs="仿宋_GB2312"/>
          <w:szCs w:val="32"/>
          <w:lang w:val="zh-CN"/>
        </w:rPr>
        <w:t>0</w:t>
      </w:r>
      <w:r>
        <w:rPr>
          <w:rFonts w:hint="eastAsia" w:ascii="仿宋_GB2312" w:hAnsi="仿宋_GB2312" w:cs="仿宋_GB2312"/>
          <w:szCs w:val="32"/>
          <w:lang w:val="zh-CN"/>
        </w:rPr>
        <w:t>亿立方米以上，</w:t>
      </w:r>
      <w:r>
        <w:rPr>
          <w:rFonts w:ascii="仿宋_GB2312" w:hAnsi="仿宋_GB2312" w:cs="仿宋_GB2312"/>
          <w:szCs w:val="32"/>
          <w:lang w:val="zh-CN"/>
        </w:rPr>
        <w:t>适时推进南水北调中线扩能，增加南水北调中线调水量，提升中线水对首都保障能力</w:t>
      </w:r>
      <w:r>
        <w:rPr>
          <w:rFonts w:hint="eastAsia" w:ascii="仿宋_GB2312" w:hAnsi="仿宋_GB2312" w:cs="仿宋_GB2312"/>
          <w:szCs w:val="32"/>
          <w:lang w:val="zh-CN"/>
        </w:rPr>
        <w:t>；积极争取增加引黄入京水量。</w:t>
      </w:r>
      <w:r>
        <w:rPr>
          <w:rFonts w:ascii="仿宋_GB2312" w:hAnsi="仿宋_GB2312" w:cs="仿宋_GB2312"/>
          <w:szCs w:val="32"/>
          <w:lang w:val="zh-CN"/>
        </w:rPr>
        <w:t>（市水务局、各有关区人民政府）</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8</w:t>
      </w:r>
      <w:r>
        <w:rPr>
          <w:rFonts w:hint="eastAsia" w:ascii="仿宋_GB2312" w:hAnsi="仿宋_GB2312" w:cs="仿宋_GB2312"/>
          <w:szCs w:val="32"/>
          <w:lang w:val="zh-CN"/>
        </w:rPr>
        <w:t>.加快地表水厂和配套供水设施建设。打通地表水厂输配通道和水资源调配工程卡口、堵点，</w:t>
      </w:r>
      <w:r>
        <w:rPr>
          <w:rFonts w:ascii="仿宋_GB2312" w:hAnsi="仿宋_GB2312" w:cs="仿宋_GB2312"/>
          <w:szCs w:val="32"/>
          <w:lang w:val="zh-CN"/>
        </w:rPr>
        <w:t>扩大</w:t>
      </w:r>
      <w:r>
        <w:rPr>
          <w:rFonts w:hint="eastAsia" w:ascii="仿宋_GB2312" w:hAnsi="仿宋_GB2312" w:cs="仿宋_GB2312"/>
          <w:szCs w:val="32"/>
          <w:lang w:val="zh-CN"/>
        </w:rPr>
        <w:t>公共供水</w:t>
      </w:r>
      <w:r>
        <w:rPr>
          <w:rFonts w:ascii="仿宋_GB2312" w:hAnsi="仿宋_GB2312" w:cs="仿宋_GB2312"/>
          <w:szCs w:val="32"/>
          <w:lang w:val="zh-CN"/>
        </w:rPr>
        <w:t>管网</w:t>
      </w:r>
      <w:r>
        <w:rPr>
          <w:rFonts w:hint="eastAsia" w:ascii="仿宋_GB2312" w:hAnsi="仿宋_GB2312" w:cs="仿宋_GB2312"/>
          <w:szCs w:val="32"/>
          <w:lang w:val="zh-CN"/>
        </w:rPr>
        <w:t>覆盖</w:t>
      </w:r>
      <w:r>
        <w:rPr>
          <w:rFonts w:ascii="仿宋_GB2312" w:hAnsi="仿宋_GB2312" w:cs="仿宋_GB2312"/>
          <w:szCs w:val="32"/>
          <w:lang w:val="zh-CN"/>
        </w:rPr>
        <w:t>范围</w:t>
      </w:r>
      <w:r>
        <w:rPr>
          <w:rFonts w:hint="eastAsia" w:ascii="仿宋_GB2312" w:hAnsi="仿宋_GB2312" w:cs="仿宋_GB2312"/>
          <w:szCs w:val="32"/>
          <w:lang w:val="zh-CN"/>
        </w:rPr>
        <w:t>。</w:t>
      </w:r>
      <w:r>
        <w:rPr>
          <w:rFonts w:hint="eastAsia" w:ascii="仿宋_GB2312" w:hAnsi="仿宋_GB2312" w:cs="仿宋_GB2312"/>
          <w:szCs w:val="32"/>
        </w:rPr>
        <w:t>到2025年，</w:t>
      </w:r>
      <w:r>
        <w:rPr>
          <w:rFonts w:hint="eastAsia" w:ascii="仿宋_GB2312" w:hAnsi="仿宋_GB2312" w:cs="仿宋_GB2312"/>
          <w:szCs w:val="32"/>
          <w:lang w:val="zh-CN"/>
        </w:rPr>
        <w:t>全市总供水能力</w:t>
      </w:r>
      <w:r>
        <w:rPr>
          <w:rFonts w:hint="eastAsia" w:ascii="仿宋_GB2312" w:hAnsi="仿宋_GB2312" w:cs="仿宋_GB2312"/>
          <w:szCs w:val="32"/>
        </w:rPr>
        <w:t>提高</w:t>
      </w:r>
      <w:r>
        <w:rPr>
          <w:rFonts w:hint="eastAsia" w:ascii="仿宋_GB2312" w:hAnsi="仿宋_GB2312" w:cs="仿宋_GB2312"/>
          <w:szCs w:val="32"/>
          <w:lang w:val="zh-CN"/>
        </w:rPr>
        <w:t>到1000万立方米/日以上，城镇供水管网漏损率力争下降到</w:t>
      </w:r>
      <w:r>
        <w:rPr>
          <w:rFonts w:ascii="仿宋_GB2312" w:hAnsi="仿宋_GB2312" w:cs="仿宋_GB2312"/>
          <w:szCs w:val="32"/>
          <w:lang w:val="zh-CN"/>
        </w:rPr>
        <w:t>8%</w:t>
      </w:r>
      <w:r>
        <w:rPr>
          <w:rFonts w:hint="eastAsia" w:ascii="仿宋_GB2312" w:hAnsi="仿宋_GB2312" w:cs="仿宋_GB2312"/>
          <w:szCs w:val="32"/>
          <w:lang w:val="zh-CN"/>
        </w:rPr>
        <w:t>，有效提升地下水源置换能力。</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完善中心城区“一环、两脉、九厂、多点”的输水和供水设施布局，建成温泉水厂、丰台河西第二水厂、丰台河西第三水厂，新增供水能力</w:t>
      </w:r>
      <w:r>
        <w:rPr>
          <w:rFonts w:hint="eastAsia" w:ascii="仿宋_GB2312" w:hAnsi="仿宋_GB2312" w:cs="仿宋_GB2312"/>
          <w:szCs w:val="32"/>
        </w:rPr>
        <w:t>35万立方米/日，新建（改建）供水管线110公里，完成300公里老旧供水管线消隐改造。</w:t>
      </w:r>
      <w:r>
        <w:rPr>
          <w:rFonts w:hint="eastAsia" w:ascii="仿宋_GB2312" w:hAnsi="仿宋_GB2312" w:cs="仿宋_GB2312"/>
          <w:szCs w:val="32"/>
          <w:lang w:val="zh-CN"/>
        </w:rPr>
        <w:t>加快构建城市副中心及拓展区供水设施体系，建成南水北调通州水厂（二期），新增供水能力</w:t>
      </w:r>
      <w:r>
        <w:rPr>
          <w:rFonts w:hint="eastAsia" w:ascii="仿宋_GB2312" w:hAnsi="仿宋_GB2312" w:cs="仿宋_GB2312"/>
          <w:szCs w:val="32"/>
        </w:rPr>
        <w:t>20万立方米/日，新建（改建）供水管线130公里。加快完善其他新城地区供水设施体系，建成昌平地表水厂、门城水厂，推进大兴国际机场水厂建设，新增供水能力25万立方米/日，新建（改建）270公里供水管线。优化提升农村地区供水设施体系，加快推进门头沟区军庄镇供水厂和落坡岭供水厂、房山河北镇供水厂、顺义区杨镇供水厂和龙湾屯镇供水厂、昌平响潭供水厂和兴寿水厂、怀柔区地表水厂、密云区不老屯镇供水厂和巨各庄镇供水厂及新城子镇地表水厂、延庆区平原地表水厂（二期）建设，分批实施300个村供水站及配套管网标准化改造。</w:t>
      </w:r>
      <w:r>
        <w:rPr>
          <w:rFonts w:hint="eastAsia" w:ascii="仿宋_GB2312" w:hAnsi="仿宋_GB2312" w:cs="仿宋_GB2312"/>
          <w:szCs w:val="32"/>
          <w:lang w:val="zh-CN"/>
        </w:rPr>
        <w:t>（市水务局、市发展改革委</w:t>
      </w:r>
      <w:r>
        <w:rPr>
          <w:rFonts w:ascii="仿宋_GB2312" w:hAnsi="仿宋_GB2312" w:cs="仿宋_GB2312"/>
          <w:szCs w:val="32"/>
          <w:lang w:val="zh-CN"/>
        </w:rPr>
        <w:t>、市财政局、</w:t>
      </w:r>
      <w:r>
        <w:rPr>
          <w:rFonts w:hint="eastAsia" w:ascii="仿宋_GB2312" w:hAnsi="仿宋_GB2312" w:cs="仿宋_GB2312"/>
          <w:szCs w:val="32"/>
          <w:lang w:val="zh-CN"/>
        </w:rPr>
        <w:t>各有关区人民政府）</w:t>
      </w:r>
    </w:p>
    <w:p>
      <w:pPr>
        <w:ind w:firstLine="640"/>
        <w:rPr>
          <w:rFonts w:ascii="仿宋_GB2312" w:hAnsi="仿宋_GB2312" w:cs="仿宋_GB2312"/>
          <w:szCs w:val="32"/>
          <w:lang w:val="zh-CN"/>
        </w:rPr>
      </w:pPr>
      <w:r>
        <w:rPr>
          <w:rFonts w:ascii="仿宋_GB2312" w:hAnsi="仿宋_GB2312" w:cs="仿宋_GB2312"/>
          <w:szCs w:val="32"/>
          <w:lang w:val="zh-CN"/>
        </w:rPr>
        <w:t>9</w:t>
      </w:r>
      <w:r>
        <w:rPr>
          <w:rFonts w:hint="eastAsia" w:ascii="仿宋_GB2312" w:hAnsi="仿宋_GB2312" w:cs="仿宋_GB2312"/>
          <w:szCs w:val="32"/>
          <w:lang w:val="zh-CN"/>
        </w:rPr>
        <w:t>.推进地下水源置换。按照先外调水后本地水、先地表水后地下水的原则，加大对地下水源的置换力度。完成</w:t>
      </w:r>
      <w:r>
        <w:rPr>
          <w:rFonts w:ascii="仿宋_GB2312" w:hAnsi="仿宋_GB2312" w:cs="仿宋_GB2312"/>
          <w:szCs w:val="32"/>
          <w:lang w:val="zh-CN"/>
        </w:rPr>
        <w:t>6</w:t>
      </w:r>
      <w:r>
        <w:rPr>
          <w:rFonts w:hint="eastAsia" w:ascii="仿宋_GB2312" w:hAnsi="仿宋_GB2312" w:cs="仿宋_GB2312"/>
          <w:szCs w:val="32"/>
        </w:rPr>
        <w:t>0</w:t>
      </w:r>
      <w:r>
        <w:rPr>
          <w:rFonts w:ascii="仿宋_GB2312" w:hAnsi="仿宋_GB2312" w:cs="仿宋_GB2312"/>
          <w:szCs w:val="32"/>
          <w:lang w:val="zh-CN"/>
        </w:rPr>
        <w:t>个自建设施供水</w:t>
      </w:r>
      <w:r>
        <w:rPr>
          <w:rFonts w:hint="eastAsia" w:ascii="仿宋_GB2312" w:hAnsi="仿宋_GB2312" w:cs="仿宋_GB2312"/>
          <w:szCs w:val="32"/>
          <w:lang w:val="zh-CN"/>
        </w:rPr>
        <w:t>住宅小区</w:t>
      </w:r>
      <w:r>
        <w:rPr>
          <w:rFonts w:ascii="仿宋_GB2312" w:hAnsi="仿宋_GB2312" w:cs="仿宋_GB2312"/>
          <w:szCs w:val="32"/>
          <w:lang w:val="zh-CN"/>
        </w:rPr>
        <w:t>（</w:t>
      </w:r>
      <w:r>
        <w:rPr>
          <w:rFonts w:hint="eastAsia" w:ascii="仿宋_GB2312" w:hAnsi="仿宋_GB2312" w:cs="仿宋_GB2312"/>
          <w:szCs w:val="32"/>
          <w:lang w:val="zh-CN"/>
        </w:rPr>
        <w:t>社会单位</w:t>
      </w:r>
      <w:r>
        <w:rPr>
          <w:rFonts w:ascii="仿宋_GB2312" w:hAnsi="仿宋_GB2312" w:cs="仿宋_GB2312"/>
          <w:szCs w:val="32"/>
          <w:lang w:val="zh-CN"/>
        </w:rPr>
        <w:t>）置换，</w:t>
      </w:r>
      <w:r>
        <w:rPr>
          <w:rFonts w:hint="eastAsia" w:ascii="仿宋_GB2312" w:hAnsi="仿宋_GB2312" w:cs="仿宋_GB2312"/>
          <w:szCs w:val="32"/>
          <w:lang w:val="zh-CN"/>
        </w:rPr>
        <w:t>采取“城带村”方式</w:t>
      </w:r>
      <w:r>
        <w:rPr>
          <w:rFonts w:hint="eastAsia" w:ascii="仿宋_GB2312" w:hAnsi="仿宋_GB2312" w:cs="仿宋_GB2312"/>
          <w:szCs w:val="32"/>
        </w:rPr>
        <w:t>将</w:t>
      </w:r>
      <w:r>
        <w:rPr>
          <w:rFonts w:hint="eastAsia" w:ascii="仿宋_GB2312" w:hAnsi="仿宋_GB2312" w:cs="仿宋_GB2312"/>
          <w:szCs w:val="32"/>
          <w:lang w:val="zh-CN"/>
        </w:rPr>
        <w:t>临近公共供水管网周边</w:t>
      </w:r>
      <w:r>
        <w:rPr>
          <w:rFonts w:hint="eastAsia" w:ascii="仿宋_GB2312" w:hAnsi="仿宋_GB2312" w:cs="仿宋_GB2312"/>
          <w:szCs w:val="32"/>
        </w:rPr>
        <w:t>不少于60个</w:t>
      </w:r>
      <w:r>
        <w:rPr>
          <w:rFonts w:hint="eastAsia" w:ascii="仿宋_GB2312" w:hAnsi="仿宋_GB2312" w:cs="仿宋_GB2312"/>
          <w:szCs w:val="32"/>
          <w:lang w:val="zh-CN"/>
        </w:rPr>
        <w:t>村庄纳入覆盖范围。加快推进南水北调水、地表水、公共管网水等置换地下水严重超采区、禁止开采区范围内地下水源，</w:t>
      </w:r>
      <w:r>
        <w:rPr>
          <w:rFonts w:hint="eastAsia" w:cs="仿宋_GB2312"/>
          <w:spacing w:val="-6"/>
          <w:szCs w:val="32"/>
        </w:rPr>
        <w:t>减少“三山五园”和白浮泉等重要区域地下水开采</w:t>
      </w:r>
      <w:r>
        <w:rPr>
          <w:rFonts w:hint="eastAsia" w:ascii="仿宋_GB2312" w:hAnsi="仿宋_GB2312" w:cs="仿宋_GB2312"/>
          <w:szCs w:val="32"/>
          <w:lang w:val="zh-CN"/>
        </w:rPr>
        <w:t>。</w:t>
      </w:r>
    </w:p>
    <w:p>
      <w:pPr>
        <w:ind w:firstLine="640"/>
        <w:rPr>
          <w:rFonts w:ascii="仿宋_GB2312" w:hAnsi="仿宋_GB2312" w:cs="仿宋_GB2312"/>
          <w:szCs w:val="32"/>
          <w:lang w:val="zh-CN"/>
        </w:rPr>
      </w:pPr>
      <w:r>
        <w:rPr>
          <w:rFonts w:hint="eastAsia" w:ascii="仿宋_GB2312" w:hAnsi="仿宋_GB2312" w:cs="仿宋_GB2312"/>
          <w:szCs w:val="32"/>
          <w:lang w:val="zh-CN"/>
        </w:rPr>
        <w:t>结合高标准农田建设，探索实施地下水分层分类合理利用，开展农业灌溉水源置换。在浅层机井水量能满足农业生产需要的情况下，逐步推动100米以深的农业灌溉机井置换更新成浅层机井，减少100米以深地下水农业灌溉开采。地下水禁止开采区和严重超采区的农田实施雨养旱作，鼓励因地制宜建设集雨池、新型水窖等雨水利用设施，充分利用雨洪水补充农业灌溉，加快退出禁止开采区内机井。（各有关区人民政府、北京经济技术开发区管委会、市水务局、市农业农村局）</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10</w:t>
      </w:r>
      <w:r>
        <w:rPr>
          <w:rFonts w:hint="eastAsia" w:ascii="仿宋_GB2312" w:hAnsi="仿宋_GB2312" w:cs="仿宋_GB2312"/>
          <w:szCs w:val="32"/>
          <w:lang w:val="zh-CN"/>
        </w:rPr>
        <w:t>.大力推进非常规水资源利用。加快</w:t>
      </w:r>
      <w:r>
        <w:rPr>
          <w:rFonts w:ascii="仿宋_GB2312" w:hAnsi="仿宋_GB2312" w:cs="仿宋_GB2312"/>
          <w:szCs w:val="32"/>
          <w:lang w:val="zh-CN"/>
        </w:rPr>
        <w:t>再生水输配</w:t>
      </w:r>
      <w:r>
        <w:rPr>
          <w:rFonts w:hint="eastAsia" w:ascii="仿宋_GB2312" w:hAnsi="仿宋_GB2312" w:cs="仿宋_GB2312"/>
          <w:szCs w:val="32"/>
          <w:lang w:val="zh-CN"/>
        </w:rPr>
        <w:t>工程建设，新建再生水管线170公里，具备再生水接入条件的区域，景观环境、道路清扫和冲厕等杂用水，优先使用再生水。扩大无水河湖生态补水，新增再生水补水河道1</w:t>
      </w:r>
      <w:r>
        <w:rPr>
          <w:rFonts w:ascii="仿宋_GB2312" w:hAnsi="仿宋_GB2312" w:cs="仿宋_GB2312"/>
          <w:szCs w:val="32"/>
          <w:lang w:val="zh-CN"/>
        </w:rPr>
        <w:t>7</w:t>
      </w:r>
      <w:r>
        <w:rPr>
          <w:rFonts w:hint="eastAsia" w:ascii="仿宋_GB2312" w:hAnsi="仿宋_GB2312" w:cs="仿宋_GB2312"/>
          <w:szCs w:val="32"/>
          <w:lang w:val="zh-CN"/>
        </w:rPr>
        <w:t>条、补水河长</w:t>
      </w:r>
      <w:r>
        <w:rPr>
          <w:rFonts w:hint="eastAsia" w:ascii="仿宋_GB2312" w:hAnsi="仿宋_GB2312" w:cs="仿宋_GB2312"/>
          <w:szCs w:val="32"/>
        </w:rPr>
        <w:t>55公里，</w:t>
      </w:r>
      <w:r>
        <w:rPr>
          <w:rFonts w:hint="eastAsia" w:ascii="仿宋_GB2312" w:hAnsi="仿宋_GB2312" w:cs="仿宋_GB2312"/>
          <w:szCs w:val="32"/>
          <w:lang w:val="zh-CN"/>
        </w:rPr>
        <w:t>新增再生水补水能力</w:t>
      </w:r>
      <w:r>
        <w:rPr>
          <w:rFonts w:ascii="仿宋_GB2312" w:hAnsi="仿宋_GB2312" w:cs="仿宋_GB2312"/>
          <w:szCs w:val="32"/>
          <w:lang w:val="zh-CN"/>
        </w:rPr>
        <w:t>1</w:t>
      </w:r>
      <w:r>
        <w:rPr>
          <w:rFonts w:hint="eastAsia" w:ascii="仿宋_GB2312" w:hAnsi="仿宋_GB2312" w:cs="仿宋_GB2312"/>
          <w:szCs w:val="32"/>
          <w:lang w:val="zh-CN"/>
        </w:rPr>
        <w:t>亿立方米。新增园林绿化再生水利用能力</w:t>
      </w:r>
      <w:r>
        <w:rPr>
          <w:rFonts w:hint="eastAsia" w:ascii="仿宋_GB2312" w:hAnsi="仿宋_GB2312" w:cs="仿宋_GB2312"/>
          <w:szCs w:val="32"/>
        </w:rPr>
        <w:t>1500</w:t>
      </w:r>
      <w:r>
        <w:rPr>
          <w:rFonts w:hint="eastAsia" w:ascii="仿宋_GB2312" w:hAnsi="仿宋_GB2312" w:cs="仿宋_GB2312"/>
          <w:szCs w:val="32"/>
          <w:lang w:val="zh-CN"/>
        </w:rPr>
        <w:t>万立方米，新增工业用户再生水利用能力2</w:t>
      </w:r>
      <w:r>
        <w:rPr>
          <w:rFonts w:ascii="仿宋_GB2312" w:hAnsi="仿宋_GB2312" w:cs="仿宋_GB2312"/>
          <w:szCs w:val="32"/>
          <w:lang w:val="zh-CN"/>
        </w:rPr>
        <w:t>6</w:t>
      </w:r>
      <w:r>
        <w:rPr>
          <w:rFonts w:hint="eastAsia" w:ascii="仿宋_GB2312" w:hAnsi="仿宋_GB2312" w:cs="仿宋_GB2312"/>
          <w:szCs w:val="32"/>
          <w:lang w:val="zh-CN"/>
        </w:rPr>
        <w:t>00万立方米，新增环卫和居民小区用户再生水利用能力</w:t>
      </w:r>
      <w:r>
        <w:rPr>
          <w:rFonts w:ascii="仿宋_GB2312" w:hAnsi="仿宋_GB2312" w:cs="仿宋_GB2312"/>
          <w:szCs w:val="32"/>
          <w:lang w:val="zh-CN"/>
        </w:rPr>
        <w:t>6</w:t>
      </w:r>
      <w:r>
        <w:rPr>
          <w:rFonts w:hint="eastAsia" w:ascii="仿宋_GB2312" w:hAnsi="仿宋_GB2312" w:cs="仿宋_GB2312"/>
          <w:szCs w:val="32"/>
          <w:lang w:val="zh-CN"/>
        </w:rPr>
        <w:t>00万立方米。推动园林绿化逐步退出自来水和地下水灌溉，实施中心城区及一道绿隔离地区园林绿化再生水置换工程，扩大再生水园林绿化利用面积</w:t>
      </w:r>
      <w:r>
        <w:rPr>
          <w:rFonts w:hint="eastAsia" w:ascii="仿宋_GB2312" w:hAnsi="仿宋_GB2312" w:cs="仿宋_GB2312"/>
          <w:szCs w:val="32"/>
        </w:rPr>
        <w:t>1200万平方米，新增再生水利用能力1000万立方米。完善城市副中心及拓展区和其他各区再生水管网，新增园林绿化再生水利用能力100万立方米。加大雨洪水利用力度，促进新水资源节约，提高园林绿化雨洪水利用比例。</w:t>
      </w:r>
      <w:r>
        <w:rPr>
          <w:rFonts w:hint="eastAsia"/>
        </w:rPr>
        <w:t>到</w:t>
      </w:r>
      <w:r>
        <w:t>2025</w:t>
      </w:r>
      <w:r>
        <w:rPr>
          <w:rFonts w:hint="eastAsia"/>
        </w:rPr>
        <w:t>年，再生水等非常规水配置利用总</w:t>
      </w:r>
      <w:r>
        <w:rPr>
          <w:rFonts w:hint="eastAsia" w:ascii="仿宋_GB2312" w:hAnsi="仿宋_GB2312" w:cs="仿宋_GB2312"/>
          <w:szCs w:val="32"/>
        </w:rPr>
        <w:t>量超过12亿</w:t>
      </w:r>
      <w:r>
        <w:rPr>
          <w:rFonts w:hint="eastAsia"/>
        </w:rPr>
        <w:t>立方米。</w:t>
      </w:r>
      <w:r>
        <w:rPr>
          <w:rFonts w:hint="eastAsia" w:ascii="仿宋_GB2312" w:hAnsi="仿宋_GB2312" w:cs="仿宋_GB2312"/>
          <w:szCs w:val="32"/>
          <w:lang w:val="zh-CN"/>
        </w:rPr>
        <w:t>（各有关区人民政府、市园林绿化局、市水务局）</w:t>
      </w:r>
    </w:p>
    <w:p>
      <w:pPr>
        <w:suppressAutoHyphens/>
        <w:adjustRightInd/>
        <w:snapToGrid/>
        <w:spacing w:line="580" w:lineRule="exact"/>
        <w:ind w:firstLine="640" w:firstLineChars="0"/>
        <w:outlineLvl w:val="1"/>
        <w:rPr>
          <w:rFonts w:ascii="楷体" w:hAnsi="楷体" w:eastAsia="楷体" w:cs="楷体"/>
          <w:szCs w:val="32"/>
          <w:lang w:val="zh-CN"/>
        </w:rPr>
      </w:pPr>
      <w:bookmarkStart w:id="68" w:name="_Toc123040338"/>
      <w:r>
        <w:rPr>
          <w:rFonts w:hint="eastAsia" w:ascii="楷体" w:hAnsi="楷体" w:eastAsia="楷体" w:cs="楷体"/>
          <w:szCs w:val="32"/>
          <w:lang w:val="zh-CN"/>
        </w:rPr>
        <w:t>（三）坚持增补扩储，实施生态补水、提升地下水储备</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rPr>
        <w:t>1</w:t>
      </w:r>
      <w:r>
        <w:rPr>
          <w:rFonts w:ascii="仿宋_GB2312" w:hAnsi="仿宋_GB2312" w:cs="仿宋_GB2312"/>
          <w:szCs w:val="32"/>
          <w:lang w:val="zh-CN"/>
        </w:rPr>
        <w:t>.</w:t>
      </w:r>
      <w:r>
        <w:rPr>
          <w:rFonts w:hint="eastAsia" w:ascii="仿宋_GB2312" w:hAnsi="仿宋_GB2312" w:cs="仿宋_GB2312"/>
          <w:szCs w:val="32"/>
          <w:lang w:val="zh-CN"/>
        </w:rPr>
        <w:t>强化</w:t>
      </w:r>
      <w:r>
        <w:rPr>
          <w:rFonts w:ascii="仿宋_GB2312" w:hAnsi="仿宋_GB2312" w:cs="仿宋_GB2312"/>
          <w:szCs w:val="32"/>
          <w:lang w:val="zh-CN"/>
        </w:rPr>
        <w:t>河湖生态空间整治</w:t>
      </w:r>
      <w:r>
        <w:rPr>
          <w:rFonts w:hint="eastAsia" w:ascii="仿宋_GB2312" w:hAnsi="仿宋_GB2312" w:cs="仿宋_GB2312"/>
          <w:szCs w:val="32"/>
          <w:lang w:val="zh-CN"/>
        </w:rPr>
        <w:t>。编制重要河湖水生态空间管控规划，完善水生态空间管控边界划定成果。</w:t>
      </w:r>
      <w:r>
        <w:rPr>
          <w:rFonts w:hint="eastAsia"/>
          <w:szCs w:val="32"/>
        </w:rPr>
        <w:t>采取措施保持水量入渗补给通道通畅，</w:t>
      </w:r>
      <w:r>
        <w:rPr>
          <w:rFonts w:hint="eastAsia" w:ascii="仿宋_GB2312" w:hAnsi="仿宋_GB2312" w:cs="仿宋_GB2312"/>
          <w:szCs w:val="32"/>
          <w:lang w:val="zh-CN"/>
        </w:rPr>
        <w:t>深入</w:t>
      </w:r>
      <w:r>
        <w:rPr>
          <w:rFonts w:ascii="仿宋_GB2312" w:hAnsi="仿宋_GB2312" w:cs="仿宋_GB2312"/>
          <w:szCs w:val="32"/>
          <w:lang w:val="zh-CN"/>
        </w:rPr>
        <w:t>推进河湖“</w:t>
      </w:r>
      <w:r>
        <w:rPr>
          <w:rFonts w:hint="eastAsia" w:ascii="仿宋_GB2312" w:hAnsi="仿宋_GB2312" w:cs="仿宋_GB2312"/>
          <w:szCs w:val="32"/>
          <w:lang w:val="zh-CN"/>
        </w:rPr>
        <w:t>清四乱</w:t>
      </w:r>
      <w:r>
        <w:rPr>
          <w:rFonts w:ascii="仿宋_GB2312" w:hAnsi="仿宋_GB2312" w:cs="仿宋_GB2312"/>
          <w:szCs w:val="32"/>
          <w:lang w:val="zh-CN"/>
        </w:rPr>
        <w:t>”</w:t>
      </w:r>
      <w:r>
        <w:rPr>
          <w:rFonts w:hint="eastAsia" w:ascii="仿宋_GB2312" w:hAnsi="仿宋_GB2312" w:cs="仿宋_GB2312"/>
          <w:szCs w:val="32"/>
          <w:lang w:val="zh-CN"/>
        </w:rPr>
        <w:t>常态化，依法拆除</w:t>
      </w:r>
      <w:r>
        <w:rPr>
          <w:rFonts w:ascii="仿宋_GB2312" w:hAnsi="仿宋_GB2312" w:cs="仿宋_GB2312"/>
          <w:szCs w:val="32"/>
          <w:lang w:val="zh-CN"/>
        </w:rPr>
        <w:t>腾退河道主流区的现状违法违规建设</w:t>
      </w:r>
      <w:r>
        <w:rPr>
          <w:rFonts w:hint="eastAsia" w:ascii="仿宋_GB2312" w:hAnsi="仿宋_GB2312" w:cs="仿宋_GB2312"/>
          <w:szCs w:val="32"/>
          <w:lang w:val="zh-CN"/>
        </w:rPr>
        <w:t>，做到“动态清零”，保持河流</w:t>
      </w:r>
      <w:r>
        <w:rPr>
          <w:rFonts w:ascii="仿宋_GB2312" w:hAnsi="仿宋_GB2312" w:cs="仿宋_GB2312"/>
          <w:szCs w:val="32"/>
          <w:lang w:val="zh-CN"/>
        </w:rPr>
        <w:t>生态补水</w:t>
      </w:r>
      <w:r>
        <w:rPr>
          <w:rFonts w:hint="eastAsia" w:ascii="仿宋_GB2312" w:hAnsi="仿宋_GB2312" w:cs="仿宋_GB2312"/>
          <w:szCs w:val="32"/>
          <w:lang w:val="zh-CN"/>
        </w:rPr>
        <w:t>通道清洁通畅。因地制宜对具备条件的河湖硬质护岸进行改造，建设生态岸线，恢复自然岸线。在不影响防洪、保证下游河道正常生态水量，不影响生物生境的前提下，可修建必要的壅水增渗导流等设施。</w:t>
      </w:r>
      <w:r>
        <w:rPr>
          <w:rFonts w:hint="eastAsia"/>
          <w:szCs w:val="32"/>
        </w:rPr>
        <w:t>营造滩、洲、潭、塘等多样化的生态空间，增加地下水回补入渗量。</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构建地表和地下联动、流域内和流域间调配的地下水储备区回补体系，规划</w:t>
      </w:r>
      <w:r>
        <w:rPr>
          <w:rFonts w:ascii="仿宋_GB2312" w:hAnsi="仿宋_GB2312" w:cs="仿宋_GB2312"/>
          <w:szCs w:val="32"/>
          <w:lang w:val="zh-CN"/>
        </w:rPr>
        <w:t>13</w:t>
      </w:r>
      <w:r>
        <w:rPr>
          <w:rFonts w:hint="eastAsia" w:ascii="仿宋_GB2312" w:hAnsi="仿宋_GB2312" w:cs="仿宋_GB2312"/>
          <w:szCs w:val="32"/>
          <w:lang w:val="zh-CN"/>
        </w:rPr>
        <w:t>个回补区域，打造</w:t>
      </w:r>
      <w:r>
        <w:rPr>
          <w:rFonts w:ascii="仿宋_GB2312" w:hAnsi="仿宋_GB2312" w:cs="仿宋_GB2312"/>
          <w:szCs w:val="32"/>
          <w:lang w:val="zh-CN"/>
        </w:rPr>
        <w:t>30</w:t>
      </w:r>
      <w:r>
        <w:rPr>
          <w:rFonts w:hint="eastAsia" w:ascii="仿宋_GB2312" w:hAnsi="仿宋_GB2312" w:cs="仿宋_GB2312"/>
          <w:szCs w:val="32"/>
          <w:lang w:val="zh-CN"/>
        </w:rPr>
        <w:t>条回补通道，加快恢复地下水资源战略储备。实施卸甲山万米大渠综合改造工程，</w:t>
      </w:r>
      <w:r>
        <w:rPr>
          <w:rFonts w:hint="eastAsia" w:ascii="仿宋_GB2312" w:hAnsi="仿宋_GB2312" w:cs="仿宋_GB2312"/>
          <w:szCs w:val="32"/>
        </w:rPr>
        <w:t>推进</w:t>
      </w:r>
      <w:r>
        <w:rPr>
          <w:rFonts w:hint="eastAsia" w:ascii="仿宋_GB2312" w:hAnsi="仿宋_GB2312" w:cs="仿宋_GB2312"/>
          <w:szCs w:val="32"/>
          <w:lang w:val="zh-CN"/>
        </w:rPr>
        <w:t>京密引水渠向沙河补水工程，增加密怀顺储备区回补能力。推进永定河山峡段回补增渗工程、三山五园地区地下水生态补水能力提升工程，增加西郊储备区地下水回补能力。新建马池口水源地回补工程，推进十三陵水库补水改造工程，增加昌平储备区地下水回补能力。实施密云向平谷引水连通工程、平谷区南北干渠修复及水系连通工程，增加平谷储备区地下水回补能力。研究通过大石河径流进行自然回补，增加房山储备区地下水回补能力。（市</w:t>
      </w:r>
      <w:r>
        <w:rPr>
          <w:rFonts w:ascii="仿宋_GB2312" w:hAnsi="仿宋_GB2312" w:cs="仿宋_GB2312"/>
          <w:szCs w:val="32"/>
          <w:lang w:val="zh-CN"/>
        </w:rPr>
        <w:t>水务局、市</w:t>
      </w:r>
      <w:r>
        <w:rPr>
          <w:rFonts w:hint="eastAsia" w:ascii="仿宋_GB2312" w:hAnsi="仿宋_GB2312" w:cs="仿宋_GB2312"/>
          <w:szCs w:val="32"/>
          <w:lang w:val="zh-CN"/>
        </w:rPr>
        <w:t>生态</w:t>
      </w:r>
      <w:r>
        <w:rPr>
          <w:rFonts w:ascii="仿宋_GB2312" w:hAnsi="仿宋_GB2312" w:cs="仿宋_GB2312"/>
          <w:szCs w:val="32"/>
          <w:lang w:val="zh-CN"/>
        </w:rPr>
        <w:t>环境局、各区人民政府、北京经济技术开发区管委会</w:t>
      </w:r>
      <w:r>
        <w:rPr>
          <w:rFonts w:hint="eastAsia"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rPr>
        <w:t>2</w:t>
      </w:r>
      <w:r>
        <w:rPr>
          <w:rFonts w:hint="eastAsia" w:ascii="仿宋_GB2312" w:hAnsi="仿宋_GB2312" w:cs="仿宋_GB2312"/>
          <w:szCs w:val="32"/>
          <w:lang w:val="zh-CN"/>
        </w:rPr>
        <w:t>.持续开展重点区域生态补水。持续采用地表水、南水北调水、非常规水等水源，推进河湖生态补水常态化，扩大补水范围，逐步实现“有形态、有水量、有补给”目标。统筹河湖生态环境复苏和地下水超采综合治理等工作，做好重点区域生态补水工作，增加地下水入渗补给，有效增加地下水资源战略储备。推动引黄工程向永定河生态补水常态化，根据官厅水库和永定河水情，适时争取进京水量指标，加大永定河生态补水量和河流入渗回补，力争官厅水库下泄补水2.8-3.2亿立方米，南水北调中线相机补水</w:t>
      </w:r>
      <w:r>
        <w:rPr>
          <w:rFonts w:ascii="仿宋_GB2312" w:hAnsi="仿宋_GB2312" w:cs="仿宋_GB2312"/>
          <w:szCs w:val="32"/>
          <w:lang w:val="zh-CN"/>
        </w:rPr>
        <w:t>0.5-0.9</w:t>
      </w:r>
      <w:r>
        <w:rPr>
          <w:rFonts w:hint="eastAsia" w:ascii="仿宋_GB2312" w:hAnsi="仿宋_GB2312" w:cs="仿宋_GB2312"/>
          <w:szCs w:val="32"/>
          <w:lang w:val="zh-CN"/>
        </w:rPr>
        <w:t>亿立方米，促进西郊地下水储备区回补；在优先保障城市供水安全基础上，密云水库补水量视密云上游来水情况相机补水，南水北调中线相机补水0-0.5亿立方米，通过李家史山闸、小中河、怀河、潮河、白河等，回补密怀顺地下水储备区。（市水务局、各有关区人民政府）</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rPr>
        <w:t>3</w:t>
      </w:r>
      <w:r>
        <w:rPr>
          <w:rFonts w:hint="eastAsia" w:ascii="仿宋_GB2312" w:hAnsi="仿宋_GB2312" w:cs="仿宋_GB2312"/>
          <w:szCs w:val="32"/>
          <w:lang w:val="zh-CN"/>
        </w:rPr>
        <w:t>.推进建立地下水战略储备制度。科学划定西郊、密怀顺、平谷、昌平、房山等地下水储备区空间范围，</w:t>
      </w:r>
      <w:r>
        <w:rPr>
          <w:rFonts w:ascii="仿宋_GB2312" w:hAnsi="仿宋_GB2312" w:cs="仿宋_GB2312"/>
          <w:szCs w:val="32"/>
          <w:lang w:val="zh-CN"/>
        </w:rPr>
        <w:t>构建完善连通地表水、地下水、外调水等多源互济的补给和调用通道格局，</w:t>
      </w:r>
      <w:r>
        <w:rPr>
          <w:rFonts w:hint="eastAsia" w:ascii="仿宋_GB2312" w:hAnsi="仿宋_GB2312" w:cs="仿宋_GB2312"/>
          <w:szCs w:val="32"/>
          <w:lang w:val="zh-CN"/>
        </w:rPr>
        <w:t>按照“补得进、存得住、调得出、配得上、保得到”的原则，强化储备区生态补水通道及地下水补给区管理，合理开发利用地下水资源，促进地下水储备区回补涵养。推进</w:t>
      </w:r>
      <w:r>
        <w:rPr>
          <w:rFonts w:ascii="仿宋_GB2312" w:hAnsi="仿宋_GB2312" w:cs="仿宋_GB2312"/>
          <w:szCs w:val="32"/>
          <w:lang w:val="zh-CN"/>
        </w:rPr>
        <w:t>储备区范围内管网建设与水源置换，</w:t>
      </w:r>
      <w:r>
        <w:rPr>
          <w:rFonts w:hint="eastAsia" w:ascii="仿宋_GB2312" w:hAnsi="仿宋_GB2312" w:cs="仿宋_GB2312"/>
          <w:szCs w:val="32"/>
          <w:lang w:val="zh-CN"/>
        </w:rPr>
        <w:t>最大</w:t>
      </w:r>
      <w:r>
        <w:rPr>
          <w:rFonts w:ascii="仿宋_GB2312" w:hAnsi="仿宋_GB2312" w:cs="仿宋_GB2312"/>
          <w:szCs w:val="32"/>
          <w:lang w:val="zh-CN"/>
        </w:rPr>
        <w:t>限度把水存住，藏水于地，</w:t>
      </w:r>
      <w:r>
        <w:rPr>
          <w:rFonts w:hint="eastAsia" w:ascii="仿宋_GB2312" w:hAnsi="仿宋_GB2312" w:cs="仿宋_GB2312"/>
          <w:szCs w:val="32"/>
          <w:lang w:val="zh-CN"/>
        </w:rPr>
        <w:t>推进建立地下水战略储备制度，</w:t>
      </w:r>
      <w:r>
        <w:rPr>
          <w:rFonts w:ascii="仿宋_GB2312" w:hAnsi="仿宋_GB2312" w:cs="仿宋_GB2312"/>
          <w:szCs w:val="32"/>
          <w:lang w:val="zh-CN"/>
        </w:rPr>
        <w:t>保障首都</w:t>
      </w:r>
      <w:r>
        <w:rPr>
          <w:rFonts w:hint="eastAsia" w:ascii="仿宋_GB2312" w:hAnsi="仿宋_GB2312" w:cs="仿宋_GB2312"/>
          <w:szCs w:val="32"/>
          <w:lang w:val="zh-CN"/>
        </w:rPr>
        <w:t>供水水源稳定可靠。力争</w:t>
      </w:r>
      <w:r>
        <w:rPr>
          <w:rFonts w:ascii="仿宋_GB2312" w:hAnsi="仿宋_GB2312" w:cs="仿宋_GB2312"/>
          <w:szCs w:val="32"/>
          <w:lang w:val="zh-CN"/>
        </w:rPr>
        <w:t>2025年本地地表、地下战略储备水量总量达到40亿立方米</w:t>
      </w:r>
      <w:r>
        <w:rPr>
          <w:rFonts w:hint="eastAsia" w:ascii="仿宋_GB2312" w:hAnsi="仿宋_GB2312" w:cs="仿宋_GB2312"/>
          <w:szCs w:val="32"/>
          <w:lang w:val="zh-CN"/>
        </w:rPr>
        <w:t>。（市水务局、市发展改革委、各有关区人民政府）</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rPr>
        <w:t>4</w:t>
      </w:r>
      <w:r>
        <w:rPr>
          <w:rFonts w:hint="eastAsia" w:ascii="仿宋_GB2312" w:hAnsi="仿宋_GB2312" w:cs="仿宋_GB2312"/>
          <w:szCs w:val="32"/>
          <w:lang w:val="zh-CN"/>
        </w:rPr>
        <w:t>.加快玉泉山和白浮泉修复。按照“加大补、限制采、探索灌”的思路开展玉泉山、白浮泉泉域生态修复工作。通过建设大口井、入渗坑等形式，多途径增加地表水入渗能力；结合</w:t>
      </w:r>
      <w:r>
        <w:rPr>
          <w:rFonts w:hint="eastAsia" w:cs="Times New Roman"/>
          <w:szCs w:val="32"/>
        </w:rPr>
        <w:t>现有工程加大生态补水力度，</w:t>
      </w:r>
      <w:r>
        <w:rPr>
          <w:rFonts w:hint="eastAsia" w:ascii="仿宋_GB2312" w:hAnsi="仿宋_GB2312" w:cs="仿宋_GB2312"/>
          <w:szCs w:val="32"/>
          <w:lang w:val="zh-CN"/>
        </w:rPr>
        <w:t>以南水北调水、地表水等为水源，实施玉泉山、白浮泉等周边水系生态补水，</w:t>
      </w:r>
      <w:r>
        <w:rPr>
          <w:rFonts w:hint="eastAsia" w:cs="Times New Roman"/>
          <w:szCs w:val="32"/>
        </w:rPr>
        <w:t>增加地表入渗补给，实现</w:t>
      </w:r>
      <w:r>
        <w:rPr>
          <w:rFonts w:hint="eastAsia" w:ascii="仿宋_GB2312" w:hAnsi="仿宋_GB2312" w:cs="仿宋_GB2312"/>
          <w:szCs w:val="32"/>
          <w:lang w:val="zh-CN"/>
        </w:rPr>
        <w:t>玉泉山、白浮泉周边</w:t>
      </w:r>
      <w:r>
        <w:rPr>
          <w:rFonts w:hint="eastAsia" w:cs="Times New Roman"/>
          <w:szCs w:val="32"/>
        </w:rPr>
        <w:t>地区地下水储量增加</w:t>
      </w:r>
      <w:r>
        <w:rPr>
          <w:rFonts w:hint="eastAsia" w:ascii="仿宋_GB2312" w:hAnsi="仿宋_GB2312" w:cs="仿宋_GB2312"/>
          <w:szCs w:val="32"/>
          <w:lang w:val="zh-CN"/>
        </w:rPr>
        <w:t>。</w:t>
      </w:r>
      <w:r>
        <w:rPr>
          <w:rFonts w:hint="eastAsia" w:cs="Times New Roman"/>
          <w:szCs w:val="32"/>
        </w:rPr>
        <w:t>扩大地表水供水范围，增加地表水供水量，</w:t>
      </w:r>
      <w:r>
        <w:rPr>
          <w:rFonts w:hint="eastAsia" w:ascii="仿宋_GB2312" w:hAnsi="仿宋_GB2312" w:cs="仿宋_GB2312"/>
          <w:szCs w:val="32"/>
          <w:lang w:val="zh-CN"/>
        </w:rPr>
        <w:t>加快泉域范围内地下水水源井</w:t>
      </w:r>
      <w:r>
        <w:rPr>
          <w:rFonts w:hint="eastAsia" w:cs="Times New Roman"/>
          <w:szCs w:val="32"/>
        </w:rPr>
        <w:t>压采和</w:t>
      </w:r>
      <w:r>
        <w:rPr>
          <w:rFonts w:hint="eastAsia" w:ascii="仿宋_GB2312" w:hAnsi="仿宋_GB2312" w:cs="仿宋_GB2312"/>
          <w:szCs w:val="32"/>
          <w:lang w:val="zh-CN"/>
        </w:rPr>
        <w:t>置换</w:t>
      </w:r>
      <w:r>
        <w:rPr>
          <w:rFonts w:hint="eastAsia" w:cs="Times New Roman"/>
          <w:szCs w:val="32"/>
        </w:rPr>
        <w:t>。</w:t>
      </w:r>
      <w:r>
        <w:rPr>
          <w:rFonts w:hint="eastAsia" w:cs="仿宋_GB2312"/>
          <w:szCs w:val="32"/>
        </w:rPr>
        <w:t>筛选适宜的深层水源井或已建成的基岩井，</w:t>
      </w:r>
      <w:r>
        <w:rPr>
          <w:rFonts w:hint="eastAsia" w:ascii="仿宋_GB2312" w:hAnsi="仿宋_GB2312" w:cs="仿宋_GB2312"/>
          <w:szCs w:val="32"/>
        </w:rPr>
        <w:t>探索实施深层承压水回灌</w:t>
      </w:r>
      <w:r>
        <w:rPr>
          <w:rFonts w:hint="eastAsia" w:cs="仿宋_GB2312"/>
          <w:szCs w:val="32"/>
        </w:rPr>
        <w:t>，</w:t>
      </w:r>
      <w:r>
        <w:rPr>
          <w:rFonts w:hint="eastAsia" w:ascii="仿宋_GB2312" w:hAnsi="仿宋_GB2312" w:cs="仿宋_GB2312"/>
          <w:szCs w:val="32"/>
          <w:lang w:val="zh-CN"/>
        </w:rPr>
        <w:t>促进玉泉山、白浮泉等重要泉域涵养修复</w:t>
      </w:r>
      <w:r>
        <w:rPr>
          <w:rFonts w:hint="eastAsia" w:cs="仿宋_GB2312"/>
          <w:szCs w:val="32"/>
        </w:rPr>
        <w:t>。</w:t>
      </w:r>
      <w:r>
        <w:rPr>
          <w:rFonts w:hint="eastAsia" w:ascii="仿宋_GB2312" w:hAnsi="仿宋_GB2312" w:cs="仿宋_GB2312"/>
          <w:szCs w:val="32"/>
          <w:lang w:val="zh-CN"/>
        </w:rPr>
        <w:t>（市水务局、市发展改革委、各有关区人民政府）</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rPr>
        <w:t>5</w:t>
      </w:r>
      <w:r>
        <w:rPr>
          <w:rFonts w:ascii="仿宋_GB2312" w:hAnsi="仿宋_GB2312" w:cs="仿宋_GB2312"/>
          <w:szCs w:val="32"/>
          <w:lang w:val="zh-CN"/>
        </w:rPr>
        <w:t>.</w:t>
      </w:r>
      <w:r>
        <w:rPr>
          <w:rFonts w:hint="eastAsia" w:ascii="仿宋_GB2312" w:hAnsi="仿宋_GB2312" w:cs="仿宋_GB2312"/>
          <w:szCs w:val="32"/>
          <w:lang w:val="zh-CN"/>
        </w:rPr>
        <w:t>大力做好海绵城市建设。实施海绵城市专项规划，加强雨水控制与利用，充分利用雨水资源。严格落实海绵城市建设指标和要求，针对首都功能核心区、中心城区、城市副中心和郊区实施差异化的海绵城市建设，城市副中心、三城一区等重点区域的新建工程项目全部按海绵城市理念进行建设，配套集雨式绿地、透水铺装、雨水集蓄利用等设施。对公共停车场、人行道、步行街和休闲广场、室外庭院等场所进行透水铺装，有效控制地表径流，充分利用雨水资源。结合老旧小区改造、道路大修、公园绿地建设、拆除腾退等工作，鼓励在已建成的居住小区、公园、绿地、道路、下凹式立交桥及地势低洼场所等区域建设雨水控制与利用工程，开展海绵化改造。综合采取渗、滞、蓄、净、用、排等措施，加大降雨就地消纳和利用比重，有效回补涵养地下水资源。到2025年，建成区海绵城市面积比例达到40%以上。（市水务局、市住房城乡建设委、市规划自然资源委、市交通委、市园林绿化局、各区人民政府、北京经济技术开发区管委会）</w:t>
      </w:r>
    </w:p>
    <w:p>
      <w:pPr>
        <w:suppressAutoHyphens/>
        <w:adjustRightInd/>
        <w:snapToGrid/>
        <w:spacing w:line="580" w:lineRule="exact"/>
        <w:ind w:firstLine="640" w:firstLineChars="0"/>
        <w:outlineLvl w:val="1"/>
        <w:rPr>
          <w:rFonts w:ascii="楷体" w:hAnsi="楷体" w:eastAsia="楷体" w:cs="楷体"/>
          <w:szCs w:val="32"/>
          <w:lang w:val="zh-CN"/>
        </w:rPr>
      </w:pPr>
      <w:r>
        <w:rPr>
          <w:rFonts w:hint="eastAsia" w:ascii="楷体" w:hAnsi="楷体" w:eastAsia="楷体" w:cs="楷体"/>
          <w:szCs w:val="32"/>
          <w:lang w:val="zh-CN"/>
        </w:rPr>
        <w:t>（四）坚持监管</w:t>
      </w:r>
      <w:r>
        <w:rPr>
          <w:rFonts w:ascii="楷体" w:hAnsi="楷体" w:eastAsia="楷体" w:cs="楷体"/>
          <w:szCs w:val="32"/>
          <w:lang w:val="zh-CN"/>
        </w:rPr>
        <w:t>提</w:t>
      </w:r>
      <w:r>
        <w:rPr>
          <w:rFonts w:hint="eastAsia" w:ascii="楷体" w:hAnsi="楷体" w:eastAsia="楷体" w:cs="楷体"/>
          <w:szCs w:val="32"/>
          <w:lang w:val="zh-CN"/>
        </w:rPr>
        <w:t>效，细化地下水</w:t>
      </w:r>
      <w:r>
        <w:rPr>
          <w:rFonts w:ascii="楷体" w:hAnsi="楷体" w:eastAsia="楷体" w:cs="楷体"/>
          <w:szCs w:val="32"/>
          <w:lang w:val="zh-CN"/>
        </w:rPr>
        <w:t>监</w:t>
      </w:r>
      <w:r>
        <w:rPr>
          <w:rFonts w:hint="eastAsia" w:ascii="楷体" w:hAnsi="楷体" w:eastAsia="楷体" w:cs="楷体"/>
          <w:szCs w:val="32"/>
          <w:lang w:val="zh-CN"/>
        </w:rPr>
        <w:t>控</w:t>
      </w:r>
      <w:r>
        <w:rPr>
          <w:rFonts w:ascii="楷体" w:hAnsi="楷体" w:eastAsia="楷体" w:cs="楷体"/>
          <w:szCs w:val="32"/>
          <w:lang w:val="zh-CN"/>
        </w:rPr>
        <w:t>、</w:t>
      </w:r>
      <w:r>
        <w:rPr>
          <w:rFonts w:hint="eastAsia" w:ascii="楷体" w:hAnsi="楷体" w:eastAsia="楷体" w:cs="楷体"/>
          <w:szCs w:val="32"/>
          <w:lang w:val="zh-CN"/>
        </w:rPr>
        <w:t>严格地下水管理</w:t>
      </w:r>
      <w:bookmarkEnd w:id="68"/>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16</w:t>
      </w:r>
      <w:r>
        <w:rPr>
          <w:rFonts w:hint="eastAsia" w:ascii="仿宋_GB2312" w:hAnsi="仿宋_GB2312" w:cs="仿宋_GB2312"/>
          <w:szCs w:val="32"/>
          <w:lang w:val="zh-CN"/>
        </w:rPr>
        <w:t>.强化重要区域地下水管理。根据《地下水管理条例》相关要求，针对已划定</w:t>
      </w:r>
      <w:r>
        <w:rPr>
          <w:rFonts w:ascii="仿宋_GB2312" w:hAnsi="仿宋_GB2312" w:cs="仿宋_GB2312"/>
          <w:szCs w:val="32"/>
          <w:lang w:val="zh-CN"/>
        </w:rPr>
        <w:t>的</w:t>
      </w:r>
      <w:r>
        <w:rPr>
          <w:rFonts w:hint="eastAsia" w:ascii="仿宋_GB2312" w:hAnsi="仿宋_GB2312" w:cs="仿宋_GB2312"/>
          <w:szCs w:val="32"/>
          <w:lang w:val="zh-CN"/>
        </w:rPr>
        <w:t>北京市地下水禁止开采区、限制开采区、储备区、重要泉域保护范围以及地下水超采区范围，严格相关区域地下水开采管理。除为保障地下工程施工安全和生产安全必须进行临时应急取（排）水、为消除对公共安全或者公共利益的危害临时应急取水和为开展地下水监测、勘探、试验少量取水三种情形外，在地下水禁止开采区禁止取用地下水，在地下水限制开采区内禁止新增取用地下水，并逐步削减地下水取水量。切实加强重要泉城保护范围内地下水压采工作，制定水源置换计划，逐步完成地下水源替代。（各有关区人民政府、市水务局）</w:t>
      </w:r>
    </w:p>
    <w:p>
      <w:pPr>
        <w:suppressAutoHyphens/>
        <w:adjustRightInd/>
        <w:snapToGrid/>
        <w:spacing w:line="580" w:lineRule="exact"/>
        <w:ind w:firstLine="640" w:firstLineChars="0"/>
        <w:rPr>
          <w:rFonts w:ascii="仿宋_GB2312" w:hAnsi="仿宋_GB2312" w:cs="仿宋_GB2312"/>
          <w:szCs w:val="32"/>
        </w:rPr>
      </w:pPr>
      <w:r>
        <w:rPr>
          <w:rFonts w:ascii="仿宋_GB2312" w:hAnsi="仿宋_GB2312" w:cs="仿宋_GB2312"/>
          <w:szCs w:val="32"/>
          <w:lang w:val="zh-CN"/>
        </w:rPr>
        <w:t>1</w:t>
      </w:r>
      <w:r>
        <w:rPr>
          <w:rFonts w:hint="eastAsia" w:ascii="仿宋_GB2312" w:hAnsi="仿宋_GB2312" w:cs="仿宋_GB2312"/>
          <w:szCs w:val="32"/>
        </w:rPr>
        <w:t>7</w:t>
      </w:r>
      <w:r>
        <w:rPr>
          <w:rFonts w:hint="eastAsia" w:ascii="仿宋_GB2312" w:hAnsi="仿宋_GB2312" w:cs="仿宋_GB2312"/>
          <w:szCs w:val="32"/>
          <w:lang w:val="zh-CN"/>
        </w:rPr>
        <w:t>.提升地下水管理能力。</w:t>
      </w:r>
      <w:r>
        <w:rPr>
          <w:rFonts w:hint="eastAsia"/>
          <w:bCs/>
          <w:szCs w:val="32"/>
        </w:rPr>
        <w:t>推进中心城区、城市副中心自备井逐步退出常规供水体系。</w:t>
      </w:r>
      <w:r>
        <w:rPr>
          <w:rFonts w:hint="eastAsia" w:cs="Times New Roman"/>
        </w:rPr>
        <w:t>对成井条件好、出水稳定、水质达标的予以封存，作为应急备用水源。在地表水灌溉水源有保障的区域和退耕实施雨养旱作的区域，对农业灌溉机井实施关停。</w:t>
      </w:r>
      <w:r>
        <w:rPr>
          <w:rFonts w:hint="eastAsia" w:cs="仿宋_GB2312"/>
          <w:szCs w:val="32"/>
        </w:rPr>
        <w:t>根据地下水超采治理需求，利用数字孪生、数值模拟等技术，</w:t>
      </w:r>
      <w:r>
        <w:rPr>
          <w:rFonts w:hint="eastAsia" w:ascii="仿宋_GB2312" w:hAnsi="仿宋_GB2312" w:cs="仿宋_GB2312"/>
          <w:szCs w:val="32"/>
          <w:lang w:val="zh-CN"/>
        </w:rPr>
        <w:t>优化北京市地下水信息管理系统</w:t>
      </w:r>
      <w:r>
        <w:rPr>
          <w:rFonts w:hint="eastAsia" w:cs="仿宋_GB2312"/>
          <w:szCs w:val="32"/>
        </w:rPr>
        <w:t>，逐步实现地下水双控、储备区评价、生态补水、超采区评价等功能。</w:t>
      </w:r>
      <w:r>
        <w:rPr>
          <w:rFonts w:hint="eastAsia" w:ascii="仿宋_GB2312" w:hAnsi="仿宋_GB2312" w:cs="仿宋_GB2312"/>
          <w:szCs w:val="32"/>
          <w:lang w:val="zh-CN"/>
        </w:rPr>
        <w:t>（市水务局、各区人民政府、北京经济技术开发区管委会）</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rPr>
        <w:t>8</w:t>
      </w:r>
      <w:r>
        <w:rPr>
          <w:rFonts w:ascii="仿宋_GB2312" w:hAnsi="仿宋_GB2312" w:cs="仿宋_GB2312"/>
          <w:szCs w:val="32"/>
          <w:lang w:val="zh-CN"/>
        </w:rPr>
        <w:t>.</w:t>
      </w:r>
      <w:r>
        <w:rPr>
          <w:rFonts w:hint="eastAsia" w:ascii="仿宋_GB2312" w:hAnsi="仿宋_GB2312" w:cs="仿宋_GB2312"/>
          <w:szCs w:val="32"/>
          <w:lang w:val="zh-CN"/>
        </w:rPr>
        <w:t>加强地下水监测体系建设。完善地下水监测计量、数据关联与业务协同监管应用场景，建设取水管理智慧模块，补齐地下水取用监测计量物联感知短板，实现取水感知数据接入汇聚与共享，支撑机井取水许可审批、水资源税核量、地下水用途管控等业务。</w:t>
      </w:r>
      <w:r>
        <w:rPr>
          <w:rFonts w:hint="eastAsia" w:cs="仿宋_GB2312"/>
          <w:szCs w:val="32"/>
        </w:rPr>
        <w:t>推动实施地下水超采综合治理措施动态监测，</w:t>
      </w:r>
      <w:r>
        <w:rPr>
          <w:rFonts w:hint="eastAsia" w:ascii="仿宋_GB2312" w:hAnsi="仿宋_GB2312" w:cs="仿宋_GB2312"/>
          <w:szCs w:val="32"/>
          <w:lang w:val="zh-CN"/>
        </w:rPr>
        <w:t>持续加强重点地区地下水分层监控能力建设，完善</w:t>
      </w:r>
      <w:r>
        <w:rPr>
          <w:rFonts w:hint="eastAsia" w:ascii="仿宋_GB2312" w:hAnsi="CIDFont" w:cs="宋体"/>
          <w:color w:val="000000"/>
          <w:kern w:val="0"/>
          <w:szCs w:val="21"/>
        </w:rPr>
        <w:t>河流生态补水区、地下水战略储备区、</w:t>
      </w:r>
      <w:r>
        <w:rPr>
          <w:rFonts w:hint="eastAsia" w:ascii="仿宋_GB2312" w:hAnsi="仿宋_GB2312" w:cs="仿宋_GB2312"/>
          <w:szCs w:val="32"/>
          <w:lang w:val="zh-CN"/>
        </w:rPr>
        <w:t>重要泉域、</w:t>
      </w:r>
      <w:r>
        <w:rPr>
          <w:rFonts w:hint="eastAsia" w:ascii="仿宋_GB2312" w:hAnsi="CIDFont" w:cs="宋体"/>
          <w:color w:val="000000"/>
          <w:kern w:val="0"/>
          <w:szCs w:val="21"/>
        </w:rPr>
        <w:t>再生水规模利用区等区域地下水水位、水质监测网</w:t>
      </w:r>
      <w:r>
        <w:rPr>
          <w:rFonts w:hint="eastAsia" w:ascii="仿宋_GB2312" w:hAnsi="仿宋_GB2312" w:cs="仿宋_GB2312"/>
          <w:szCs w:val="32"/>
          <w:lang w:val="zh-CN"/>
        </w:rPr>
        <w:t>。（市水务局、市规划自然资源委、市生态环境局、各区人民政府、北京经济技术开发区管委会）</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1</w:t>
      </w:r>
      <w:r>
        <w:rPr>
          <w:rFonts w:hint="eastAsia" w:ascii="仿宋_GB2312" w:hAnsi="仿宋_GB2312" w:cs="仿宋_GB2312"/>
          <w:szCs w:val="32"/>
        </w:rPr>
        <w:t>9</w:t>
      </w:r>
      <w:r>
        <w:rPr>
          <w:rFonts w:hint="eastAsia" w:ascii="仿宋_GB2312" w:hAnsi="仿宋_GB2312" w:cs="仿宋_GB2312"/>
          <w:szCs w:val="32"/>
          <w:lang w:val="zh-CN"/>
        </w:rPr>
        <w:t>.做好地下水分析评价与信息共享。实施地下水监测信息分析评价工作，完善地下水信息共享与发布机制，制定地下水位控高风险预警与应对工作政策性文件，开展高风险区浅层地下水位调控试点，探索分区、分用途地下水利用，促进地下水健康循环与地下水位合理调控，防控地下基础设施安全风险，预防地下水环境风险与土壤盐渍化等，保障城市运行安全。（市水务局、市农业农村局、市园林绿化局、市交通委、市住房城乡建设委、市规划自然资源委、市生态环境局、市发展改革委、各区人民政府、北京经济技术开发区管委会）</w:t>
      </w:r>
    </w:p>
    <w:bookmarkEnd w:id="54"/>
    <w:bookmarkEnd w:id="55"/>
    <w:bookmarkEnd w:id="56"/>
    <w:bookmarkEnd w:id="57"/>
    <w:bookmarkEnd w:id="58"/>
    <w:p>
      <w:pPr>
        <w:suppressAutoHyphens/>
        <w:adjustRightInd/>
        <w:snapToGrid/>
        <w:spacing w:line="580" w:lineRule="exact"/>
        <w:ind w:firstLine="640" w:firstLineChars="0"/>
        <w:jc w:val="left"/>
        <w:outlineLvl w:val="0"/>
        <w:rPr>
          <w:rFonts w:ascii="黑体" w:hAnsi="黑体" w:eastAsia="黑体" w:cs="Times New Roman"/>
          <w:szCs w:val="32"/>
        </w:rPr>
      </w:pPr>
      <w:bookmarkStart w:id="69" w:name="_Toc30377"/>
      <w:bookmarkStart w:id="70" w:name="_Toc26900"/>
      <w:bookmarkStart w:id="71" w:name="_Toc20238"/>
      <w:bookmarkStart w:id="72" w:name="_Toc11798"/>
      <w:bookmarkStart w:id="73" w:name="_Toc111121802"/>
      <w:bookmarkStart w:id="74" w:name="_Toc2741"/>
      <w:bookmarkStart w:id="75" w:name="_Toc8381"/>
      <w:bookmarkStart w:id="76" w:name="_Toc25030"/>
      <w:bookmarkStart w:id="77" w:name="_Toc19430"/>
      <w:bookmarkStart w:id="78" w:name="_Toc123040340"/>
      <w:bookmarkStart w:id="79" w:name="_Toc23089"/>
      <w:r>
        <w:rPr>
          <w:rFonts w:hint="eastAsia" w:ascii="黑体" w:hAnsi="黑体" w:eastAsia="黑体" w:cs="Times New Roman"/>
          <w:szCs w:val="32"/>
        </w:rPr>
        <w:t>三、保障措施</w:t>
      </w:r>
      <w:bookmarkEnd w:id="69"/>
      <w:bookmarkEnd w:id="70"/>
      <w:bookmarkEnd w:id="71"/>
      <w:bookmarkEnd w:id="72"/>
      <w:bookmarkEnd w:id="73"/>
      <w:bookmarkEnd w:id="74"/>
      <w:bookmarkEnd w:id="75"/>
      <w:bookmarkEnd w:id="76"/>
      <w:bookmarkEnd w:id="77"/>
      <w:bookmarkEnd w:id="78"/>
      <w:bookmarkEnd w:id="79"/>
    </w:p>
    <w:p>
      <w:pPr>
        <w:suppressAutoHyphens/>
        <w:adjustRightInd/>
        <w:snapToGrid/>
        <w:spacing w:line="580" w:lineRule="exact"/>
        <w:ind w:firstLine="640" w:firstLineChars="0"/>
        <w:outlineLvl w:val="1"/>
        <w:rPr>
          <w:rFonts w:ascii="楷体" w:hAnsi="楷体" w:eastAsia="楷体" w:cs="楷体"/>
          <w:szCs w:val="32"/>
          <w:lang w:val="zh-CN"/>
        </w:rPr>
      </w:pPr>
      <w:bookmarkStart w:id="80" w:name="_Toc29183"/>
      <w:bookmarkStart w:id="81" w:name="_Toc123040341"/>
      <w:bookmarkStart w:id="82" w:name="_Toc4036"/>
      <w:bookmarkStart w:id="83" w:name="_Toc12570"/>
      <w:bookmarkStart w:id="84" w:name="_Toc6709"/>
      <w:bookmarkStart w:id="85" w:name="_Toc13645"/>
      <w:bookmarkStart w:id="86" w:name="_Toc111121803"/>
      <w:bookmarkStart w:id="87" w:name="_Toc9058"/>
      <w:bookmarkStart w:id="88" w:name="_Toc15632"/>
      <w:bookmarkStart w:id="89" w:name="_Toc1720"/>
      <w:bookmarkStart w:id="90" w:name="_Toc9689"/>
      <w:r>
        <w:rPr>
          <w:rFonts w:hint="eastAsia" w:ascii="楷体" w:hAnsi="楷体" w:eastAsia="楷体" w:cs="楷体"/>
          <w:szCs w:val="32"/>
          <w:lang w:val="zh-CN"/>
        </w:rPr>
        <w:t>（一）加强组织领导</w:t>
      </w:r>
      <w:bookmarkEnd w:id="80"/>
      <w:bookmarkEnd w:id="81"/>
      <w:bookmarkEnd w:id="82"/>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市水务局负责《方案》实施的统筹协调和监督指导，各委办局、各区人民政府要严格落实主体责任，加强组织领导，完善各部门工作协同机制，制定本区、本部门工作方案和年度工作计划，进一步分解细化任务和措施，确保《方案》任务有序推进，目标如期实现。</w:t>
      </w:r>
    </w:p>
    <w:p>
      <w:pPr>
        <w:suppressAutoHyphens/>
        <w:adjustRightInd/>
        <w:snapToGrid/>
        <w:spacing w:line="580" w:lineRule="exact"/>
        <w:ind w:firstLine="640" w:firstLineChars="0"/>
        <w:outlineLvl w:val="1"/>
        <w:rPr>
          <w:rFonts w:ascii="楷体" w:hAnsi="楷体" w:eastAsia="楷体" w:cs="楷体"/>
          <w:szCs w:val="32"/>
          <w:lang w:val="zh-CN"/>
        </w:rPr>
      </w:pPr>
      <w:r>
        <w:rPr>
          <w:rFonts w:hint="eastAsia" w:ascii="楷体" w:hAnsi="楷体" w:eastAsia="楷体" w:cs="楷体"/>
          <w:szCs w:val="32"/>
          <w:lang w:val="zh-CN"/>
        </w:rPr>
        <w:t>（二）保障资金投入</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拓宽资金投入渠道，积极争取国家支持，形成国家、地方多渠道资金投入。加强资金使用管理与全过程绩效管理，确保资金使用安全。用好中央和地方各级资金，坚持资金跟着项目走，重点支持成熟度高、预期效益好的项目。</w:t>
      </w:r>
    </w:p>
    <w:p>
      <w:pPr>
        <w:suppressAutoHyphens/>
        <w:adjustRightInd/>
        <w:snapToGrid/>
        <w:spacing w:line="580" w:lineRule="exact"/>
        <w:ind w:firstLine="640" w:firstLineChars="0"/>
        <w:outlineLvl w:val="1"/>
        <w:rPr>
          <w:rFonts w:ascii="楷体" w:hAnsi="楷体" w:eastAsia="楷体" w:cs="楷体"/>
          <w:szCs w:val="32"/>
          <w:lang w:val="zh-CN"/>
        </w:rPr>
      </w:pPr>
      <w:bookmarkStart w:id="91" w:name="_Toc123040342"/>
      <w:bookmarkStart w:id="92" w:name="_Toc18551"/>
      <w:bookmarkStart w:id="93" w:name="_Toc23326"/>
      <w:r>
        <w:rPr>
          <w:rFonts w:hint="eastAsia" w:ascii="楷体" w:hAnsi="楷体" w:eastAsia="楷体" w:cs="楷体"/>
          <w:szCs w:val="32"/>
          <w:lang w:val="zh-CN"/>
        </w:rPr>
        <w:t>（三）加强监督考核</w:t>
      </w:r>
      <w:bookmarkEnd w:id="91"/>
      <w:bookmarkEnd w:id="92"/>
      <w:bookmarkEnd w:id="93"/>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各区人民政府、各部门要将本《方案》确定的目标任务逐项分解到区政府相关部门和乡镇政府，明确责任单位、责任人和完成时限，制定考核办法，明晰考核内容，严格督查考核。</w:t>
      </w:r>
    </w:p>
    <w:p>
      <w:pPr>
        <w:suppressAutoHyphens/>
        <w:adjustRightInd/>
        <w:snapToGrid/>
        <w:spacing w:line="580" w:lineRule="exact"/>
        <w:ind w:firstLine="640" w:firstLineChars="0"/>
        <w:outlineLvl w:val="1"/>
        <w:rPr>
          <w:rFonts w:ascii="楷体" w:hAnsi="楷体" w:eastAsia="楷体" w:cs="楷体"/>
          <w:szCs w:val="32"/>
          <w:lang w:val="zh-CN"/>
        </w:rPr>
      </w:pPr>
      <w:bookmarkStart w:id="94" w:name="_Toc12074"/>
      <w:bookmarkStart w:id="95" w:name="_Toc10382"/>
      <w:bookmarkStart w:id="96" w:name="_Toc123040343"/>
      <w:r>
        <w:rPr>
          <w:rFonts w:hint="eastAsia" w:ascii="楷体" w:hAnsi="楷体" w:eastAsia="楷体" w:cs="楷体"/>
          <w:szCs w:val="32"/>
          <w:lang w:val="zh-CN"/>
        </w:rPr>
        <w:t>（四）加大宣传引导</w:t>
      </w:r>
      <w:bookmarkEnd w:id="94"/>
      <w:bookmarkEnd w:id="95"/>
      <w:bookmarkEnd w:id="96"/>
    </w:p>
    <w:p>
      <w:pPr>
        <w:spacing w:line="360" w:lineRule="auto"/>
        <w:ind w:firstLine="640"/>
        <w:rPr>
          <w:rFonts w:eastAsia="宋体" w:cs="Times New Roman"/>
        </w:rPr>
      </w:pPr>
      <w:r>
        <w:rPr>
          <w:rFonts w:hint="eastAsia" w:ascii="仿宋_GB2312" w:hAnsi="仿宋_GB2312" w:cs="仿宋_GB2312"/>
          <w:szCs w:val="32"/>
          <w:lang w:val="zh-CN"/>
        </w:rPr>
        <w:t>强化政府引导，聚焦群众关注，充分发挥广播电视、新闻媒体和网络传媒作用，开展形式多样的地下水超采治理与保护宣传教育，形成地下水资源节约与保护的良好氛围。激发公众参与，发挥社会监督，共同推进地下水超采治理取得良好成效。</w:t>
      </w:r>
      <w:bookmarkEnd w:id="83"/>
      <w:bookmarkEnd w:id="84"/>
      <w:bookmarkEnd w:id="85"/>
      <w:bookmarkEnd w:id="86"/>
      <w:bookmarkEnd w:id="87"/>
      <w:bookmarkEnd w:id="88"/>
      <w:bookmarkEnd w:id="89"/>
      <w:bookmarkEnd w:id="90"/>
    </w:p>
    <w:p>
      <w:pPr>
        <w:spacing w:line="360" w:lineRule="auto"/>
        <w:ind w:firstLine="640"/>
        <w:rPr>
          <w:rFonts w:eastAsia="宋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227" w:footer="624" w:gutter="0"/>
          <w:pgNumType w:start="1"/>
          <w:cols w:space="425" w:num="1"/>
          <w:docGrid w:linePitch="435" w:charSpace="0"/>
        </w:sectPr>
      </w:pPr>
    </w:p>
    <w:p>
      <w:pPr>
        <w:suppressAutoHyphens/>
        <w:adjustRightInd/>
        <w:snapToGrid/>
        <w:spacing w:line="580" w:lineRule="exact"/>
        <w:ind w:firstLine="0" w:firstLineChars="0"/>
        <w:jc w:val="left"/>
        <w:outlineLvl w:val="0"/>
        <w:rPr>
          <w:rFonts w:ascii="黑体" w:hAnsi="黑体" w:eastAsia="黑体" w:cs="Times New Roman"/>
          <w:szCs w:val="32"/>
        </w:rPr>
      </w:pPr>
      <w:bookmarkStart w:id="415" w:name="_GoBack"/>
      <w:bookmarkEnd w:id="415"/>
      <w:bookmarkStart w:id="97" w:name="_Toc24466"/>
      <w:bookmarkStart w:id="98" w:name="_Toc12187"/>
      <w:bookmarkStart w:id="99" w:name="_Toc117675763"/>
      <w:bookmarkStart w:id="100" w:name="_Toc123040344"/>
      <w:bookmarkStart w:id="101" w:name="_Toc30580"/>
      <w:bookmarkStart w:id="102" w:name="_Toc12729"/>
      <w:r>
        <w:rPr>
          <w:rFonts w:ascii="黑体" w:hAnsi="黑体" w:eastAsia="黑体" w:cs="Times New Roman"/>
          <w:szCs w:val="32"/>
        </w:rPr>
        <w:t>附件：</w:t>
      </w:r>
      <w:r>
        <w:rPr>
          <w:rFonts w:hint="eastAsia" w:ascii="黑体" w:hAnsi="黑体" w:eastAsia="黑体" w:cs="Times New Roman"/>
          <w:szCs w:val="32"/>
        </w:rPr>
        <w:t>重点区分解方案</w:t>
      </w:r>
      <w:bookmarkEnd w:id="97"/>
      <w:bookmarkEnd w:id="98"/>
      <w:bookmarkEnd w:id="99"/>
      <w:bookmarkEnd w:id="100"/>
      <w:bookmarkEnd w:id="101"/>
      <w:bookmarkEnd w:id="102"/>
    </w:p>
    <w:p>
      <w:pPr>
        <w:suppressAutoHyphens/>
        <w:adjustRightInd/>
        <w:snapToGrid/>
        <w:spacing w:line="580" w:lineRule="exact"/>
        <w:ind w:firstLine="640" w:firstLineChars="0"/>
        <w:jc w:val="left"/>
        <w:outlineLvl w:val="0"/>
        <w:rPr>
          <w:rFonts w:ascii="黑体" w:hAnsi="黑体" w:eastAsia="黑体" w:cs="Times New Roman"/>
          <w:szCs w:val="32"/>
        </w:rPr>
      </w:pPr>
      <w:bookmarkStart w:id="103" w:name="_Toc7132"/>
      <w:bookmarkStart w:id="104" w:name="_Toc119668331"/>
      <w:bookmarkStart w:id="105" w:name="_Toc121070621"/>
      <w:bookmarkStart w:id="106" w:name="_Toc117669337"/>
      <w:bookmarkStart w:id="107" w:name="_Toc121070687"/>
      <w:bookmarkStart w:id="108" w:name="_Toc19412"/>
      <w:bookmarkStart w:id="109" w:name="_Toc10726"/>
      <w:bookmarkStart w:id="110" w:name="_Toc20826"/>
      <w:bookmarkStart w:id="111" w:name="_Toc11134"/>
      <w:bookmarkStart w:id="112" w:name="_Toc118302016"/>
      <w:bookmarkStart w:id="113" w:name="_Toc121132154"/>
      <w:bookmarkStart w:id="114" w:name="_Toc123040345"/>
      <w:bookmarkStart w:id="115" w:name="_Toc117675764"/>
      <w:r>
        <w:rPr>
          <w:rFonts w:ascii="黑体" w:hAnsi="黑体" w:eastAsia="黑体" w:cs="Times New Roman"/>
          <w:szCs w:val="32"/>
        </w:rPr>
        <w:t>一、海淀区</w:t>
      </w:r>
      <w:bookmarkEnd w:id="103"/>
      <w:bookmarkEnd w:id="104"/>
      <w:bookmarkEnd w:id="105"/>
      <w:bookmarkEnd w:id="106"/>
      <w:bookmarkEnd w:id="107"/>
      <w:bookmarkEnd w:id="108"/>
      <w:bookmarkEnd w:id="109"/>
      <w:bookmarkEnd w:id="110"/>
      <w:bookmarkEnd w:id="111"/>
      <w:bookmarkEnd w:id="112"/>
      <w:bookmarkEnd w:id="113"/>
      <w:bookmarkEnd w:id="114"/>
      <w:bookmarkEnd w:id="115"/>
    </w:p>
    <w:p>
      <w:pPr>
        <w:suppressAutoHyphens/>
        <w:adjustRightInd/>
        <w:snapToGrid/>
        <w:spacing w:line="580" w:lineRule="exact"/>
        <w:ind w:firstLine="640" w:firstLineChars="0"/>
        <w:outlineLvl w:val="1"/>
        <w:rPr>
          <w:rFonts w:ascii="楷体" w:hAnsi="楷体" w:eastAsia="楷体" w:cs="楷体"/>
          <w:szCs w:val="32"/>
          <w:lang w:val="zh-CN"/>
        </w:rPr>
      </w:pPr>
      <w:bookmarkStart w:id="116" w:name="_Toc121070622"/>
      <w:bookmarkStart w:id="117" w:name="_Toc117675765"/>
      <w:bookmarkStart w:id="118" w:name="_Toc119668332"/>
      <w:bookmarkStart w:id="119" w:name="_Toc123040346"/>
      <w:bookmarkStart w:id="120" w:name="_Toc117669338"/>
      <w:bookmarkStart w:id="121" w:name="_Toc11262"/>
      <w:bookmarkStart w:id="122" w:name="_Toc14136"/>
      <w:bookmarkStart w:id="123" w:name="_Toc121070688"/>
      <w:bookmarkStart w:id="124" w:name="_Toc32137"/>
      <w:bookmarkStart w:id="125" w:name="_Toc118302017"/>
      <w:bookmarkStart w:id="126" w:name="_Toc121132155"/>
      <w:bookmarkStart w:id="127" w:name="_Toc25383"/>
      <w:bookmarkStart w:id="128" w:name="_Toc11466"/>
      <w:r>
        <w:rPr>
          <w:rFonts w:ascii="楷体" w:hAnsi="楷体" w:eastAsia="楷体" w:cs="楷体"/>
          <w:szCs w:val="32"/>
          <w:lang w:val="zh-CN"/>
        </w:rPr>
        <w:t>（一）</w:t>
      </w:r>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楷体" w:hAnsi="楷体" w:eastAsia="楷体" w:cs="楷体"/>
          <w:szCs w:val="32"/>
          <w:lang w:val="zh-CN"/>
        </w:rPr>
        <w:t>概况</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海淀</w:t>
      </w:r>
      <w:r>
        <w:rPr>
          <w:rFonts w:hint="eastAsia" w:ascii="仿宋_GB2312" w:hAnsi="仿宋_GB2312" w:cs="仿宋_GB2312"/>
          <w:szCs w:val="32"/>
          <w:lang w:val="zh-CN"/>
        </w:rPr>
        <w:t>区</w:t>
      </w:r>
      <w:r>
        <w:rPr>
          <w:rFonts w:ascii="仿宋_GB2312" w:hAnsi="仿宋_GB2312" w:cs="仿宋_GB2312"/>
          <w:szCs w:val="32"/>
          <w:lang w:val="zh-CN"/>
        </w:rPr>
        <w:t>供水水源仍以地下水为主，</w:t>
      </w:r>
      <w:r>
        <w:rPr>
          <w:rFonts w:hint="eastAsia" w:ascii="仿宋_GB2312" w:hAnsi="仿宋_GB2312" w:cs="仿宋_GB2312"/>
          <w:szCs w:val="32"/>
          <w:lang w:val="zh-CN"/>
        </w:rPr>
        <w:t>北部地区无可替代地表水、外调水源，</w:t>
      </w:r>
      <w:r>
        <w:rPr>
          <w:rFonts w:ascii="仿宋_GB2312" w:hAnsi="仿宋_GB2312" w:cs="仿宋_GB2312"/>
          <w:szCs w:val="32"/>
          <w:lang w:val="zh-CN"/>
        </w:rPr>
        <w:t>地下水资源开发利用紧平衡状态尚未彻底扭转</w:t>
      </w:r>
      <w:r>
        <w:rPr>
          <w:rFonts w:hint="eastAsia" w:ascii="仿宋_GB2312" w:hAnsi="仿宋_GB2312" w:cs="仿宋_GB2312"/>
          <w:szCs w:val="32"/>
          <w:lang w:val="zh-CN"/>
        </w:rPr>
        <w:t>，历史亏空尚未补齐，重要泉域范围地下水开采仍未得到有效置换，泉域修复仍有较大难度</w:t>
      </w:r>
      <w:r>
        <w:rPr>
          <w:rFonts w:ascii="仿宋_GB2312" w:hAnsi="仿宋_GB2312" w:cs="仿宋_GB2312"/>
          <w:szCs w:val="32"/>
          <w:lang w:val="zh-CN"/>
        </w:rPr>
        <w:t>。</w:t>
      </w:r>
    </w:p>
    <w:p>
      <w:pPr>
        <w:suppressAutoHyphens/>
        <w:adjustRightInd/>
        <w:snapToGrid/>
        <w:spacing w:line="580" w:lineRule="exact"/>
        <w:ind w:firstLine="640" w:firstLineChars="0"/>
        <w:outlineLvl w:val="1"/>
        <w:rPr>
          <w:rFonts w:ascii="楷体" w:hAnsi="楷体" w:eastAsia="楷体" w:cs="楷体"/>
          <w:szCs w:val="32"/>
          <w:lang w:val="zh-CN"/>
        </w:rPr>
      </w:pPr>
      <w:bookmarkStart w:id="129" w:name="_Toc117675766"/>
      <w:bookmarkStart w:id="130" w:name="_Toc121070689"/>
      <w:bookmarkStart w:id="131" w:name="_Toc117669339"/>
      <w:bookmarkStart w:id="132" w:name="_Toc23963"/>
      <w:bookmarkStart w:id="133" w:name="_Toc118302018"/>
      <w:bookmarkStart w:id="134" w:name="_Toc30699"/>
      <w:bookmarkStart w:id="135" w:name="_Toc121070623"/>
      <w:bookmarkStart w:id="136" w:name="_Toc17797"/>
      <w:bookmarkStart w:id="137" w:name="_Toc123040347"/>
      <w:bookmarkStart w:id="138" w:name="_Toc119668333"/>
      <w:bookmarkStart w:id="139" w:name="_Toc3187"/>
      <w:bookmarkStart w:id="140" w:name="_Toc121132156"/>
      <w:bookmarkStart w:id="141" w:name="_Toc1884"/>
      <w:r>
        <w:rPr>
          <w:rFonts w:ascii="楷体" w:hAnsi="楷体" w:eastAsia="楷体" w:cs="楷体"/>
          <w:szCs w:val="32"/>
          <w:lang w:val="zh-CN"/>
        </w:rPr>
        <w:t>（二）治理目标</w:t>
      </w:r>
      <w:bookmarkEnd w:id="129"/>
      <w:bookmarkEnd w:id="130"/>
      <w:bookmarkEnd w:id="131"/>
      <w:bookmarkEnd w:id="132"/>
      <w:bookmarkEnd w:id="133"/>
      <w:bookmarkEnd w:id="134"/>
      <w:bookmarkEnd w:id="135"/>
      <w:bookmarkEnd w:id="136"/>
      <w:bookmarkEnd w:id="137"/>
      <w:bookmarkEnd w:id="138"/>
      <w:bookmarkEnd w:id="139"/>
      <w:bookmarkEnd w:id="140"/>
      <w:bookmarkEnd w:id="141"/>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扩大公共供水覆盖范围，西郊地下水储备区、玉泉山泉域得到有效涵养修复，</w:t>
      </w:r>
      <w:r>
        <w:rPr>
          <w:rFonts w:ascii="仿宋_GB2312" w:hAnsi="仿宋_GB2312" w:cs="仿宋_GB2312"/>
          <w:szCs w:val="32"/>
          <w:lang w:val="zh-CN"/>
        </w:rPr>
        <w:t>平水年条件下</w:t>
      </w:r>
      <w:r>
        <w:rPr>
          <w:rFonts w:hint="eastAsia" w:ascii="仿宋_GB2312" w:hAnsi="仿宋_GB2312" w:cs="仿宋_GB2312"/>
          <w:szCs w:val="32"/>
          <w:lang w:val="zh-CN"/>
        </w:rPr>
        <w:t>平原区</w:t>
      </w:r>
      <w:r>
        <w:rPr>
          <w:rFonts w:ascii="仿宋_GB2312" w:hAnsi="仿宋_GB2312" w:cs="仿宋_GB2312"/>
          <w:szCs w:val="32"/>
          <w:lang w:val="zh-CN"/>
        </w:rPr>
        <w:t>平均地下水水位回升0.5米</w:t>
      </w:r>
      <w:r>
        <w:rPr>
          <w:rFonts w:hint="eastAsia" w:ascii="仿宋_GB2312" w:hAnsi="仿宋_GB2312" w:cs="仿宋_GB2312"/>
          <w:szCs w:val="32"/>
          <w:lang w:val="zh-CN"/>
        </w:rPr>
        <w:t>。</w:t>
      </w:r>
    </w:p>
    <w:p>
      <w:pPr>
        <w:suppressAutoHyphens/>
        <w:adjustRightInd/>
        <w:snapToGrid/>
        <w:spacing w:line="580" w:lineRule="exact"/>
        <w:ind w:firstLine="640" w:firstLineChars="0"/>
        <w:outlineLvl w:val="1"/>
        <w:rPr>
          <w:rFonts w:ascii="楷体" w:hAnsi="楷体" w:eastAsia="楷体" w:cs="楷体"/>
          <w:szCs w:val="32"/>
          <w:lang w:val="zh-CN"/>
        </w:rPr>
      </w:pPr>
      <w:bookmarkStart w:id="142" w:name="_Toc12870"/>
      <w:bookmarkStart w:id="143" w:name="_Toc28579"/>
      <w:bookmarkStart w:id="144" w:name="_Toc119668334"/>
      <w:bookmarkStart w:id="145" w:name="_Toc123040348"/>
      <w:bookmarkStart w:id="146" w:name="_Toc117669340"/>
      <w:bookmarkStart w:id="147" w:name="_Toc3822"/>
      <w:bookmarkStart w:id="148" w:name="_Toc121070690"/>
      <w:bookmarkStart w:id="149" w:name="_Toc118302019"/>
      <w:bookmarkStart w:id="150" w:name="_Toc121070624"/>
      <w:bookmarkStart w:id="151" w:name="_Toc18010"/>
      <w:bookmarkStart w:id="152" w:name="_Toc121132157"/>
      <w:bookmarkStart w:id="153" w:name="_Toc14993"/>
      <w:bookmarkStart w:id="154" w:name="_Toc117675767"/>
      <w:r>
        <w:rPr>
          <w:rFonts w:ascii="楷体" w:hAnsi="楷体" w:eastAsia="楷体" w:cs="楷体"/>
          <w:szCs w:val="32"/>
          <w:lang w:val="zh-CN"/>
        </w:rPr>
        <w:t>（三）治理措施</w:t>
      </w:r>
      <w:bookmarkEnd w:id="142"/>
      <w:bookmarkEnd w:id="143"/>
      <w:bookmarkEnd w:id="144"/>
      <w:bookmarkEnd w:id="145"/>
      <w:bookmarkEnd w:id="146"/>
      <w:bookmarkEnd w:id="147"/>
      <w:bookmarkEnd w:id="148"/>
      <w:bookmarkEnd w:id="149"/>
      <w:bookmarkEnd w:id="150"/>
      <w:bookmarkEnd w:id="151"/>
      <w:bookmarkEnd w:id="152"/>
      <w:bookmarkEnd w:id="153"/>
      <w:bookmarkEnd w:id="154"/>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lang w:val="zh-CN"/>
        </w:rPr>
        <w:t>推进地表水厂及管网建设</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建成温泉水厂，扩大地表水供水管网覆盖范围，进一步缓解海淀区供水压力</w:t>
      </w:r>
      <w:r>
        <w:rPr>
          <w:rFonts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2.</w:t>
      </w:r>
      <w:r>
        <w:rPr>
          <w:rFonts w:hint="eastAsia" w:ascii="仿宋_GB2312" w:hAnsi="仿宋_GB2312" w:cs="仿宋_GB2312"/>
          <w:szCs w:val="32"/>
          <w:lang w:val="zh-CN"/>
        </w:rPr>
        <w:t>加强水源置换</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结合西郊地下水储备区建设与玉泉山泉涵养修复工作，大力推进地下水减采工作，通过接入城镇公共供水管网置换相关区域地下水。完成</w:t>
      </w:r>
      <w:r>
        <w:rPr>
          <w:rFonts w:ascii="仿宋_GB2312" w:hAnsi="仿宋_GB2312" w:cs="仿宋_GB2312"/>
          <w:szCs w:val="32"/>
          <w:lang w:val="zh-CN"/>
        </w:rPr>
        <w:t>2</w:t>
      </w:r>
      <w:r>
        <w:rPr>
          <w:rFonts w:hint="eastAsia" w:ascii="仿宋_GB2312" w:hAnsi="仿宋_GB2312" w:cs="仿宋_GB2312"/>
          <w:szCs w:val="32"/>
          <w:lang w:val="zh-CN"/>
        </w:rPr>
        <w:t>3个自建设施供水住宅小区（社会单位）置换，通过“城带村”方式，将不少于</w:t>
      </w:r>
      <w:r>
        <w:rPr>
          <w:rFonts w:ascii="仿宋_GB2312" w:hAnsi="仿宋_GB2312" w:cs="仿宋_GB2312"/>
          <w:szCs w:val="32"/>
          <w:lang w:val="zh-CN"/>
        </w:rPr>
        <w:t>9</w:t>
      </w:r>
      <w:r>
        <w:rPr>
          <w:rFonts w:hint="eastAsia" w:ascii="仿宋_GB2312" w:hAnsi="仿宋_GB2312" w:cs="仿宋_GB2312"/>
          <w:szCs w:val="32"/>
          <w:lang w:val="zh-CN"/>
        </w:rPr>
        <w:t>个村庄纳入城镇公共供水范围。</w:t>
      </w:r>
      <w:r>
        <w:rPr>
          <w:rFonts w:hint="eastAsia" w:ascii="仿宋_GB2312" w:hAnsi="仿宋_GB2312" w:cs="仿宋_GB2312"/>
          <w:szCs w:val="32"/>
        </w:rPr>
        <w:t>完成</w:t>
      </w:r>
      <w:r>
        <w:rPr>
          <w:rFonts w:hint="eastAsia" w:ascii="仿宋_GB2312" w:hAnsi="仿宋_GB2312" w:cs="仿宋_GB2312"/>
          <w:szCs w:val="32"/>
          <w:lang w:val="zh-CN"/>
        </w:rPr>
        <w:t>稻香湖再生水厂二期扩建，新建（改建）污水管线</w:t>
      </w:r>
      <w:r>
        <w:rPr>
          <w:rFonts w:hint="eastAsia" w:ascii="仿宋_GB2312" w:hAnsi="仿宋_GB2312" w:cs="仿宋_GB2312"/>
          <w:szCs w:val="32"/>
        </w:rPr>
        <w:t>4公里</w:t>
      </w:r>
      <w:r>
        <w:rPr>
          <w:rFonts w:hint="eastAsia" w:ascii="仿宋_GB2312" w:hAnsi="仿宋_GB2312" w:cs="仿宋_GB2312"/>
          <w:szCs w:val="32"/>
          <w:lang w:val="zh-CN"/>
        </w:rPr>
        <w:t>，促进</w:t>
      </w:r>
      <w:r>
        <w:rPr>
          <w:rFonts w:ascii="仿宋_GB2312" w:hAnsi="仿宋_GB2312" w:cs="仿宋_GB2312"/>
          <w:szCs w:val="32"/>
          <w:lang w:val="zh-CN"/>
        </w:rPr>
        <w:t>区内园林绿化</w:t>
      </w:r>
      <w:r>
        <w:rPr>
          <w:rFonts w:hint="eastAsia" w:ascii="仿宋_GB2312" w:hAnsi="仿宋_GB2312" w:cs="仿宋_GB2312"/>
          <w:szCs w:val="32"/>
          <w:lang w:val="zh-CN"/>
        </w:rPr>
        <w:t>灌溉</w:t>
      </w:r>
      <w:r>
        <w:rPr>
          <w:rFonts w:ascii="仿宋_GB2312" w:hAnsi="仿宋_GB2312" w:cs="仿宋_GB2312"/>
          <w:szCs w:val="32"/>
          <w:lang w:val="zh-CN"/>
        </w:rPr>
        <w:t>的</w:t>
      </w:r>
      <w:r>
        <w:rPr>
          <w:rFonts w:hint="eastAsia" w:ascii="仿宋_GB2312" w:hAnsi="仿宋_GB2312" w:cs="仿宋_GB2312"/>
          <w:szCs w:val="32"/>
          <w:lang w:val="zh-CN"/>
        </w:rPr>
        <w:t>非常规水</w:t>
      </w:r>
      <w:r>
        <w:rPr>
          <w:rFonts w:ascii="仿宋_GB2312" w:hAnsi="仿宋_GB2312" w:cs="仿宋_GB2312"/>
          <w:szCs w:val="32"/>
          <w:lang w:val="zh-CN"/>
        </w:rPr>
        <w:t>置换，园林绿化</w:t>
      </w:r>
      <w:r>
        <w:rPr>
          <w:rFonts w:hint="eastAsia" w:ascii="仿宋_GB2312" w:hAnsi="仿宋_GB2312" w:cs="仿宋_GB2312"/>
          <w:szCs w:val="32"/>
          <w:lang w:val="zh-CN"/>
        </w:rPr>
        <w:t>用水逐步退出取用自来水与地下水</w:t>
      </w:r>
      <w:r>
        <w:rPr>
          <w:rFonts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3.</w:t>
      </w:r>
      <w:r>
        <w:rPr>
          <w:rFonts w:hint="eastAsia" w:ascii="仿宋_GB2312" w:hAnsi="仿宋_GB2312" w:cs="仿宋_GB2312"/>
          <w:szCs w:val="32"/>
          <w:lang w:val="zh-CN"/>
        </w:rPr>
        <w:t>加大地下水回补涵养</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以西郊地下水储备区与玉泉山泉域地下水涵养为目标，</w:t>
      </w:r>
      <w:r>
        <w:rPr>
          <w:rFonts w:ascii="仿宋_GB2312" w:hAnsi="仿宋_GB2312" w:cs="仿宋_GB2312"/>
          <w:szCs w:val="32"/>
          <w:lang w:val="zh-CN"/>
        </w:rPr>
        <w:t>开展</w:t>
      </w:r>
      <w:r>
        <w:rPr>
          <w:rFonts w:hint="eastAsia" w:ascii="仿宋_GB2312" w:hAnsi="仿宋_GB2312" w:cs="仿宋_GB2312"/>
          <w:szCs w:val="32"/>
          <w:lang w:val="zh-CN"/>
        </w:rPr>
        <w:t>三山五园地区</w:t>
      </w:r>
      <w:r>
        <w:rPr>
          <w:rFonts w:ascii="仿宋_GB2312" w:hAnsi="仿宋_GB2312" w:cs="仿宋_GB2312"/>
          <w:szCs w:val="32"/>
          <w:lang w:val="zh-CN"/>
        </w:rPr>
        <w:t>地下水</w:t>
      </w:r>
      <w:r>
        <w:rPr>
          <w:rFonts w:hint="eastAsia" w:ascii="仿宋_GB2312" w:hAnsi="仿宋_GB2312" w:cs="仿宋_GB2312"/>
          <w:szCs w:val="32"/>
          <w:lang w:val="zh-CN"/>
        </w:rPr>
        <w:t>增渗回补</w:t>
      </w:r>
      <w:r>
        <w:rPr>
          <w:rFonts w:ascii="仿宋_GB2312" w:hAnsi="仿宋_GB2312" w:cs="仿宋_GB2312"/>
          <w:szCs w:val="32"/>
          <w:lang w:val="zh-CN"/>
        </w:rPr>
        <w:t>工作，通过三条补水路线开展地下水</w:t>
      </w:r>
      <w:r>
        <w:rPr>
          <w:rFonts w:hint="eastAsia" w:ascii="仿宋_GB2312" w:hAnsi="仿宋_GB2312" w:cs="仿宋_GB2312"/>
          <w:szCs w:val="32"/>
          <w:lang w:val="zh-CN"/>
        </w:rPr>
        <w:t>补给</w:t>
      </w:r>
      <w:r>
        <w:rPr>
          <w:rFonts w:ascii="仿宋_GB2312" w:hAnsi="仿宋_GB2312" w:cs="仿宋_GB2312"/>
          <w:szCs w:val="32"/>
          <w:lang w:val="zh-CN"/>
        </w:rPr>
        <w:t>：（1）利用</w:t>
      </w:r>
      <w:r>
        <w:rPr>
          <w:rFonts w:hint="eastAsia" w:ascii="仿宋_GB2312" w:hAnsi="仿宋_GB2312" w:cs="仿宋_GB2312"/>
          <w:szCs w:val="32"/>
          <w:lang w:val="zh-CN"/>
        </w:rPr>
        <w:t>地表水</w:t>
      </w:r>
      <w:r>
        <w:rPr>
          <w:rFonts w:ascii="仿宋_GB2312" w:hAnsi="仿宋_GB2312" w:cs="仿宋_GB2312"/>
          <w:szCs w:val="32"/>
          <w:lang w:val="zh-CN"/>
        </w:rPr>
        <w:t>补给北长河、玉东公园及北坞砂石坑；（2）新建南旱河与西冉砂石坑连通工程，利用</w:t>
      </w:r>
      <w:r>
        <w:rPr>
          <w:rFonts w:hint="eastAsia" w:ascii="仿宋_GB2312" w:hAnsi="仿宋_GB2312" w:cs="仿宋_GB2312"/>
          <w:szCs w:val="32"/>
          <w:lang w:val="zh-CN"/>
        </w:rPr>
        <w:t>地表水</w:t>
      </w:r>
      <w:r>
        <w:rPr>
          <w:rFonts w:ascii="仿宋_GB2312" w:hAnsi="仿宋_GB2312" w:cs="仿宋_GB2312"/>
          <w:szCs w:val="32"/>
          <w:lang w:val="zh-CN"/>
        </w:rPr>
        <w:t>补给南旱河、北旱河及西冉砂石坑；（3）</w:t>
      </w:r>
      <w:r>
        <w:rPr>
          <w:rFonts w:hint="eastAsia" w:ascii="仿宋_GB2312" w:hAnsi="仿宋_GB2312" w:cs="仿宋_GB2312"/>
          <w:szCs w:val="32"/>
          <w:lang w:val="zh-CN"/>
        </w:rPr>
        <w:t>利用地表水通过东水西调、永定河引水渠等引水至西郊雨洪调蓄工程及西黄村砂石坑</w:t>
      </w:r>
      <w:r>
        <w:rPr>
          <w:rFonts w:ascii="仿宋_GB2312" w:hAnsi="仿宋_GB2312" w:cs="仿宋_GB2312"/>
          <w:szCs w:val="32"/>
          <w:lang w:val="zh-CN"/>
        </w:rPr>
        <w:t>。</w:t>
      </w:r>
    </w:p>
    <w:p>
      <w:pPr>
        <w:spacing w:line="360" w:lineRule="auto"/>
        <w:ind w:firstLine="640"/>
        <w:rPr>
          <w:rFonts w:cs="Times New Roman"/>
        </w:rPr>
        <w:sectPr>
          <w:headerReference r:id="rId11" w:type="default"/>
          <w:footerReference r:id="rId12" w:type="default"/>
          <w:pgSz w:w="11906" w:h="16838"/>
          <w:pgMar w:top="1440" w:right="1800" w:bottom="1440" w:left="1800" w:header="227" w:footer="624" w:gutter="0"/>
          <w:cols w:space="425" w:num="1"/>
          <w:docGrid w:linePitch="435" w:charSpace="0"/>
        </w:sectPr>
      </w:pPr>
    </w:p>
    <w:p>
      <w:pPr>
        <w:suppressAutoHyphens/>
        <w:adjustRightInd/>
        <w:snapToGrid/>
        <w:spacing w:line="580" w:lineRule="exact"/>
        <w:ind w:firstLine="640" w:firstLineChars="0"/>
        <w:jc w:val="left"/>
        <w:outlineLvl w:val="0"/>
        <w:rPr>
          <w:rFonts w:ascii="黑体" w:hAnsi="黑体" w:eastAsia="黑体" w:cs="Times New Roman"/>
          <w:szCs w:val="32"/>
        </w:rPr>
      </w:pPr>
      <w:bookmarkStart w:id="155" w:name="_Toc121070625"/>
      <w:bookmarkStart w:id="156" w:name="_Toc118302020"/>
      <w:bookmarkStart w:id="157" w:name="_Toc27972"/>
      <w:bookmarkStart w:id="158" w:name="_Toc121070691"/>
      <w:bookmarkStart w:id="159" w:name="_Toc119668335"/>
      <w:bookmarkStart w:id="160" w:name="_Toc117669342"/>
      <w:bookmarkStart w:id="161" w:name="_Toc123040349"/>
      <w:bookmarkStart w:id="162" w:name="_Toc10103"/>
      <w:bookmarkStart w:id="163" w:name="_Toc7939"/>
      <w:bookmarkStart w:id="164" w:name="_Toc15172"/>
      <w:bookmarkStart w:id="165" w:name="_Toc20938"/>
      <w:bookmarkStart w:id="166" w:name="_Toc121132158"/>
      <w:bookmarkStart w:id="167" w:name="_Toc117675769"/>
      <w:r>
        <w:rPr>
          <w:rFonts w:ascii="黑体" w:hAnsi="黑体" w:eastAsia="黑体" w:cs="Times New Roman"/>
          <w:szCs w:val="32"/>
        </w:rPr>
        <w:t>二、昌平区</w:t>
      </w:r>
      <w:bookmarkEnd w:id="155"/>
      <w:bookmarkEnd w:id="156"/>
      <w:bookmarkEnd w:id="157"/>
      <w:bookmarkEnd w:id="158"/>
      <w:bookmarkEnd w:id="159"/>
      <w:bookmarkEnd w:id="160"/>
      <w:bookmarkEnd w:id="161"/>
      <w:bookmarkEnd w:id="162"/>
      <w:bookmarkEnd w:id="163"/>
      <w:bookmarkEnd w:id="164"/>
      <w:bookmarkEnd w:id="165"/>
      <w:bookmarkEnd w:id="166"/>
      <w:bookmarkEnd w:id="167"/>
    </w:p>
    <w:p>
      <w:pPr>
        <w:suppressAutoHyphens/>
        <w:adjustRightInd/>
        <w:snapToGrid/>
        <w:spacing w:line="580" w:lineRule="exact"/>
        <w:ind w:firstLine="640" w:firstLineChars="0"/>
        <w:outlineLvl w:val="1"/>
        <w:rPr>
          <w:rFonts w:ascii="楷体" w:hAnsi="楷体" w:eastAsia="楷体" w:cs="楷体"/>
          <w:szCs w:val="32"/>
          <w:lang w:val="zh-CN"/>
        </w:rPr>
      </w:pPr>
      <w:bookmarkStart w:id="168" w:name="_Toc121070626"/>
      <w:bookmarkStart w:id="169" w:name="_Toc121070692"/>
      <w:bookmarkStart w:id="170" w:name="_Toc118302021"/>
      <w:bookmarkStart w:id="171" w:name="_Toc17458"/>
      <w:bookmarkStart w:id="172" w:name="_Toc22557"/>
      <w:bookmarkStart w:id="173" w:name="_Toc117675770"/>
      <w:bookmarkStart w:id="174" w:name="_Toc20499"/>
      <w:bookmarkStart w:id="175" w:name="_Toc123040350"/>
      <w:bookmarkStart w:id="176" w:name="_Toc16246"/>
      <w:bookmarkStart w:id="177" w:name="_Toc117669343"/>
      <w:bookmarkStart w:id="178" w:name="_Toc25126"/>
      <w:bookmarkStart w:id="179" w:name="_Toc119668336"/>
      <w:bookmarkStart w:id="180" w:name="_Toc121132159"/>
      <w:r>
        <w:rPr>
          <w:rFonts w:ascii="楷体" w:hAnsi="楷体" w:eastAsia="楷体" w:cs="楷体"/>
          <w:szCs w:val="32"/>
          <w:lang w:val="zh-CN"/>
        </w:rPr>
        <w:t>（一）</w:t>
      </w:r>
      <w:r>
        <w:rPr>
          <w:rFonts w:hint="eastAsia" w:ascii="楷体" w:hAnsi="楷体" w:eastAsia="楷体" w:cs="楷体"/>
          <w:szCs w:val="32"/>
          <w:lang w:val="zh-CN"/>
        </w:rPr>
        <w:t>概况</w:t>
      </w:r>
      <w:bookmarkEnd w:id="168"/>
      <w:bookmarkEnd w:id="169"/>
      <w:bookmarkEnd w:id="170"/>
      <w:bookmarkEnd w:id="171"/>
      <w:bookmarkEnd w:id="172"/>
      <w:bookmarkEnd w:id="173"/>
      <w:bookmarkEnd w:id="174"/>
      <w:bookmarkEnd w:id="175"/>
      <w:bookmarkEnd w:id="176"/>
      <w:bookmarkEnd w:id="177"/>
      <w:bookmarkEnd w:id="178"/>
      <w:bookmarkEnd w:id="179"/>
      <w:bookmarkEnd w:id="180"/>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昌平区供水水源以地下水为主，地表水资源可利用量低</w:t>
      </w:r>
      <w:r>
        <w:rPr>
          <w:rFonts w:hint="eastAsia" w:ascii="仿宋_GB2312" w:hAnsi="仿宋_GB2312" w:cs="仿宋_GB2312"/>
          <w:szCs w:val="32"/>
          <w:lang w:val="zh-CN"/>
        </w:rPr>
        <w:t>。昌平</w:t>
      </w:r>
      <w:r>
        <w:rPr>
          <w:rFonts w:ascii="仿宋_GB2312" w:hAnsi="仿宋_GB2312" w:cs="仿宋_GB2312"/>
          <w:szCs w:val="32"/>
          <w:lang w:val="zh-CN"/>
        </w:rPr>
        <w:t>地表水厂</w:t>
      </w:r>
      <w:r>
        <w:rPr>
          <w:rFonts w:hint="eastAsia" w:ascii="仿宋_GB2312" w:hAnsi="仿宋_GB2312" w:cs="仿宋_GB2312"/>
          <w:szCs w:val="32"/>
          <w:lang w:val="zh-CN"/>
        </w:rPr>
        <w:t>暂未投产，未对本地水源形成有效置换，</w:t>
      </w:r>
      <w:r>
        <w:rPr>
          <w:rFonts w:ascii="仿宋_GB2312" w:hAnsi="仿宋_GB2312" w:cs="仿宋_GB2312"/>
          <w:szCs w:val="32"/>
          <w:lang w:val="zh-CN"/>
        </w:rPr>
        <w:t>地下水资源开发利用</w:t>
      </w:r>
      <w:r>
        <w:rPr>
          <w:rFonts w:hint="eastAsia" w:ascii="仿宋_GB2312" w:hAnsi="仿宋_GB2312" w:cs="仿宋_GB2312"/>
          <w:szCs w:val="32"/>
          <w:lang w:val="zh-CN"/>
        </w:rPr>
        <w:t>仍处于</w:t>
      </w:r>
      <w:r>
        <w:rPr>
          <w:rFonts w:ascii="仿宋_GB2312" w:hAnsi="仿宋_GB2312" w:cs="仿宋_GB2312"/>
          <w:szCs w:val="32"/>
          <w:lang w:val="zh-CN"/>
        </w:rPr>
        <w:t>紧平衡状态</w:t>
      </w:r>
      <w:r>
        <w:rPr>
          <w:rFonts w:hint="eastAsia" w:ascii="仿宋_GB2312" w:hAnsi="仿宋_GB2312" w:cs="仿宋_GB2312"/>
          <w:szCs w:val="32"/>
          <w:lang w:val="zh-CN"/>
        </w:rPr>
        <w:t>，历史欠账尚未补齐</w:t>
      </w:r>
      <w:r>
        <w:rPr>
          <w:rFonts w:ascii="仿宋_GB2312" w:hAnsi="仿宋_GB2312" w:cs="仿宋_GB2312"/>
          <w:szCs w:val="32"/>
          <w:lang w:val="zh-CN"/>
        </w:rPr>
        <w:t>，</w:t>
      </w:r>
      <w:r>
        <w:rPr>
          <w:rFonts w:hint="eastAsia" w:ascii="仿宋_GB2312" w:hAnsi="仿宋_GB2312" w:cs="仿宋_GB2312"/>
          <w:szCs w:val="32"/>
          <w:lang w:val="zh-CN"/>
        </w:rPr>
        <w:t>重要泉域的恢复难度大。</w:t>
      </w:r>
    </w:p>
    <w:p>
      <w:pPr>
        <w:suppressAutoHyphens/>
        <w:adjustRightInd/>
        <w:snapToGrid/>
        <w:spacing w:line="580" w:lineRule="exact"/>
        <w:ind w:firstLine="640" w:firstLineChars="0"/>
        <w:outlineLvl w:val="1"/>
        <w:rPr>
          <w:rFonts w:ascii="楷体" w:hAnsi="楷体" w:eastAsia="楷体" w:cs="楷体"/>
          <w:szCs w:val="32"/>
          <w:lang w:val="zh-CN"/>
        </w:rPr>
      </w:pPr>
      <w:bookmarkStart w:id="181" w:name="_Toc121070693"/>
      <w:bookmarkStart w:id="182" w:name="_Toc121132160"/>
      <w:bookmarkStart w:id="183" w:name="_Toc119668337"/>
      <w:bookmarkStart w:id="184" w:name="_Toc9284"/>
      <w:bookmarkStart w:id="185" w:name="_Toc123040351"/>
      <w:bookmarkStart w:id="186" w:name="_Toc7127"/>
      <w:bookmarkStart w:id="187" w:name="_Toc16342"/>
      <w:bookmarkStart w:id="188" w:name="_Toc117669344"/>
      <w:bookmarkStart w:id="189" w:name="_Toc117675771"/>
      <w:bookmarkStart w:id="190" w:name="_Toc121070627"/>
      <w:bookmarkStart w:id="191" w:name="_Toc118302022"/>
      <w:bookmarkStart w:id="192" w:name="_Toc19285"/>
      <w:bookmarkStart w:id="193" w:name="_Toc13780"/>
      <w:r>
        <w:rPr>
          <w:rFonts w:ascii="楷体" w:hAnsi="楷体" w:eastAsia="楷体" w:cs="楷体"/>
          <w:szCs w:val="32"/>
          <w:lang w:val="zh-CN"/>
        </w:rPr>
        <w:t>（二）治理目标</w:t>
      </w:r>
      <w:bookmarkEnd w:id="181"/>
      <w:bookmarkEnd w:id="182"/>
      <w:bookmarkEnd w:id="183"/>
      <w:bookmarkEnd w:id="184"/>
      <w:bookmarkEnd w:id="185"/>
      <w:bookmarkEnd w:id="186"/>
      <w:bookmarkEnd w:id="187"/>
      <w:bookmarkEnd w:id="188"/>
      <w:bookmarkEnd w:id="189"/>
      <w:bookmarkEnd w:id="190"/>
      <w:bookmarkEnd w:id="191"/>
      <w:bookmarkEnd w:id="192"/>
      <w:bookmarkEnd w:id="193"/>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扩大地表水厂供水覆盖范围，昌平地下水储备区、白浮泉泉域得到有效涵养修复，平水年条件下平原区平均地下水水位回升0.5米。</w:t>
      </w:r>
    </w:p>
    <w:p>
      <w:pPr>
        <w:suppressAutoHyphens/>
        <w:adjustRightInd/>
        <w:snapToGrid/>
        <w:spacing w:line="580" w:lineRule="exact"/>
        <w:ind w:firstLine="640" w:firstLineChars="0"/>
        <w:outlineLvl w:val="1"/>
        <w:rPr>
          <w:rFonts w:ascii="楷体" w:hAnsi="楷体" w:eastAsia="楷体" w:cs="楷体"/>
          <w:szCs w:val="32"/>
          <w:lang w:val="zh-CN"/>
        </w:rPr>
      </w:pPr>
      <w:bookmarkStart w:id="194" w:name="_Toc117675772"/>
      <w:bookmarkStart w:id="195" w:name="_Toc123040352"/>
      <w:bookmarkStart w:id="196" w:name="_Toc12647"/>
      <w:bookmarkStart w:id="197" w:name="_Toc117669345"/>
      <w:bookmarkStart w:id="198" w:name="_Toc121132161"/>
      <w:bookmarkStart w:id="199" w:name="_Toc19037"/>
      <w:bookmarkStart w:id="200" w:name="_Toc119668338"/>
      <w:bookmarkStart w:id="201" w:name="_Toc25939"/>
      <w:bookmarkStart w:id="202" w:name="_Toc10367"/>
      <w:bookmarkStart w:id="203" w:name="_Toc121070628"/>
      <w:bookmarkStart w:id="204" w:name="_Toc118302023"/>
      <w:bookmarkStart w:id="205" w:name="_Toc121070694"/>
      <w:bookmarkStart w:id="206" w:name="_Toc7312"/>
      <w:r>
        <w:rPr>
          <w:rFonts w:ascii="楷体" w:hAnsi="楷体" w:eastAsia="楷体" w:cs="楷体"/>
          <w:szCs w:val="32"/>
          <w:lang w:val="zh-CN"/>
        </w:rPr>
        <w:t>（三）治理措施</w:t>
      </w:r>
      <w:bookmarkEnd w:id="194"/>
      <w:bookmarkEnd w:id="195"/>
      <w:bookmarkEnd w:id="196"/>
      <w:bookmarkEnd w:id="197"/>
      <w:bookmarkEnd w:id="198"/>
      <w:bookmarkEnd w:id="199"/>
      <w:bookmarkEnd w:id="200"/>
      <w:bookmarkEnd w:id="201"/>
      <w:bookmarkEnd w:id="202"/>
      <w:bookmarkEnd w:id="203"/>
      <w:bookmarkEnd w:id="204"/>
      <w:bookmarkEnd w:id="205"/>
      <w:bookmarkEnd w:id="206"/>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lang w:val="zh-CN"/>
        </w:rPr>
        <w:t>推进地表水厂及管网建设</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大力推动</w:t>
      </w:r>
      <w:r>
        <w:rPr>
          <w:rFonts w:ascii="仿宋_GB2312" w:hAnsi="仿宋_GB2312" w:cs="仿宋_GB2312"/>
          <w:szCs w:val="32"/>
          <w:lang w:val="zh-CN"/>
        </w:rPr>
        <w:t>昌平地表水厂</w:t>
      </w:r>
      <w:r>
        <w:rPr>
          <w:rFonts w:hint="eastAsia" w:ascii="仿宋_GB2312" w:hAnsi="仿宋_GB2312" w:cs="仿宋_GB2312"/>
          <w:szCs w:val="32"/>
          <w:lang w:val="zh-CN"/>
        </w:rPr>
        <w:t>建成投产</w:t>
      </w:r>
      <w:r>
        <w:rPr>
          <w:rFonts w:ascii="仿宋_GB2312" w:hAnsi="仿宋_GB2312" w:cs="仿宋_GB2312"/>
          <w:szCs w:val="32"/>
          <w:lang w:val="zh-CN"/>
        </w:rPr>
        <w:t>，推进</w:t>
      </w:r>
      <w:r>
        <w:rPr>
          <w:rFonts w:hint="eastAsia" w:ascii="仿宋_GB2312" w:hAnsi="仿宋_GB2312" w:cs="仿宋_GB2312"/>
          <w:szCs w:val="32"/>
          <w:lang w:val="zh-CN"/>
        </w:rPr>
        <w:t>昌平兴寿水厂建设，加快配套供水管网建设进度，扩大地表水厂管网覆盖范围，新建（改建）供水管线2</w:t>
      </w:r>
      <w:r>
        <w:rPr>
          <w:rFonts w:ascii="仿宋_GB2312" w:hAnsi="仿宋_GB2312" w:cs="仿宋_GB2312"/>
          <w:szCs w:val="32"/>
          <w:lang w:val="zh-CN"/>
        </w:rPr>
        <w:t>5</w:t>
      </w:r>
      <w:r>
        <w:rPr>
          <w:rFonts w:hint="eastAsia" w:ascii="仿宋_GB2312" w:hAnsi="仿宋_GB2312" w:cs="仿宋_GB2312"/>
          <w:szCs w:val="32"/>
          <w:lang w:val="zh-CN"/>
        </w:rPr>
        <w:t>公里，为地下水置换与压采工作提供外部水源和输配基础。</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2.</w:t>
      </w:r>
      <w:r>
        <w:rPr>
          <w:rFonts w:hint="eastAsia" w:ascii="仿宋_GB2312" w:hAnsi="仿宋_GB2312" w:cs="仿宋_GB2312"/>
          <w:szCs w:val="32"/>
          <w:lang w:val="zh-CN"/>
        </w:rPr>
        <w:t>加强水源置换</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健全地表水和地下水综合利用体系，持续开展自备井置换，进一步压采地下水。结合昌平地下水储备区建设与白浮泉涵养修复工作，大力推进地下水减采工作，利用地表水厂水源与公共供水水源置换相关区域地下水。完成至少</w:t>
      </w:r>
      <w:r>
        <w:rPr>
          <w:rFonts w:ascii="仿宋_GB2312" w:hAnsi="仿宋_GB2312" w:cs="仿宋_GB2312"/>
          <w:szCs w:val="32"/>
          <w:lang w:val="zh-CN"/>
        </w:rPr>
        <w:t>3</w:t>
      </w:r>
      <w:r>
        <w:rPr>
          <w:rFonts w:hint="eastAsia" w:ascii="仿宋_GB2312" w:hAnsi="仿宋_GB2312" w:cs="仿宋_GB2312"/>
          <w:szCs w:val="32"/>
          <w:lang w:val="zh-CN"/>
        </w:rPr>
        <w:t>个自建设施供水住宅小区（社会单位）置换。加快再生水输配与利用体系建设，完成昌平区污水处理厂（一期）升级改造，推进马池口再生水厂扩建工程前期工作，新建（改建）污水管线</w:t>
      </w:r>
      <w:r>
        <w:rPr>
          <w:rFonts w:hint="eastAsia" w:ascii="仿宋_GB2312" w:hAnsi="仿宋_GB2312" w:cs="仿宋_GB2312"/>
          <w:szCs w:val="32"/>
        </w:rPr>
        <w:t>6.3</w:t>
      </w:r>
      <w:r>
        <w:rPr>
          <w:rFonts w:hint="eastAsia" w:ascii="仿宋_GB2312" w:hAnsi="仿宋_GB2312" w:cs="仿宋_GB2312"/>
          <w:szCs w:val="32"/>
          <w:lang w:val="zh-CN"/>
        </w:rPr>
        <w:t>公里。鼓励建设集雨池、新型水窖等雨水利用设施，</w:t>
      </w:r>
      <w:r>
        <w:rPr>
          <w:rFonts w:ascii="仿宋_GB2312" w:hAnsi="仿宋_GB2312" w:cs="仿宋_GB2312"/>
          <w:szCs w:val="32"/>
          <w:lang w:val="zh-CN"/>
        </w:rPr>
        <w:t>推进区内园林绿化</w:t>
      </w:r>
      <w:r>
        <w:rPr>
          <w:rFonts w:hint="eastAsia" w:ascii="仿宋_GB2312" w:hAnsi="仿宋_GB2312" w:cs="仿宋_GB2312"/>
          <w:szCs w:val="32"/>
          <w:lang w:val="zh-CN"/>
        </w:rPr>
        <w:t>灌溉</w:t>
      </w:r>
      <w:r>
        <w:rPr>
          <w:rFonts w:ascii="仿宋_GB2312" w:hAnsi="仿宋_GB2312" w:cs="仿宋_GB2312"/>
          <w:szCs w:val="32"/>
          <w:lang w:val="zh-CN"/>
        </w:rPr>
        <w:t>的</w:t>
      </w:r>
      <w:r>
        <w:rPr>
          <w:rFonts w:hint="eastAsia" w:ascii="仿宋_GB2312" w:hAnsi="仿宋_GB2312" w:cs="仿宋_GB2312"/>
          <w:szCs w:val="32"/>
          <w:lang w:val="zh-CN"/>
        </w:rPr>
        <w:t>非常规水</w:t>
      </w:r>
      <w:r>
        <w:rPr>
          <w:rFonts w:ascii="仿宋_GB2312" w:hAnsi="仿宋_GB2312" w:cs="仿宋_GB2312"/>
          <w:szCs w:val="32"/>
          <w:lang w:val="zh-CN"/>
        </w:rPr>
        <w:t>置换，园林绿化</w:t>
      </w:r>
      <w:r>
        <w:rPr>
          <w:rFonts w:hint="eastAsia" w:ascii="仿宋_GB2312" w:hAnsi="仿宋_GB2312" w:cs="仿宋_GB2312"/>
          <w:szCs w:val="32"/>
          <w:lang w:val="zh-CN"/>
        </w:rPr>
        <w:t>用水逐步退出取用自来水与地下水</w:t>
      </w:r>
      <w:r>
        <w:rPr>
          <w:rFonts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3.</w:t>
      </w:r>
      <w:r>
        <w:rPr>
          <w:rFonts w:hint="eastAsia" w:ascii="仿宋_GB2312" w:hAnsi="仿宋_GB2312" w:cs="仿宋_GB2312"/>
          <w:szCs w:val="32"/>
          <w:lang w:val="zh-CN"/>
        </w:rPr>
        <w:t>加大地下水回补涵养</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以昌平地下水储备区与白浮泉泉域地下水涵养为目标，开展昌平区地下水增渗回补工作，</w:t>
      </w:r>
      <w:r>
        <w:rPr>
          <w:rFonts w:ascii="仿宋_GB2312" w:hAnsi="仿宋_GB2312" w:cs="仿宋_GB2312"/>
          <w:szCs w:val="32"/>
          <w:lang w:val="zh-CN"/>
        </w:rPr>
        <w:t>利用</w:t>
      </w:r>
      <w:r>
        <w:rPr>
          <w:rFonts w:hint="eastAsia" w:ascii="仿宋_GB2312" w:hAnsi="仿宋_GB2312" w:cs="仿宋_GB2312"/>
          <w:szCs w:val="32"/>
          <w:lang w:val="zh-CN"/>
        </w:rPr>
        <w:t>白河堡水库经由</w:t>
      </w:r>
      <w:r>
        <w:rPr>
          <w:rFonts w:ascii="仿宋_GB2312" w:hAnsi="仿宋_GB2312" w:cs="仿宋_GB2312"/>
          <w:szCs w:val="32"/>
          <w:lang w:val="zh-CN"/>
        </w:rPr>
        <w:t>十三陵水库泄水或者南水北调水源通过京密引水渠向昌平新城滨河森林公园补水</w:t>
      </w:r>
      <w:r>
        <w:rPr>
          <w:rFonts w:hint="eastAsia"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p>
    <w:p>
      <w:pPr>
        <w:spacing w:line="360" w:lineRule="auto"/>
        <w:ind w:firstLine="640"/>
        <w:rPr>
          <w:rFonts w:cs="Times New Roman"/>
        </w:rPr>
        <w:sectPr>
          <w:pgSz w:w="11906" w:h="16838"/>
          <w:pgMar w:top="1440" w:right="1800" w:bottom="1440" w:left="1800" w:header="227" w:footer="624" w:gutter="0"/>
          <w:cols w:space="425" w:num="1"/>
          <w:docGrid w:linePitch="435" w:charSpace="0"/>
        </w:sectPr>
      </w:pPr>
    </w:p>
    <w:p>
      <w:pPr>
        <w:suppressAutoHyphens/>
        <w:adjustRightInd/>
        <w:snapToGrid/>
        <w:spacing w:line="580" w:lineRule="exact"/>
        <w:ind w:firstLine="640" w:firstLineChars="0"/>
        <w:jc w:val="left"/>
        <w:outlineLvl w:val="0"/>
        <w:rPr>
          <w:rFonts w:ascii="黑体" w:hAnsi="黑体" w:eastAsia="黑体" w:cs="Times New Roman"/>
          <w:szCs w:val="32"/>
        </w:rPr>
      </w:pPr>
      <w:bookmarkStart w:id="207" w:name="_Toc19906"/>
      <w:bookmarkStart w:id="208" w:name="_Toc26862"/>
      <w:bookmarkStart w:id="209" w:name="_Toc118302024"/>
      <w:bookmarkStart w:id="210" w:name="_Toc123040353"/>
      <w:bookmarkStart w:id="211" w:name="_Toc121070695"/>
      <w:bookmarkStart w:id="212" w:name="_Toc22010"/>
      <w:bookmarkStart w:id="213" w:name="_Toc117669348"/>
      <w:bookmarkStart w:id="214" w:name="_Toc121070629"/>
      <w:bookmarkStart w:id="215" w:name="_Toc117675775"/>
      <w:bookmarkStart w:id="216" w:name="_Toc13723"/>
      <w:bookmarkStart w:id="217" w:name="_Toc121132162"/>
      <w:bookmarkStart w:id="218" w:name="_Toc119668339"/>
      <w:bookmarkStart w:id="219" w:name="_Toc15733"/>
      <w:r>
        <w:rPr>
          <w:rFonts w:ascii="黑体" w:hAnsi="黑体" w:eastAsia="黑体" w:cs="Times New Roman"/>
          <w:szCs w:val="32"/>
        </w:rPr>
        <w:t>三、朝阳区</w:t>
      </w:r>
      <w:bookmarkEnd w:id="207"/>
      <w:bookmarkEnd w:id="208"/>
      <w:bookmarkEnd w:id="209"/>
      <w:bookmarkEnd w:id="210"/>
      <w:bookmarkEnd w:id="211"/>
      <w:bookmarkEnd w:id="212"/>
      <w:bookmarkEnd w:id="213"/>
      <w:bookmarkEnd w:id="214"/>
      <w:bookmarkEnd w:id="215"/>
      <w:bookmarkEnd w:id="216"/>
      <w:bookmarkEnd w:id="217"/>
      <w:bookmarkEnd w:id="218"/>
      <w:bookmarkEnd w:id="219"/>
    </w:p>
    <w:p>
      <w:pPr>
        <w:suppressAutoHyphens/>
        <w:adjustRightInd/>
        <w:snapToGrid/>
        <w:spacing w:line="580" w:lineRule="exact"/>
        <w:ind w:firstLine="640" w:firstLineChars="0"/>
        <w:outlineLvl w:val="1"/>
        <w:rPr>
          <w:rFonts w:ascii="楷体" w:hAnsi="楷体" w:eastAsia="楷体" w:cs="楷体"/>
          <w:szCs w:val="32"/>
          <w:lang w:val="zh-CN"/>
        </w:rPr>
      </w:pPr>
      <w:bookmarkStart w:id="220" w:name="_Toc118302025"/>
      <w:bookmarkStart w:id="221" w:name="_Toc117669349"/>
      <w:bookmarkStart w:id="222" w:name="_Toc121070696"/>
      <w:bookmarkStart w:id="223" w:name="_Toc12829"/>
      <w:bookmarkStart w:id="224" w:name="_Toc26882"/>
      <w:bookmarkStart w:id="225" w:name="_Toc24181"/>
      <w:bookmarkStart w:id="226" w:name="_Toc117675776"/>
      <w:bookmarkStart w:id="227" w:name="_Toc121132163"/>
      <w:bookmarkStart w:id="228" w:name="_Toc119668340"/>
      <w:bookmarkStart w:id="229" w:name="_Toc121070630"/>
      <w:bookmarkStart w:id="230" w:name="_Toc123040354"/>
      <w:bookmarkStart w:id="231" w:name="_Toc27356"/>
      <w:bookmarkStart w:id="232" w:name="_Toc28824"/>
      <w:r>
        <w:rPr>
          <w:rFonts w:ascii="楷体" w:hAnsi="楷体" w:eastAsia="楷体" w:cs="楷体"/>
          <w:szCs w:val="32"/>
          <w:lang w:val="zh-CN"/>
        </w:rPr>
        <w:t>（一）</w:t>
      </w:r>
      <w:r>
        <w:rPr>
          <w:rFonts w:hint="eastAsia" w:ascii="楷体" w:hAnsi="楷体" w:eastAsia="楷体" w:cs="楷体"/>
          <w:szCs w:val="32"/>
          <w:lang w:val="zh-CN"/>
        </w:rPr>
        <w:t>概况</w:t>
      </w:r>
      <w:bookmarkEnd w:id="220"/>
      <w:bookmarkEnd w:id="221"/>
      <w:bookmarkEnd w:id="222"/>
      <w:bookmarkEnd w:id="223"/>
      <w:bookmarkEnd w:id="224"/>
      <w:bookmarkEnd w:id="225"/>
      <w:bookmarkEnd w:id="226"/>
      <w:bookmarkEnd w:id="227"/>
      <w:bookmarkEnd w:id="228"/>
      <w:bookmarkEnd w:id="229"/>
      <w:bookmarkEnd w:id="230"/>
      <w:bookmarkEnd w:id="231"/>
      <w:bookmarkEnd w:id="232"/>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朝阳</w:t>
      </w:r>
      <w:r>
        <w:rPr>
          <w:rFonts w:ascii="仿宋_GB2312" w:hAnsi="仿宋_GB2312" w:cs="仿宋_GB2312"/>
          <w:szCs w:val="32"/>
          <w:lang w:val="zh-CN"/>
        </w:rPr>
        <w:t>区</w:t>
      </w:r>
      <w:r>
        <w:rPr>
          <w:rFonts w:hint="eastAsia" w:ascii="仿宋_GB2312" w:hAnsi="仿宋_GB2312" w:cs="仿宋_GB2312"/>
          <w:szCs w:val="32"/>
          <w:lang w:val="zh-CN"/>
        </w:rPr>
        <w:t>金盏、黑庄户等地区</w:t>
      </w:r>
      <w:r>
        <w:rPr>
          <w:rFonts w:ascii="仿宋_GB2312" w:hAnsi="仿宋_GB2312" w:cs="仿宋_GB2312"/>
          <w:szCs w:val="32"/>
          <w:lang w:val="zh-CN"/>
        </w:rPr>
        <w:t>市政供水管网</w:t>
      </w:r>
      <w:r>
        <w:rPr>
          <w:rFonts w:hint="eastAsia" w:ascii="仿宋_GB2312" w:hAnsi="仿宋_GB2312" w:cs="仿宋_GB2312"/>
          <w:szCs w:val="32"/>
          <w:lang w:val="zh-CN"/>
        </w:rPr>
        <w:t>尚未</w:t>
      </w:r>
      <w:r>
        <w:rPr>
          <w:rFonts w:ascii="仿宋_GB2312" w:hAnsi="仿宋_GB2312" w:cs="仿宋_GB2312"/>
          <w:szCs w:val="32"/>
          <w:lang w:val="zh-CN"/>
        </w:rPr>
        <w:t>完全覆盖，供水水源仍为地下水，</w:t>
      </w:r>
      <w:r>
        <w:rPr>
          <w:rFonts w:hint="eastAsia" w:ascii="仿宋_GB2312" w:hAnsi="仿宋_GB2312" w:cs="仿宋_GB2312"/>
          <w:szCs w:val="32"/>
          <w:lang w:val="zh-CN"/>
        </w:rPr>
        <w:t>区内仍存在地下水严重超采区、一般超采区。同时，仍存在因产生地面沉降而划定的地下水禁止开采区、限制开采区，亟需加强相关区域地下水开采管理，择机置换严重超采区、禁止开采区地下水源井。</w:t>
      </w:r>
    </w:p>
    <w:p>
      <w:pPr>
        <w:suppressAutoHyphens/>
        <w:adjustRightInd/>
        <w:snapToGrid/>
        <w:spacing w:line="580" w:lineRule="exact"/>
        <w:ind w:firstLine="640" w:firstLineChars="0"/>
        <w:outlineLvl w:val="1"/>
        <w:rPr>
          <w:rFonts w:ascii="楷体" w:hAnsi="楷体" w:eastAsia="楷体" w:cs="楷体"/>
          <w:szCs w:val="32"/>
          <w:lang w:val="zh-CN"/>
        </w:rPr>
      </w:pPr>
      <w:bookmarkStart w:id="233" w:name="_Toc121070697"/>
      <w:bookmarkStart w:id="234" w:name="_Toc117675777"/>
      <w:bookmarkStart w:id="235" w:name="_Toc121070631"/>
      <w:bookmarkStart w:id="236" w:name="_Toc119668341"/>
      <w:bookmarkStart w:id="237" w:name="_Toc121132164"/>
      <w:bookmarkStart w:id="238" w:name="_Toc2840"/>
      <w:bookmarkStart w:id="239" w:name="_Toc118302026"/>
      <w:bookmarkStart w:id="240" w:name="_Toc117669350"/>
      <w:bookmarkStart w:id="241" w:name="_Toc25969"/>
      <w:bookmarkStart w:id="242" w:name="_Toc25538"/>
      <w:bookmarkStart w:id="243" w:name="_Toc8948"/>
      <w:bookmarkStart w:id="244" w:name="_Toc9635"/>
      <w:bookmarkStart w:id="245" w:name="_Toc123040355"/>
      <w:r>
        <w:rPr>
          <w:rFonts w:ascii="楷体" w:hAnsi="楷体" w:eastAsia="楷体" w:cs="楷体"/>
          <w:szCs w:val="32"/>
          <w:lang w:val="zh-CN"/>
        </w:rPr>
        <w:t>（二）治理目标</w:t>
      </w:r>
      <w:bookmarkEnd w:id="233"/>
      <w:bookmarkEnd w:id="234"/>
      <w:bookmarkEnd w:id="235"/>
      <w:bookmarkEnd w:id="236"/>
      <w:bookmarkEnd w:id="237"/>
      <w:bookmarkEnd w:id="238"/>
      <w:bookmarkEnd w:id="239"/>
      <w:bookmarkEnd w:id="240"/>
      <w:bookmarkEnd w:id="241"/>
      <w:bookmarkEnd w:id="242"/>
      <w:bookmarkEnd w:id="243"/>
      <w:bookmarkEnd w:id="244"/>
      <w:bookmarkEnd w:id="245"/>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朝阳区公共供水范围得到扩展，地下水禁止开采区、严重超采区地下水源得到有效置换。实现平水年条件下地下水超采区面积逐步减少，地下水平均水位回升0.5米目标。</w:t>
      </w:r>
    </w:p>
    <w:p>
      <w:pPr>
        <w:suppressAutoHyphens/>
        <w:adjustRightInd/>
        <w:snapToGrid/>
        <w:spacing w:line="580" w:lineRule="exact"/>
        <w:ind w:firstLine="640" w:firstLineChars="0"/>
        <w:outlineLvl w:val="1"/>
        <w:rPr>
          <w:rFonts w:ascii="楷体" w:hAnsi="楷体" w:eastAsia="楷体" w:cs="楷体"/>
          <w:szCs w:val="32"/>
          <w:lang w:val="zh-CN"/>
        </w:rPr>
      </w:pPr>
      <w:bookmarkStart w:id="246" w:name="_Toc121132165"/>
      <w:bookmarkStart w:id="247" w:name="_Toc121070698"/>
      <w:bookmarkStart w:id="248" w:name="_Toc119668342"/>
      <w:bookmarkStart w:id="249" w:name="_Toc121070632"/>
      <w:bookmarkStart w:id="250" w:name="_Toc118302027"/>
      <w:bookmarkStart w:id="251" w:name="_Toc123040356"/>
      <w:bookmarkStart w:id="252" w:name="_Toc117675778"/>
      <w:bookmarkStart w:id="253" w:name="_Toc117669351"/>
      <w:bookmarkStart w:id="254" w:name="_Toc12479"/>
      <w:bookmarkStart w:id="255" w:name="_Toc20725"/>
      <w:bookmarkStart w:id="256" w:name="_Toc8993"/>
      <w:bookmarkStart w:id="257" w:name="_Toc11059"/>
      <w:bookmarkStart w:id="258" w:name="_Toc15095"/>
      <w:r>
        <w:rPr>
          <w:rFonts w:ascii="楷体" w:hAnsi="楷体" w:eastAsia="楷体" w:cs="楷体"/>
          <w:szCs w:val="32"/>
          <w:lang w:val="zh-CN"/>
        </w:rPr>
        <w:t>（三）治理措施</w:t>
      </w:r>
      <w:bookmarkEnd w:id="246"/>
      <w:bookmarkEnd w:id="247"/>
      <w:bookmarkEnd w:id="248"/>
      <w:bookmarkEnd w:id="249"/>
      <w:bookmarkEnd w:id="250"/>
      <w:bookmarkEnd w:id="251"/>
      <w:bookmarkEnd w:id="252"/>
      <w:bookmarkEnd w:id="253"/>
      <w:bookmarkEnd w:id="254"/>
      <w:bookmarkEnd w:id="255"/>
      <w:bookmarkEnd w:id="256"/>
      <w:bookmarkEnd w:id="257"/>
      <w:bookmarkEnd w:id="258"/>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lang w:val="zh-CN"/>
        </w:rPr>
        <w:t>推进管网建设</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推进</w:t>
      </w:r>
      <w:r>
        <w:rPr>
          <w:rFonts w:hint="eastAsia" w:ascii="仿宋_GB2312" w:hAnsi="仿宋_GB2312" w:cs="仿宋_GB2312"/>
          <w:szCs w:val="32"/>
          <w:lang w:val="zh-CN"/>
        </w:rPr>
        <w:t>金盏、黑庄户等地区</w:t>
      </w:r>
      <w:r>
        <w:rPr>
          <w:rFonts w:ascii="仿宋_GB2312" w:hAnsi="仿宋_GB2312" w:cs="仿宋_GB2312"/>
          <w:szCs w:val="32"/>
          <w:lang w:val="zh-CN"/>
        </w:rPr>
        <w:t>公共管网建设，</w:t>
      </w:r>
      <w:r>
        <w:rPr>
          <w:rFonts w:hint="eastAsia" w:ascii="仿宋_GB2312" w:hAnsi="仿宋_GB2312" w:cs="仿宋_GB2312"/>
          <w:szCs w:val="32"/>
          <w:lang w:val="zh-CN"/>
        </w:rPr>
        <w:t>扩大公共供水水源覆盖范围</w:t>
      </w:r>
      <w:r>
        <w:rPr>
          <w:rFonts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2.</w:t>
      </w:r>
      <w:r>
        <w:rPr>
          <w:rFonts w:hint="eastAsia" w:ascii="仿宋_GB2312" w:hAnsi="仿宋_GB2312" w:cs="仿宋_GB2312"/>
          <w:szCs w:val="32"/>
          <w:lang w:val="zh-CN"/>
        </w:rPr>
        <w:t>加强水源置换</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推进地下水禁止开采区、严重超采区范围内地下水源置换。完成</w:t>
      </w:r>
      <w:r>
        <w:rPr>
          <w:rFonts w:ascii="仿宋_GB2312" w:hAnsi="仿宋_GB2312" w:cs="仿宋_GB2312"/>
          <w:szCs w:val="32"/>
          <w:lang w:val="zh-CN"/>
        </w:rPr>
        <w:t>8</w:t>
      </w:r>
      <w:r>
        <w:rPr>
          <w:rFonts w:hint="eastAsia" w:ascii="仿宋_GB2312" w:hAnsi="仿宋_GB2312" w:cs="仿宋_GB2312"/>
          <w:szCs w:val="32"/>
          <w:lang w:val="zh-CN"/>
        </w:rPr>
        <w:t>个自建设施供水住宅小区（社会单位）置换，通过“城带村”方式，将不少于</w:t>
      </w:r>
      <w:r>
        <w:rPr>
          <w:rFonts w:ascii="仿宋_GB2312" w:hAnsi="仿宋_GB2312" w:cs="仿宋_GB2312"/>
          <w:szCs w:val="32"/>
          <w:lang w:val="zh-CN"/>
        </w:rPr>
        <w:t>24</w:t>
      </w:r>
      <w:r>
        <w:rPr>
          <w:rFonts w:hint="eastAsia" w:ascii="仿宋_GB2312" w:hAnsi="仿宋_GB2312" w:cs="仿宋_GB2312"/>
          <w:szCs w:val="32"/>
          <w:lang w:val="zh-CN"/>
        </w:rPr>
        <w:t>个村庄纳入城镇公共供水范围。完成垡头再生水厂扩建，推进酒仙桥再生水厂扩建工程前期，新建（改建）污水管线</w:t>
      </w:r>
      <w:r>
        <w:rPr>
          <w:rFonts w:hint="eastAsia" w:ascii="仿宋_GB2312" w:hAnsi="仿宋_GB2312" w:cs="仿宋_GB2312"/>
          <w:szCs w:val="32"/>
        </w:rPr>
        <w:t>0.8</w:t>
      </w:r>
      <w:r>
        <w:rPr>
          <w:rFonts w:hint="eastAsia" w:ascii="仿宋_GB2312" w:hAnsi="仿宋_GB2312" w:cs="仿宋_GB2312"/>
          <w:szCs w:val="32"/>
          <w:lang w:val="zh-CN"/>
        </w:rPr>
        <w:t>公里。推进小武基公园、黄草湾郊野公园等7个地块及区管绿地的地表水和再生水接入。</w:t>
      </w:r>
    </w:p>
    <w:p>
      <w:pPr>
        <w:spacing w:line="360" w:lineRule="auto"/>
        <w:ind w:firstLine="640"/>
        <w:rPr>
          <w:rFonts w:cs="Times New Roman"/>
        </w:rPr>
        <w:sectPr>
          <w:pgSz w:w="11906" w:h="16838"/>
          <w:pgMar w:top="1440" w:right="1800" w:bottom="1440" w:left="1800" w:header="227" w:footer="624" w:gutter="0"/>
          <w:cols w:space="425" w:num="1"/>
          <w:docGrid w:linePitch="435" w:charSpace="0"/>
        </w:sectPr>
      </w:pPr>
    </w:p>
    <w:p>
      <w:pPr>
        <w:suppressAutoHyphens/>
        <w:adjustRightInd/>
        <w:snapToGrid/>
        <w:spacing w:line="580" w:lineRule="exact"/>
        <w:ind w:firstLine="640" w:firstLineChars="0"/>
        <w:jc w:val="left"/>
        <w:outlineLvl w:val="0"/>
        <w:rPr>
          <w:rFonts w:ascii="黑体" w:hAnsi="黑体" w:eastAsia="黑体" w:cs="Times New Roman"/>
          <w:szCs w:val="32"/>
        </w:rPr>
      </w:pPr>
      <w:bookmarkStart w:id="259" w:name="_Toc119668343"/>
      <w:bookmarkStart w:id="260" w:name="_Toc123040357"/>
      <w:bookmarkStart w:id="261" w:name="_Toc121070633"/>
      <w:bookmarkStart w:id="262" w:name="_Toc117675781"/>
      <w:bookmarkStart w:id="263" w:name="_Toc121132166"/>
      <w:bookmarkStart w:id="264" w:name="_Toc21052"/>
      <w:bookmarkStart w:id="265" w:name="_Toc121070699"/>
      <w:bookmarkStart w:id="266" w:name="_Toc2434"/>
      <w:bookmarkStart w:id="267" w:name="_Toc3094"/>
      <w:bookmarkStart w:id="268" w:name="_Toc117669354"/>
      <w:bookmarkStart w:id="269" w:name="_Toc5338"/>
      <w:bookmarkStart w:id="270" w:name="_Toc14118"/>
      <w:bookmarkStart w:id="271" w:name="_Toc118302028"/>
      <w:r>
        <w:rPr>
          <w:rFonts w:ascii="黑体" w:hAnsi="黑体" w:eastAsia="黑体" w:cs="Times New Roman"/>
          <w:szCs w:val="32"/>
        </w:rPr>
        <w:t>四、顺义区</w:t>
      </w:r>
      <w:bookmarkEnd w:id="259"/>
      <w:bookmarkEnd w:id="260"/>
      <w:bookmarkEnd w:id="261"/>
      <w:bookmarkEnd w:id="262"/>
      <w:bookmarkEnd w:id="263"/>
      <w:bookmarkEnd w:id="264"/>
      <w:bookmarkEnd w:id="265"/>
      <w:bookmarkEnd w:id="266"/>
      <w:bookmarkEnd w:id="267"/>
      <w:bookmarkEnd w:id="268"/>
      <w:bookmarkEnd w:id="269"/>
      <w:bookmarkEnd w:id="270"/>
      <w:bookmarkEnd w:id="271"/>
    </w:p>
    <w:p>
      <w:pPr>
        <w:suppressAutoHyphens/>
        <w:adjustRightInd/>
        <w:snapToGrid/>
        <w:spacing w:line="580" w:lineRule="exact"/>
        <w:ind w:firstLine="640" w:firstLineChars="0"/>
        <w:outlineLvl w:val="1"/>
        <w:rPr>
          <w:rFonts w:ascii="楷体" w:hAnsi="楷体" w:eastAsia="楷体" w:cs="楷体"/>
          <w:szCs w:val="32"/>
          <w:lang w:val="zh-CN"/>
        </w:rPr>
      </w:pPr>
      <w:bookmarkStart w:id="272" w:name="_Toc10973"/>
      <w:bookmarkStart w:id="273" w:name="_Toc2062"/>
      <w:bookmarkStart w:id="274" w:name="_Toc117675782"/>
      <w:bookmarkStart w:id="275" w:name="_Toc21160"/>
      <w:bookmarkStart w:id="276" w:name="_Toc21588"/>
      <w:bookmarkStart w:id="277" w:name="_Toc119668344"/>
      <w:bookmarkStart w:id="278" w:name="_Toc27043"/>
      <w:bookmarkStart w:id="279" w:name="_Toc123040358"/>
      <w:bookmarkStart w:id="280" w:name="_Toc121132167"/>
      <w:bookmarkStart w:id="281" w:name="_Toc121070700"/>
      <w:bookmarkStart w:id="282" w:name="_Toc118302029"/>
      <w:bookmarkStart w:id="283" w:name="_Toc117669355"/>
      <w:bookmarkStart w:id="284" w:name="_Toc121070634"/>
      <w:r>
        <w:rPr>
          <w:rFonts w:ascii="楷体" w:hAnsi="楷体" w:eastAsia="楷体" w:cs="楷体"/>
          <w:szCs w:val="32"/>
          <w:lang w:val="zh-CN"/>
        </w:rPr>
        <w:t>（一）</w:t>
      </w:r>
      <w:r>
        <w:rPr>
          <w:rFonts w:hint="eastAsia" w:ascii="楷体" w:hAnsi="楷体" w:eastAsia="楷体" w:cs="楷体"/>
          <w:szCs w:val="32"/>
          <w:lang w:val="zh-CN"/>
        </w:rPr>
        <w:t>概况</w:t>
      </w:r>
      <w:bookmarkEnd w:id="272"/>
      <w:bookmarkEnd w:id="273"/>
      <w:bookmarkEnd w:id="274"/>
      <w:bookmarkEnd w:id="275"/>
      <w:bookmarkEnd w:id="276"/>
      <w:bookmarkEnd w:id="277"/>
      <w:bookmarkEnd w:id="278"/>
      <w:bookmarkEnd w:id="279"/>
      <w:bookmarkEnd w:id="280"/>
      <w:bookmarkEnd w:id="281"/>
      <w:bookmarkEnd w:id="282"/>
      <w:bookmarkEnd w:id="283"/>
      <w:bookmarkEnd w:id="284"/>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顺义区潮白河水源地</w:t>
      </w:r>
      <w:r>
        <w:rPr>
          <w:rFonts w:ascii="仿宋_GB2312" w:hAnsi="仿宋_GB2312" w:cs="仿宋_GB2312"/>
          <w:szCs w:val="32"/>
          <w:lang w:val="zh-CN"/>
        </w:rPr>
        <w:t>地下水长期保持在高强度、超负荷开采状态。</w:t>
      </w:r>
      <w:r>
        <w:rPr>
          <w:rFonts w:hint="eastAsia" w:ascii="仿宋_GB2312" w:hAnsi="仿宋_GB2312" w:cs="仿宋_GB2312"/>
          <w:szCs w:val="32"/>
          <w:lang w:val="zh-CN"/>
        </w:rPr>
        <w:t>尽管通过近年来生态补水等工作，地下水得到了涵养修复，但还存在一定的亏空，顺义区东南部尚存在较大范围的一般超采区。此外，</w:t>
      </w:r>
      <w:r>
        <w:rPr>
          <w:rFonts w:ascii="仿宋_GB2312" w:hAnsi="仿宋_GB2312" w:cs="仿宋_GB2312"/>
          <w:szCs w:val="32"/>
          <w:lang w:val="zh-CN"/>
        </w:rPr>
        <w:t>区</w:t>
      </w:r>
      <w:r>
        <w:rPr>
          <w:rFonts w:hint="eastAsia" w:ascii="仿宋_GB2312" w:hAnsi="仿宋_GB2312" w:cs="仿宋_GB2312"/>
          <w:szCs w:val="32"/>
          <w:lang w:val="zh-CN"/>
        </w:rPr>
        <w:t>内非常规水</w:t>
      </w:r>
      <w:r>
        <w:rPr>
          <w:rFonts w:ascii="仿宋_GB2312" w:hAnsi="仿宋_GB2312" w:cs="仿宋_GB2312"/>
          <w:szCs w:val="32"/>
          <w:lang w:val="zh-CN"/>
        </w:rPr>
        <w:t>利用方式比较单一，</w:t>
      </w:r>
      <w:r>
        <w:rPr>
          <w:rFonts w:hint="eastAsia" w:ascii="仿宋_GB2312" w:hAnsi="仿宋_GB2312" w:cs="仿宋_GB2312"/>
          <w:szCs w:val="32"/>
          <w:lang w:val="zh-CN"/>
        </w:rPr>
        <w:t>再生水</w:t>
      </w:r>
      <w:r>
        <w:rPr>
          <w:rFonts w:ascii="仿宋_GB2312" w:hAnsi="仿宋_GB2312" w:cs="仿宋_GB2312"/>
          <w:szCs w:val="32"/>
          <w:lang w:val="zh-CN"/>
        </w:rPr>
        <w:t>主要用于河湖补水，大量</w:t>
      </w:r>
      <w:r>
        <w:rPr>
          <w:rFonts w:hint="eastAsia" w:ascii="仿宋_GB2312" w:hAnsi="仿宋_GB2312" w:cs="仿宋_GB2312"/>
          <w:szCs w:val="32"/>
          <w:lang w:val="zh-CN"/>
        </w:rPr>
        <w:t>非常规</w:t>
      </w:r>
      <w:r>
        <w:rPr>
          <w:rFonts w:ascii="仿宋_GB2312" w:hAnsi="仿宋_GB2312" w:cs="仿宋_GB2312"/>
          <w:szCs w:val="32"/>
          <w:lang w:val="zh-CN"/>
        </w:rPr>
        <w:t>水资源没有得到高效利用。农业灌溉</w:t>
      </w:r>
      <w:r>
        <w:rPr>
          <w:rFonts w:hint="eastAsia" w:ascii="仿宋_GB2312" w:hAnsi="仿宋_GB2312" w:cs="仿宋_GB2312"/>
          <w:szCs w:val="32"/>
          <w:lang w:val="zh-CN"/>
        </w:rPr>
        <w:t>以</w:t>
      </w:r>
      <w:r>
        <w:rPr>
          <w:rFonts w:ascii="仿宋_GB2312" w:hAnsi="仿宋_GB2312" w:cs="仿宋_GB2312"/>
          <w:szCs w:val="32"/>
          <w:lang w:val="zh-CN"/>
        </w:rPr>
        <w:t>地下水</w:t>
      </w:r>
      <w:r>
        <w:rPr>
          <w:rFonts w:hint="eastAsia" w:ascii="仿宋_GB2312" w:hAnsi="仿宋_GB2312" w:cs="仿宋_GB2312"/>
          <w:szCs w:val="32"/>
          <w:lang w:val="zh-CN"/>
        </w:rPr>
        <w:t>为主，其中</w:t>
      </w:r>
      <w:r>
        <w:rPr>
          <w:rFonts w:ascii="仿宋_GB2312" w:hAnsi="仿宋_GB2312" w:cs="仿宋_GB2312"/>
          <w:szCs w:val="32"/>
          <w:lang w:val="zh-CN"/>
        </w:rPr>
        <w:t>100米以深机井占比</w:t>
      </w:r>
      <w:r>
        <w:rPr>
          <w:rFonts w:hint="eastAsia" w:ascii="仿宋_GB2312" w:hAnsi="仿宋_GB2312" w:cs="仿宋_GB2312"/>
          <w:szCs w:val="32"/>
          <w:lang w:val="zh-CN"/>
        </w:rPr>
        <w:t>较大</w:t>
      </w:r>
      <w:r>
        <w:rPr>
          <w:rFonts w:ascii="仿宋_GB2312" w:hAnsi="仿宋_GB2312" w:cs="仿宋_GB2312"/>
          <w:szCs w:val="32"/>
          <w:lang w:val="zh-CN"/>
        </w:rPr>
        <w:t>。</w:t>
      </w:r>
    </w:p>
    <w:p>
      <w:pPr>
        <w:suppressAutoHyphens/>
        <w:adjustRightInd/>
        <w:snapToGrid/>
        <w:spacing w:line="580" w:lineRule="exact"/>
        <w:ind w:firstLine="640" w:firstLineChars="0"/>
        <w:outlineLvl w:val="1"/>
        <w:rPr>
          <w:rFonts w:ascii="楷体" w:hAnsi="楷体" w:eastAsia="楷体" w:cs="楷体"/>
          <w:szCs w:val="32"/>
          <w:lang w:val="zh-CN"/>
        </w:rPr>
      </w:pPr>
      <w:bookmarkStart w:id="285" w:name="_Toc118302030"/>
      <w:bookmarkStart w:id="286" w:name="_Toc117675783"/>
      <w:bookmarkStart w:id="287" w:name="_Toc123040359"/>
      <w:bookmarkStart w:id="288" w:name="_Toc31636"/>
      <w:bookmarkStart w:id="289" w:name="_Toc119668345"/>
      <w:bookmarkStart w:id="290" w:name="_Toc121070701"/>
      <w:bookmarkStart w:id="291" w:name="_Toc121132168"/>
      <w:bookmarkStart w:id="292" w:name="_Toc27153"/>
      <w:bookmarkStart w:id="293" w:name="_Toc28801"/>
      <w:bookmarkStart w:id="294" w:name="_Toc121070635"/>
      <w:bookmarkStart w:id="295" w:name="_Toc24399"/>
      <w:bookmarkStart w:id="296" w:name="_Toc10470"/>
      <w:bookmarkStart w:id="297" w:name="_Toc117669356"/>
      <w:r>
        <w:rPr>
          <w:rFonts w:ascii="楷体" w:hAnsi="楷体" w:eastAsia="楷体" w:cs="楷体"/>
          <w:szCs w:val="32"/>
          <w:lang w:val="zh-CN"/>
        </w:rPr>
        <w:t>（二）治理目标</w:t>
      </w:r>
      <w:bookmarkEnd w:id="285"/>
      <w:bookmarkEnd w:id="286"/>
      <w:bookmarkEnd w:id="287"/>
      <w:bookmarkEnd w:id="288"/>
      <w:bookmarkEnd w:id="289"/>
      <w:bookmarkEnd w:id="290"/>
      <w:bookmarkEnd w:id="291"/>
      <w:bookmarkEnd w:id="292"/>
      <w:bookmarkEnd w:id="293"/>
      <w:bookmarkEnd w:id="294"/>
      <w:bookmarkEnd w:id="295"/>
      <w:bookmarkEnd w:id="296"/>
      <w:bookmarkEnd w:id="297"/>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密怀顺地下水储备区得到有效涵养修复，平水年条件下</w:t>
      </w:r>
      <w:r>
        <w:rPr>
          <w:rFonts w:ascii="仿宋_GB2312" w:hAnsi="仿宋_GB2312" w:cs="仿宋_GB2312"/>
          <w:szCs w:val="32"/>
          <w:lang w:val="zh-CN"/>
        </w:rPr>
        <w:t>地下水超采区面积</w:t>
      </w:r>
      <w:r>
        <w:rPr>
          <w:rFonts w:hint="eastAsia" w:ascii="仿宋_GB2312" w:hAnsi="仿宋_GB2312" w:cs="仿宋_GB2312"/>
          <w:szCs w:val="32"/>
          <w:lang w:val="zh-CN"/>
        </w:rPr>
        <w:t>不增加，平均地下水水位回升0.5米。</w:t>
      </w:r>
    </w:p>
    <w:p>
      <w:pPr>
        <w:suppressAutoHyphens/>
        <w:adjustRightInd/>
        <w:snapToGrid/>
        <w:spacing w:line="580" w:lineRule="exact"/>
        <w:ind w:firstLine="640" w:firstLineChars="0"/>
        <w:outlineLvl w:val="1"/>
        <w:rPr>
          <w:rFonts w:ascii="楷体" w:hAnsi="楷体" w:eastAsia="楷体" w:cs="楷体"/>
          <w:szCs w:val="32"/>
          <w:lang w:val="zh-CN"/>
        </w:rPr>
      </w:pPr>
      <w:bookmarkStart w:id="298" w:name="_Toc117669357"/>
      <w:bookmarkStart w:id="299" w:name="_Toc3135"/>
      <w:bookmarkStart w:id="300" w:name="_Toc121132169"/>
      <w:bookmarkStart w:id="301" w:name="_Toc118302031"/>
      <w:bookmarkStart w:id="302" w:name="_Toc6892"/>
      <w:bookmarkStart w:id="303" w:name="_Toc117675784"/>
      <w:bookmarkStart w:id="304" w:name="_Toc123040360"/>
      <w:bookmarkStart w:id="305" w:name="_Toc121070636"/>
      <w:bookmarkStart w:id="306" w:name="_Toc28046"/>
      <w:bookmarkStart w:id="307" w:name="_Toc16784"/>
      <w:bookmarkStart w:id="308" w:name="_Toc16695"/>
      <w:bookmarkStart w:id="309" w:name="_Toc121070702"/>
      <w:bookmarkStart w:id="310" w:name="_Toc119668346"/>
      <w:r>
        <w:rPr>
          <w:rFonts w:ascii="楷体" w:hAnsi="楷体" w:eastAsia="楷体" w:cs="楷体"/>
          <w:szCs w:val="32"/>
          <w:lang w:val="zh-CN"/>
        </w:rPr>
        <w:t>（三）治理措施</w:t>
      </w:r>
      <w:bookmarkEnd w:id="298"/>
      <w:bookmarkEnd w:id="299"/>
      <w:bookmarkEnd w:id="300"/>
      <w:bookmarkEnd w:id="301"/>
      <w:bookmarkEnd w:id="302"/>
      <w:bookmarkEnd w:id="303"/>
      <w:bookmarkEnd w:id="304"/>
      <w:bookmarkEnd w:id="305"/>
      <w:bookmarkEnd w:id="306"/>
      <w:bookmarkEnd w:id="307"/>
      <w:bookmarkEnd w:id="308"/>
      <w:bookmarkEnd w:id="309"/>
      <w:bookmarkEnd w:id="310"/>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lang w:val="zh-CN"/>
        </w:rPr>
        <w:t>加强水源置换</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推进顺义区地表水厂建设，结合密怀顺地下水储备区建设，大力推进地下水减采工作，通过“城带村”方式，将不少于</w:t>
      </w:r>
      <w:r>
        <w:rPr>
          <w:rFonts w:ascii="仿宋_GB2312" w:hAnsi="仿宋_GB2312" w:cs="仿宋_GB2312"/>
          <w:szCs w:val="32"/>
          <w:lang w:val="zh-CN"/>
        </w:rPr>
        <w:t>11</w:t>
      </w:r>
      <w:r>
        <w:rPr>
          <w:rFonts w:hint="eastAsia" w:ascii="仿宋_GB2312" w:hAnsi="仿宋_GB2312" w:cs="仿宋_GB2312"/>
          <w:szCs w:val="32"/>
          <w:lang w:val="zh-CN"/>
        </w:rPr>
        <w:t>个村庄纳入公共供水范围。加快再生水输配与利用体系建设，新建（改建）污水管线</w:t>
      </w:r>
      <w:r>
        <w:rPr>
          <w:rFonts w:hint="eastAsia" w:ascii="仿宋_GB2312" w:hAnsi="仿宋_GB2312" w:cs="仿宋_GB2312"/>
          <w:szCs w:val="32"/>
        </w:rPr>
        <w:t>3.7</w:t>
      </w:r>
      <w:r>
        <w:rPr>
          <w:rFonts w:hint="eastAsia" w:ascii="仿宋_GB2312" w:hAnsi="仿宋_GB2312" w:cs="仿宋_GB2312"/>
          <w:szCs w:val="32"/>
          <w:lang w:val="zh-CN"/>
        </w:rPr>
        <w:t>公里，推进区内园林绿化灌溉的非常规水置换，园林绿化用水逐步退出取用自来水与地下水。</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2.</w:t>
      </w:r>
      <w:r>
        <w:rPr>
          <w:rFonts w:hint="eastAsia" w:ascii="仿宋_GB2312" w:hAnsi="仿宋_GB2312" w:cs="仿宋_GB2312"/>
          <w:szCs w:val="32"/>
          <w:lang w:val="zh-CN"/>
        </w:rPr>
        <w:t>加大地下水回补涵养</w:t>
      </w:r>
    </w:p>
    <w:p>
      <w:pPr>
        <w:adjustRightInd/>
        <w:snapToGrid/>
        <w:spacing w:line="360" w:lineRule="auto"/>
        <w:ind w:firstLine="640" w:firstLineChars="0"/>
        <w:rPr>
          <w:rFonts w:cs="Times New Roman"/>
        </w:rPr>
        <w:sectPr>
          <w:pgSz w:w="11906" w:h="16838"/>
          <w:pgMar w:top="1440" w:right="1800" w:bottom="1440" w:left="1800" w:header="227" w:footer="624" w:gutter="0"/>
          <w:cols w:space="425" w:num="1"/>
          <w:docGrid w:linePitch="435" w:charSpace="0"/>
        </w:sectPr>
      </w:pPr>
      <w:r>
        <w:rPr>
          <w:rFonts w:hint="eastAsia" w:ascii="仿宋_GB2312" w:hAnsi="仿宋_GB2312" w:cs="仿宋_GB2312"/>
          <w:szCs w:val="32"/>
          <w:lang w:val="zh-CN"/>
        </w:rPr>
        <w:t>202</w:t>
      </w:r>
      <w:r>
        <w:rPr>
          <w:rFonts w:hint="eastAsia" w:ascii="仿宋_GB2312" w:hAnsi="仿宋_GB2312" w:cs="仿宋_GB2312"/>
          <w:szCs w:val="32"/>
        </w:rPr>
        <w:t>3</w:t>
      </w:r>
      <w:r>
        <w:rPr>
          <w:rFonts w:hint="eastAsia" w:ascii="仿宋_GB2312" w:hAnsi="仿宋_GB2312" w:cs="仿宋_GB2312"/>
          <w:szCs w:val="32"/>
          <w:lang w:val="zh-CN"/>
        </w:rPr>
        <w:t>年主汛期前，完成顺义区生态补水建设项目，疏挖整治七分干渠、西牤牛河、白浪河等8条河道，提高河道与汉石桥湿地的连通性，新增补水河道30公里。推进生态补水三期工程建设，打通八干渠、十三支排水、龙道河、蔡家河、箭杆河等5条河道连接段堵点，新增补水河道20公里，提升地下水回补能力和回补量，持续实施潮白河地下水水源地回补，增加水源地储量。</w:t>
      </w:r>
    </w:p>
    <w:p>
      <w:pPr>
        <w:suppressAutoHyphens/>
        <w:adjustRightInd/>
        <w:snapToGrid/>
        <w:spacing w:line="580" w:lineRule="exact"/>
        <w:ind w:firstLine="640" w:firstLineChars="0"/>
        <w:jc w:val="left"/>
        <w:outlineLvl w:val="0"/>
        <w:rPr>
          <w:rFonts w:ascii="黑体" w:hAnsi="黑体" w:eastAsia="黑体" w:cs="Times New Roman"/>
          <w:szCs w:val="32"/>
        </w:rPr>
      </w:pPr>
      <w:bookmarkStart w:id="311" w:name="_Toc19508"/>
      <w:bookmarkStart w:id="312" w:name="_Toc117675786"/>
      <w:bookmarkStart w:id="313" w:name="_Toc121070703"/>
      <w:bookmarkStart w:id="314" w:name="_Toc119668347"/>
      <w:bookmarkStart w:id="315" w:name="_Toc121070637"/>
      <w:bookmarkStart w:id="316" w:name="_Toc4917"/>
      <w:bookmarkStart w:id="317" w:name="_Toc121132170"/>
      <w:bookmarkStart w:id="318" w:name="_Toc6972"/>
      <w:bookmarkStart w:id="319" w:name="_Toc117669359"/>
      <w:bookmarkStart w:id="320" w:name="_Toc123040361"/>
      <w:bookmarkStart w:id="321" w:name="_Toc118302032"/>
      <w:bookmarkStart w:id="322" w:name="_Toc21850"/>
      <w:bookmarkStart w:id="323" w:name="_Toc8378"/>
      <w:r>
        <w:rPr>
          <w:rFonts w:ascii="黑体" w:hAnsi="黑体" w:eastAsia="黑体" w:cs="Times New Roman"/>
          <w:szCs w:val="32"/>
        </w:rPr>
        <w:t>五、通州区</w:t>
      </w:r>
      <w:bookmarkEnd w:id="311"/>
      <w:bookmarkEnd w:id="312"/>
      <w:bookmarkEnd w:id="313"/>
      <w:bookmarkEnd w:id="314"/>
      <w:bookmarkEnd w:id="315"/>
      <w:bookmarkEnd w:id="316"/>
      <w:bookmarkEnd w:id="317"/>
      <w:bookmarkEnd w:id="318"/>
      <w:bookmarkEnd w:id="319"/>
      <w:bookmarkEnd w:id="320"/>
      <w:bookmarkEnd w:id="321"/>
      <w:bookmarkEnd w:id="322"/>
      <w:bookmarkEnd w:id="323"/>
    </w:p>
    <w:p>
      <w:pPr>
        <w:suppressAutoHyphens/>
        <w:adjustRightInd/>
        <w:snapToGrid/>
        <w:spacing w:line="580" w:lineRule="exact"/>
        <w:ind w:firstLine="640" w:firstLineChars="0"/>
        <w:outlineLvl w:val="1"/>
        <w:rPr>
          <w:rFonts w:ascii="楷体" w:hAnsi="楷体" w:eastAsia="楷体" w:cs="楷体"/>
          <w:szCs w:val="32"/>
          <w:lang w:val="zh-CN"/>
        </w:rPr>
      </w:pPr>
      <w:bookmarkStart w:id="324" w:name="_Toc117669360"/>
      <w:bookmarkStart w:id="325" w:name="_Toc118302033"/>
      <w:bookmarkStart w:id="326" w:name="_Toc121132171"/>
      <w:bookmarkStart w:id="327" w:name="_Toc15273"/>
      <w:bookmarkStart w:id="328" w:name="_Toc119668348"/>
      <w:bookmarkStart w:id="329" w:name="_Toc117675787"/>
      <w:bookmarkStart w:id="330" w:name="_Toc121070704"/>
      <w:bookmarkStart w:id="331" w:name="_Toc123040362"/>
      <w:bookmarkStart w:id="332" w:name="_Toc32270"/>
      <w:bookmarkStart w:id="333" w:name="_Toc18678"/>
      <w:bookmarkStart w:id="334" w:name="_Toc20786"/>
      <w:bookmarkStart w:id="335" w:name="_Toc121070638"/>
      <w:bookmarkStart w:id="336" w:name="_Toc6221"/>
      <w:r>
        <w:rPr>
          <w:rFonts w:ascii="楷体" w:hAnsi="楷体" w:eastAsia="楷体" w:cs="楷体"/>
          <w:szCs w:val="32"/>
          <w:lang w:val="zh-CN"/>
        </w:rPr>
        <w:t>（一）</w:t>
      </w:r>
      <w:r>
        <w:rPr>
          <w:rFonts w:hint="eastAsia" w:ascii="楷体" w:hAnsi="楷体" w:eastAsia="楷体" w:cs="楷体"/>
          <w:szCs w:val="32"/>
          <w:lang w:val="zh-CN"/>
        </w:rPr>
        <w:t>概况</w:t>
      </w:r>
      <w:bookmarkEnd w:id="324"/>
      <w:bookmarkEnd w:id="325"/>
      <w:bookmarkEnd w:id="326"/>
      <w:bookmarkEnd w:id="327"/>
      <w:bookmarkEnd w:id="328"/>
      <w:bookmarkEnd w:id="329"/>
      <w:bookmarkEnd w:id="330"/>
      <w:bookmarkEnd w:id="331"/>
      <w:bookmarkEnd w:id="332"/>
      <w:bookmarkEnd w:id="333"/>
      <w:bookmarkEnd w:id="334"/>
      <w:bookmarkEnd w:id="335"/>
      <w:bookmarkEnd w:id="336"/>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部分区域开采强度仍然较大，</w:t>
      </w:r>
      <w:r>
        <w:rPr>
          <w:rFonts w:ascii="仿宋_GB2312" w:hAnsi="仿宋_GB2312" w:cs="仿宋_GB2312"/>
          <w:szCs w:val="32"/>
          <w:lang w:val="zh-CN"/>
        </w:rPr>
        <w:t>区内水资源未实现合理高效配置，外调水指标尚有富余</w:t>
      </w:r>
      <w:r>
        <w:rPr>
          <w:rFonts w:hint="eastAsia" w:ascii="仿宋_GB2312" w:hAnsi="仿宋_GB2312" w:cs="仿宋_GB2312"/>
          <w:szCs w:val="32"/>
          <w:lang w:val="zh-CN"/>
        </w:rPr>
        <w:t>。区内仍存在</w:t>
      </w:r>
      <w:r>
        <w:rPr>
          <w:rFonts w:ascii="仿宋_GB2312" w:hAnsi="仿宋_GB2312" w:cs="仿宋_GB2312"/>
          <w:szCs w:val="32"/>
          <w:lang w:val="zh-CN"/>
        </w:rPr>
        <w:t>地下水严重超采区</w:t>
      </w:r>
      <w:r>
        <w:rPr>
          <w:rFonts w:hint="eastAsia" w:ascii="仿宋_GB2312" w:hAnsi="仿宋_GB2312" w:cs="仿宋_GB2312"/>
          <w:szCs w:val="32"/>
          <w:lang w:val="zh-CN"/>
        </w:rPr>
        <w:t>、禁止开采区，亟需加强对相关区域地下水开采管理，推进置换</w:t>
      </w:r>
      <w:r>
        <w:rPr>
          <w:rFonts w:ascii="仿宋_GB2312" w:hAnsi="仿宋_GB2312" w:cs="仿宋_GB2312"/>
          <w:szCs w:val="32"/>
          <w:lang w:val="zh-CN"/>
        </w:rPr>
        <w:t>严重超采区</w:t>
      </w:r>
      <w:r>
        <w:rPr>
          <w:rFonts w:hint="eastAsia" w:ascii="仿宋_GB2312" w:hAnsi="仿宋_GB2312" w:cs="仿宋_GB2312"/>
          <w:szCs w:val="32"/>
          <w:lang w:val="zh-CN"/>
        </w:rPr>
        <w:t>、禁止开采区地下水源井。</w:t>
      </w:r>
    </w:p>
    <w:p>
      <w:pPr>
        <w:suppressAutoHyphens/>
        <w:adjustRightInd/>
        <w:snapToGrid/>
        <w:spacing w:line="580" w:lineRule="exact"/>
        <w:ind w:firstLine="640" w:firstLineChars="0"/>
        <w:outlineLvl w:val="1"/>
        <w:rPr>
          <w:rFonts w:ascii="楷体" w:hAnsi="楷体" w:eastAsia="楷体" w:cs="楷体"/>
          <w:szCs w:val="32"/>
          <w:lang w:val="zh-CN"/>
        </w:rPr>
      </w:pPr>
      <w:bookmarkStart w:id="337" w:name="_Toc123040363"/>
      <w:bookmarkStart w:id="338" w:name="_Toc3111"/>
      <w:bookmarkStart w:id="339" w:name="_Toc121070705"/>
      <w:bookmarkStart w:id="340" w:name="_Toc12301"/>
      <w:bookmarkStart w:id="341" w:name="_Toc118302034"/>
      <w:bookmarkStart w:id="342" w:name="_Toc121132172"/>
      <w:bookmarkStart w:id="343" w:name="_Toc119668349"/>
      <w:bookmarkStart w:id="344" w:name="_Toc117675788"/>
      <w:bookmarkStart w:id="345" w:name="_Toc117669361"/>
      <w:bookmarkStart w:id="346" w:name="_Toc20189"/>
      <w:bookmarkStart w:id="347" w:name="_Toc121070639"/>
      <w:bookmarkStart w:id="348" w:name="_Toc9116"/>
      <w:bookmarkStart w:id="349" w:name="_Toc15762"/>
      <w:r>
        <w:rPr>
          <w:rFonts w:ascii="楷体" w:hAnsi="楷体" w:eastAsia="楷体" w:cs="楷体"/>
          <w:szCs w:val="32"/>
          <w:lang w:val="zh-CN"/>
        </w:rPr>
        <w:t>（二）治理目标</w:t>
      </w:r>
      <w:bookmarkEnd w:id="337"/>
      <w:bookmarkEnd w:id="338"/>
      <w:bookmarkEnd w:id="339"/>
      <w:bookmarkEnd w:id="340"/>
      <w:bookmarkEnd w:id="341"/>
      <w:bookmarkEnd w:id="342"/>
      <w:bookmarkEnd w:id="343"/>
      <w:bookmarkEnd w:id="344"/>
      <w:bookmarkEnd w:id="345"/>
      <w:bookmarkEnd w:id="346"/>
      <w:bookmarkEnd w:id="347"/>
      <w:bookmarkEnd w:id="348"/>
      <w:bookmarkEnd w:id="349"/>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通州南水北调水厂供水范围得到拓展，地下水禁止开采区、严重超采区地下水源得到有效置换，地下水管理水平显著提升，</w:t>
      </w:r>
      <w:r>
        <w:rPr>
          <w:rFonts w:ascii="仿宋_GB2312" w:hAnsi="仿宋_GB2312" w:cs="仿宋_GB2312"/>
          <w:szCs w:val="32"/>
          <w:lang w:val="zh-CN"/>
        </w:rPr>
        <w:t>平水年条件下地下水超采区面积</w:t>
      </w:r>
      <w:r>
        <w:rPr>
          <w:rFonts w:hint="eastAsia" w:ascii="仿宋_GB2312" w:hAnsi="仿宋_GB2312" w:cs="仿宋_GB2312"/>
          <w:szCs w:val="32"/>
          <w:lang w:val="zh-CN"/>
        </w:rPr>
        <w:t>不增加，</w:t>
      </w:r>
      <w:r>
        <w:rPr>
          <w:rFonts w:ascii="仿宋_GB2312" w:hAnsi="仿宋_GB2312" w:cs="仿宋_GB2312"/>
          <w:szCs w:val="32"/>
          <w:lang w:val="zh-CN"/>
        </w:rPr>
        <w:t>地下水平均水位回升0.3米。</w:t>
      </w:r>
    </w:p>
    <w:p>
      <w:pPr>
        <w:suppressAutoHyphens/>
        <w:adjustRightInd/>
        <w:snapToGrid/>
        <w:spacing w:line="580" w:lineRule="exact"/>
        <w:ind w:firstLine="640" w:firstLineChars="0"/>
        <w:outlineLvl w:val="1"/>
        <w:rPr>
          <w:rFonts w:ascii="楷体" w:hAnsi="楷体" w:eastAsia="楷体" w:cs="楷体"/>
          <w:szCs w:val="32"/>
          <w:lang w:val="zh-CN"/>
        </w:rPr>
      </w:pPr>
      <w:bookmarkStart w:id="350" w:name="_Toc117669362"/>
      <w:bookmarkStart w:id="351" w:name="_Toc118302035"/>
      <w:bookmarkStart w:id="352" w:name="_Toc25946"/>
      <w:bookmarkStart w:id="353" w:name="_Toc123040364"/>
      <w:bookmarkStart w:id="354" w:name="_Toc24413"/>
      <w:bookmarkStart w:id="355" w:name="_Toc121132173"/>
      <w:bookmarkStart w:id="356" w:name="_Toc28198"/>
      <w:bookmarkStart w:id="357" w:name="_Toc121070706"/>
      <w:bookmarkStart w:id="358" w:name="_Toc19231"/>
      <w:bookmarkStart w:id="359" w:name="_Toc10098"/>
      <w:bookmarkStart w:id="360" w:name="_Toc119668350"/>
      <w:bookmarkStart w:id="361" w:name="_Toc117675789"/>
      <w:bookmarkStart w:id="362" w:name="_Toc121070640"/>
      <w:r>
        <w:rPr>
          <w:rFonts w:ascii="楷体" w:hAnsi="楷体" w:eastAsia="楷体" w:cs="楷体"/>
          <w:szCs w:val="32"/>
          <w:lang w:val="zh-CN"/>
        </w:rPr>
        <w:t>（三）治理措施</w:t>
      </w:r>
      <w:bookmarkEnd w:id="350"/>
      <w:bookmarkEnd w:id="351"/>
      <w:bookmarkEnd w:id="352"/>
      <w:bookmarkEnd w:id="353"/>
      <w:bookmarkEnd w:id="354"/>
      <w:bookmarkEnd w:id="355"/>
      <w:bookmarkEnd w:id="356"/>
      <w:bookmarkEnd w:id="357"/>
      <w:bookmarkEnd w:id="358"/>
      <w:bookmarkEnd w:id="359"/>
      <w:bookmarkEnd w:id="360"/>
      <w:bookmarkEnd w:id="361"/>
      <w:bookmarkEnd w:id="362"/>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lang w:val="zh-CN"/>
        </w:rPr>
        <w:t>推进地表水厂及管网建设</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建成南水北调通州水厂工程(二期)，新增供水能力20万立方米/天</w:t>
      </w:r>
      <w:r>
        <w:rPr>
          <w:rFonts w:hint="eastAsia" w:ascii="仿宋_GB2312" w:hAnsi="仿宋_GB2312" w:cs="仿宋_GB2312"/>
          <w:szCs w:val="32"/>
          <w:lang w:val="zh-CN"/>
        </w:rPr>
        <w:t>，不断扩大南水北调水供水范围</w:t>
      </w:r>
      <w:r>
        <w:rPr>
          <w:rFonts w:ascii="仿宋_GB2312" w:hAnsi="仿宋_GB2312" w:cs="仿宋_GB2312"/>
          <w:szCs w:val="32"/>
          <w:lang w:val="zh-CN"/>
        </w:rPr>
        <w:t>。加快</w:t>
      </w:r>
      <w:r>
        <w:rPr>
          <w:rFonts w:hint="eastAsia" w:ascii="仿宋_GB2312" w:hAnsi="仿宋_GB2312" w:cs="仿宋_GB2312"/>
          <w:szCs w:val="32"/>
          <w:lang w:val="zh-CN"/>
        </w:rPr>
        <w:t>推进城市副中心与拓展区的宋庄镇、台湖镇、张家湾镇供水管网互联互通，</w:t>
      </w:r>
      <w:r>
        <w:rPr>
          <w:rFonts w:ascii="仿宋_GB2312" w:hAnsi="仿宋_GB2312" w:cs="仿宋_GB2312"/>
          <w:szCs w:val="32"/>
          <w:lang w:val="zh-CN"/>
        </w:rPr>
        <w:t>新建（</w:t>
      </w:r>
      <w:r>
        <w:rPr>
          <w:rFonts w:hint="eastAsia" w:ascii="仿宋_GB2312" w:hAnsi="仿宋_GB2312" w:cs="仿宋_GB2312"/>
          <w:szCs w:val="32"/>
          <w:lang w:val="zh-CN"/>
        </w:rPr>
        <w:t>改建</w:t>
      </w:r>
      <w:r>
        <w:rPr>
          <w:rFonts w:ascii="仿宋_GB2312" w:hAnsi="仿宋_GB2312" w:cs="仿宋_GB2312"/>
          <w:szCs w:val="32"/>
          <w:lang w:val="zh-CN"/>
        </w:rPr>
        <w:t>）供水管线1</w:t>
      </w:r>
      <w:r>
        <w:rPr>
          <w:rFonts w:hint="eastAsia" w:ascii="仿宋_GB2312" w:hAnsi="仿宋_GB2312" w:cs="仿宋_GB2312"/>
          <w:szCs w:val="32"/>
        </w:rPr>
        <w:t>30</w:t>
      </w:r>
      <w:r>
        <w:rPr>
          <w:rFonts w:ascii="仿宋_GB2312" w:hAnsi="仿宋_GB2312" w:cs="仿宋_GB2312"/>
          <w:szCs w:val="32"/>
          <w:lang w:val="zh-CN"/>
        </w:rPr>
        <w:t>公里，</w:t>
      </w:r>
      <w:r>
        <w:rPr>
          <w:rFonts w:hint="eastAsia" w:ascii="仿宋_GB2312" w:hAnsi="仿宋_GB2312" w:cs="仿宋_GB2312"/>
          <w:szCs w:val="32"/>
          <w:lang w:val="zh-CN"/>
        </w:rPr>
        <w:t>逐步将南水北调通州水厂供水范围扩展至宋庄、台湖等重点乡镇</w:t>
      </w:r>
      <w:r>
        <w:rPr>
          <w:rFonts w:ascii="仿宋_GB2312" w:hAnsi="仿宋_GB2312" w:cs="仿宋_GB2312"/>
          <w:szCs w:val="32"/>
          <w:lang w:val="zh-CN"/>
        </w:rPr>
        <w:t>，持续推进城乡供水一体化供水。</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2.</w:t>
      </w:r>
      <w:r>
        <w:rPr>
          <w:rFonts w:hint="eastAsia" w:ascii="仿宋_GB2312" w:hAnsi="仿宋_GB2312" w:cs="仿宋_GB2312"/>
          <w:szCs w:val="32"/>
          <w:lang w:val="zh-CN"/>
        </w:rPr>
        <w:t>加强水源置换</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重点推进地下水禁止开采区、严重超采区范围内地下水源置换。调查分析通州区禁限采区、超采区范围内机井分布、取水层位、取水量、机井运行管理等基础情况以及不同时段、不同用途历史用水需求，细化分析水厂、再生水厂供水能力、输配水管网覆盖范围等水源供给能力，制定禁限采区地下水置换方案。完成</w:t>
      </w:r>
      <w:r>
        <w:rPr>
          <w:rFonts w:ascii="仿宋_GB2312" w:hAnsi="仿宋_GB2312" w:cs="仿宋_GB2312"/>
          <w:szCs w:val="32"/>
          <w:lang w:val="zh-CN"/>
        </w:rPr>
        <w:t>17</w:t>
      </w:r>
      <w:r>
        <w:rPr>
          <w:rFonts w:hint="eastAsia" w:ascii="仿宋_GB2312" w:hAnsi="仿宋_GB2312" w:cs="仿宋_GB2312"/>
          <w:szCs w:val="32"/>
          <w:lang w:val="zh-CN"/>
        </w:rPr>
        <w:t>个自建设施供水住宅小区（社会单位）置换。完成减河北再生水厂建设，完成漷县污水处理厂升级改造，开工建设台湖再生水厂改扩建工程，新建（改建）污水管线</w:t>
      </w:r>
      <w:r>
        <w:rPr>
          <w:rFonts w:hint="eastAsia" w:ascii="仿宋_GB2312" w:hAnsi="仿宋_GB2312" w:cs="仿宋_GB2312"/>
          <w:szCs w:val="32"/>
        </w:rPr>
        <w:t>40</w:t>
      </w:r>
      <w:r>
        <w:rPr>
          <w:rFonts w:hint="eastAsia" w:ascii="仿宋_GB2312" w:hAnsi="仿宋_GB2312" w:cs="仿宋_GB2312"/>
          <w:szCs w:val="32"/>
          <w:lang w:val="zh-CN"/>
        </w:rPr>
        <w:t>公里，加快再生水输配与利用体系建设，探索修建沿河取水设施及输配水管线，建设集雨池等雨水利用设施，推进区内园林绿化灌溉的非常规水置换，园林绿化用水逐步退出取用自来水与地下水。坚持农业灌溉用水总量控制、动态平衡，优化调整水源配置，农业灌溉逐步退出深层地下水，在保持农用机井总量不增加的前提下，随着水源井更新，逐步将1</w:t>
      </w:r>
      <w:r>
        <w:rPr>
          <w:rFonts w:ascii="仿宋_GB2312" w:hAnsi="仿宋_GB2312" w:cs="仿宋_GB2312"/>
          <w:szCs w:val="32"/>
          <w:lang w:val="zh-CN"/>
        </w:rPr>
        <w:t>00</w:t>
      </w:r>
      <w:r>
        <w:rPr>
          <w:rFonts w:hint="eastAsia" w:ascii="仿宋_GB2312" w:hAnsi="仿宋_GB2312" w:cs="仿宋_GB2312"/>
          <w:szCs w:val="32"/>
          <w:lang w:val="zh-CN"/>
        </w:rPr>
        <w:t>米以深农业灌溉机井更新为1</w:t>
      </w:r>
      <w:r>
        <w:rPr>
          <w:rFonts w:ascii="仿宋_GB2312" w:hAnsi="仿宋_GB2312" w:cs="仿宋_GB2312"/>
          <w:szCs w:val="32"/>
          <w:lang w:val="zh-CN"/>
        </w:rPr>
        <w:t>00</w:t>
      </w:r>
      <w:r>
        <w:rPr>
          <w:rFonts w:hint="eastAsia" w:ascii="仿宋_GB2312" w:hAnsi="仿宋_GB2312" w:cs="仿宋_GB2312"/>
          <w:szCs w:val="32"/>
          <w:lang w:val="zh-CN"/>
        </w:rPr>
        <w:t>米以浅机井。</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3.</w:t>
      </w:r>
      <w:r>
        <w:rPr>
          <w:rFonts w:hint="eastAsia" w:ascii="仿宋_GB2312" w:hAnsi="仿宋_GB2312" w:cs="仿宋_GB2312"/>
          <w:szCs w:val="32"/>
          <w:lang w:val="zh-CN"/>
        </w:rPr>
        <w:t>提升地下水监管能力</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通州区</w:t>
      </w:r>
      <w:r>
        <w:rPr>
          <w:rFonts w:hint="eastAsia" w:ascii="仿宋_GB2312" w:hAnsi="仿宋_GB2312" w:cs="仿宋_GB2312"/>
          <w:szCs w:val="32"/>
          <w:lang w:val="zh-CN"/>
        </w:rPr>
        <w:t>机井数量较多，其中</w:t>
      </w:r>
      <w:r>
        <w:rPr>
          <w:rFonts w:ascii="仿宋_GB2312" w:hAnsi="仿宋_GB2312" w:cs="仿宋_GB2312"/>
          <w:szCs w:val="32"/>
          <w:lang w:val="zh-CN"/>
        </w:rPr>
        <w:t>农业</w:t>
      </w:r>
      <w:r>
        <w:rPr>
          <w:rFonts w:hint="eastAsia" w:ascii="仿宋_GB2312" w:hAnsi="仿宋_GB2312" w:cs="仿宋_GB2312"/>
          <w:szCs w:val="32"/>
          <w:lang w:val="zh-CN"/>
        </w:rPr>
        <w:t>机井占比大、数量多，机井取水计量与汇聚是长久以来的痛点、难点。结合非农机井装表计量与农业机井“以电折水”并行方式，提高取水量监测计量率与计量质量，及时、准确、全面掌握区域地下水源取水情况，有力支撑区域水资源监管工作。</w:t>
      </w:r>
    </w:p>
    <w:p>
      <w:pPr>
        <w:spacing w:line="360" w:lineRule="auto"/>
        <w:ind w:firstLine="640"/>
        <w:rPr>
          <w:rFonts w:cs="Times New Roman"/>
        </w:rPr>
        <w:sectPr>
          <w:pgSz w:w="11906" w:h="16838"/>
          <w:pgMar w:top="1440" w:right="1800" w:bottom="1440" w:left="1800" w:header="227" w:footer="624" w:gutter="0"/>
          <w:cols w:space="425" w:num="1"/>
          <w:docGrid w:linePitch="435" w:charSpace="0"/>
        </w:sectPr>
      </w:pPr>
    </w:p>
    <w:p>
      <w:pPr>
        <w:suppressAutoHyphens/>
        <w:adjustRightInd/>
        <w:snapToGrid/>
        <w:spacing w:line="580" w:lineRule="exact"/>
        <w:ind w:firstLine="640" w:firstLineChars="0"/>
        <w:jc w:val="left"/>
        <w:outlineLvl w:val="0"/>
        <w:rPr>
          <w:rFonts w:ascii="黑体" w:hAnsi="黑体" w:eastAsia="黑体" w:cs="Times New Roman"/>
          <w:szCs w:val="32"/>
        </w:rPr>
      </w:pPr>
      <w:bookmarkStart w:id="363" w:name="_Toc118302036"/>
      <w:bookmarkStart w:id="364" w:name="_Toc121070641"/>
      <w:bookmarkStart w:id="365" w:name="_Toc119668351"/>
      <w:bookmarkStart w:id="366" w:name="_Toc123040365"/>
      <w:bookmarkStart w:id="367" w:name="_Toc5673"/>
      <w:bookmarkStart w:id="368" w:name="_Toc121132174"/>
      <w:bookmarkStart w:id="369" w:name="_Toc117675792"/>
      <w:bookmarkStart w:id="370" w:name="_Toc117669365"/>
      <w:bookmarkStart w:id="371" w:name="_Toc16565"/>
      <w:bookmarkStart w:id="372" w:name="_Toc9097"/>
      <w:bookmarkStart w:id="373" w:name="_Toc32133"/>
      <w:bookmarkStart w:id="374" w:name="_Toc121070707"/>
      <w:bookmarkStart w:id="375" w:name="_Toc28713"/>
      <w:r>
        <w:rPr>
          <w:rFonts w:ascii="黑体" w:hAnsi="黑体" w:eastAsia="黑体" w:cs="Times New Roman"/>
          <w:szCs w:val="32"/>
        </w:rPr>
        <w:t>六、大兴区</w:t>
      </w:r>
      <w:bookmarkEnd w:id="363"/>
      <w:bookmarkEnd w:id="364"/>
      <w:bookmarkEnd w:id="365"/>
      <w:bookmarkEnd w:id="366"/>
      <w:bookmarkEnd w:id="367"/>
      <w:bookmarkEnd w:id="368"/>
      <w:bookmarkEnd w:id="369"/>
      <w:bookmarkEnd w:id="370"/>
      <w:bookmarkEnd w:id="371"/>
      <w:bookmarkEnd w:id="372"/>
      <w:bookmarkEnd w:id="373"/>
      <w:bookmarkEnd w:id="374"/>
      <w:bookmarkEnd w:id="375"/>
    </w:p>
    <w:p>
      <w:pPr>
        <w:suppressAutoHyphens/>
        <w:adjustRightInd/>
        <w:snapToGrid/>
        <w:spacing w:line="580" w:lineRule="exact"/>
        <w:ind w:firstLine="640" w:firstLineChars="0"/>
        <w:outlineLvl w:val="1"/>
        <w:rPr>
          <w:rFonts w:ascii="楷体" w:hAnsi="楷体" w:eastAsia="楷体" w:cs="楷体"/>
          <w:szCs w:val="32"/>
          <w:lang w:val="zh-CN"/>
        </w:rPr>
      </w:pPr>
      <w:bookmarkStart w:id="376" w:name="_Toc121132175"/>
      <w:bookmarkStart w:id="377" w:name="_Toc118302037"/>
      <w:bookmarkStart w:id="378" w:name="_Toc117669366"/>
      <w:bookmarkStart w:id="379" w:name="_Toc31589"/>
      <w:bookmarkStart w:id="380" w:name="_Toc8072"/>
      <w:bookmarkStart w:id="381" w:name="_Toc2241"/>
      <w:bookmarkStart w:id="382" w:name="_Toc4703"/>
      <w:bookmarkStart w:id="383" w:name="_Toc119668352"/>
      <w:bookmarkStart w:id="384" w:name="_Toc121070708"/>
      <w:bookmarkStart w:id="385" w:name="_Toc16957"/>
      <w:bookmarkStart w:id="386" w:name="_Toc121070642"/>
      <w:bookmarkStart w:id="387" w:name="_Toc117675793"/>
      <w:bookmarkStart w:id="388" w:name="_Toc123040366"/>
      <w:r>
        <w:rPr>
          <w:rFonts w:ascii="楷体" w:hAnsi="楷体" w:eastAsia="楷体" w:cs="楷体"/>
          <w:szCs w:val="32"/>
          <w:lang w:val="zh-CN"/>
        </w:rPr>
        <w:t>（一）</w:t>
      </w:r>
      <w:r>
        <w:rPr>
          <w:rFonts w:hint="eastAsia" w:ascii="楷体" w:hAnsi="楷体" w:eastAsia="楷体" w:cs="楷体"/>
          <w:szCs w:val="32"/>
          <w:lang w:val="zh-CN"/>
        </w:rPr>
        <w:t>概况</w:t>
      </w:r>
      <w:bookmarkEnd w:id="376"/>
      <w:bookmarkEnd w:id="377"/>
      <w:bookmarkEnd w:id="378"/>
      <w:bookmarkEnd w:id="379"/>
      <w:bookmarkEnd w:id="380"/>
      <w:bookmarkEnd w:id="381"/>
      <w:bookmarkEnd w:id="382"/>
      <w:bookmarkEnd w:id="383"/>
      <w:bookmarkEnd w:id="384"/>
      <w:bookmarkEnd w:id="385"/>
      <w:bookmarkEnd w:id="386"/>
      <w:bookmarkEnd w:id="387"/>
      <w:bookmarkEnd w:id="388"/>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黄村、亦庄等地表水厂均已投产但仍未达产，大兴国际机场</w:t>
      </w:r>
      <w:r>
        <w:rPr>
          <w:rFonts w:hint="eastAsia" w:ascii="仿宋_GB2312" w:hAnsi="仿宋_GB2312" w:cs="仿宋_GB2312"/>
          <w:szCs w:val="32"/>
          <w:lang w:val="zh-CN"/>
        </w:rPr>
        <w:t>水厂尚未建成，部分区域供水水源仍以地下水为主，开采强度仍然较大，水资源未实现合理高效配置利用。区内地下水尚存在较大的亏空，东南部区域为较大范围的一般超采区。区内非常规水利用方式比较单一，再生水主要用于河湖补水，大量非常规水资源没有得到高效利用。农业灌溉以地下水为主，其中100米以深机井占比较大。</w:t>
      </w:r>
    </w:p>
    <w:p>
      <w:pPr>
        <w:suppressAutoHyphens/>
        <w:adjustRightInd/>
        <w:snapToGrid/>
        <w:spacing w:line="580" w:lineRule="exact"/>
        <w:ind w:firstLine="640" w:firstLineChars="0"/>
        <w:outlineLvl w:val="1"/>
        <w:rPr>
          <w:rFonts w:ascii="楷体" w:hAnsi="楷体" w:eastAsia="楷体" w:cs="楷体"/>
          <w:szCs w:val="32"/>
          <w:lang w:val="zh-CN"/>
        </w:rPr>
      </w:pPr>
      <w:bookmarkStart w:id="389" w:name="_Toc121070709"/>
      <w:bookmarkStart w:id="390" w:name="_Toc117675794"/>
      <w:bookmarkStart w:id="391" w:name="_Toc121132176"/>
      <w:bookmarkStart w:id="392" w:name="_Toc10056"/>
      <w:bookmarkStart w:id="393" w:name="_Toc119668353"/>
      <w:bookmarkStart w:id="394" w:name="_Toc31891"/>
      <w:bookmarkStart w:id="395" w:name="_Toc10438"/>
      <w:bookmarkStart w:id="396" w:name="_Toc21350"/>
      <w:bookmarkStart w:id="397" w:name="_Toc13316"/>
      <w:bookmarkStart w:id="398" w:name="_Toc121070643"/>
      <w:bookmarkStart w:id="399" w:name="_Toc118302038"/>
      <w:bookmarkStart w:id="400" w:name="_Toc123040367"/>
      <w:bookmarkStart w:id="401" w:name="_Toc117669367"/>
      <w:r>
        <w:rPr>
          <w:rFonts w:ascii="楷体" w:hAnsi="楷体" w:eastAsia="楷体" w:cs="楷体"/>
          <w:szCs w:val="32"/>
          <w:lang w:val="zh-CN"/>
        </w:rPr>
        <w:t>（二）治理目标</w:t>
      </w:r>
      <w:bookmarkEnd w:id="389"/>
      <w:bookmarkEnd w:id="390"/>
      <w:bookmarkEnd w:id="391"/>
      <w:bookmarkEnd w:id="392"/>
      <w:bookmarkEnd w:id="393"/>
      <w:bookmarkEnd w:id="394"/>
      <w:bookmarkEnd w:id="395"/>
      <w:bookmarkEnd w:id="396"/>
      <w:bookmarkEnd w:id="397"/>
      <w:bookmarkEnd w:id="398"/>
      <w:bookmarkEnd w:id="399"/>
      <w:bookmarkEnd w:id="400"/>
      <w:bookmarkEnd w:id="401"/>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扩大地表水厂供水覆盖范围，实现南水北调水的优化配置，不断减少地下水开采，涵养修复地下水，平水年条件下</w:t>
      </w:r>
      <w:r>
        <w:rPr>
          <w:rFonts w:ascii="仿宋_GB2312" w:hAnsi="仿宋_GB2312" w:cs="仿宋_GB2312"/>
          <w:szCs w:val="32"/>
          <w:lang w:val="zh-CN"/>
        </w:rPr>
        <w:t>地下水超采区面积</w:t>
      </w:r>
      <w:r>
        <w:rPr>
          <w:rFonts w:hint="eastAsia" w:ascii="仿宋_GB2312" w:hAnsi="仿宋_GB2312" w:cs="仿宋_GB2312"/>
          <w:szCs w:val="32"/>
          <w:lang w:val="zh-CN"/>
        </w:rPr>
        <w:t>不增加，平均地下水水位回升0.5米。</w:t>
      </w:r>
    </w:p>
    <w:p>
      <w:pPr>
        <w:suppressAutoHyphens/>
        <w:adjustRightInd/>
        <w:snapToGrid/>
        <w:spacing w:line="580" w:lineRule="exact"/>
        <w:ind w:firstLine="640" w:firstLineChars="0"/>
        <w:outlineLvl w:val="1"/>
        <w:rPr>
          <w:rFonts w:ascii="楷体" w:hAnsi="楷体" w:eastAsia="楷体" w:cs="楷体"/>
          <w:szCs w:val="32"/>
          <w:lang w:val="zh-CN"/>
        </w:rPr>
      </w:pPr>
      <w:bookmarkStart w:id="402" w:name="_Toc15310"/>
      <w:bookmarkStart w:id="403" w:name="_Toc121070710"/>
      <w:bookmarkStart w:id="404" w:name="_Toc32352"/>
      <w:bookmarkStart w:id="405" w:name="_Toc118302039"/>
      <w:bookmarkStart w:id="406" w:name="_Toc117669368"/>
      <w:bookmarkStart w:id="407" w:name="_Toc121070644"/>
      <w:bookmarkStart w:id="408" w:name="_Toc1448"/>
      <w:bookmarkStart w:id="409" w:name="_Toc119668354"/>
      <w:bookmarkStart w:id="410" w:name="_Toc26347"/>
      <w:bookmarkStart w:id="411" w:name="_Toc121132177"/>
      <w:bookmarkStart w:id="412" w:name="_Toc31263"/>
      <w:bookmarkStart w:id="413" w:name="_Toc123040368"/>
      <w:bookmarkStart w:id="414" w:name="_Toc117675795"/>
      <w:r>
        <w:rPr>
          <w:rFonts w:ascii="楷体" w:hAnsi="楷体" w:eastAsia="楷体" w:cs="楷体"/>
          <w:szCs w:val="32"/>
          <w:lang w:val="zh-CN"/>
        </w:rPr>
        <w:t>（三）治理措施</w:t>
      </w:r>
      <w:bookmarkEnd w:id="402"/>
      <w:bookmarkEnd w:id="403"/>
      <w:bookmarkEnd w:id="404"/>
      <w:bookmarkEnd w:id="405"/>
      <w:bookmarkEnd w:id="406"/>
      <w:bookmarkEnd w:id="407"/>
      <w:bookmarkEnd w:id="408"/>
      <w:bookmarkEnd w:id="409"/>
      <w:bookmarkEnd w:id="410"/>
      <w:bookmarkEnd w:id="411"/>
      <w:bookmarkEnd w:id="412"/>
      <w:bookmarkEnd w:id="413"/>
      <w:bookmarkEnd w:id="414"/>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1.</w:t>
      </w:r>
      <w:r>
        <w:rPr>
          <w:rFonts w:hint="eastAsia" w:ascii="仿宋_GB2312" w:hAnsi="仿宋_GB2312" w:cs="仿宋_GB2312"/>
          <w:szCs w:val="32"/>
          <w:lang w:val="zh-CN"/>
        </w:rPr>
        <w:t>推进地表水厂及管网建设</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建设大兴国际机场水厂，推进黄村水厂（二期）建设，</w:t>
      </w:r>
      <w:r>
        <w:rPr>
          <w:rFonts w:ascii="仿宋_GB2312" w:hAnsi="仿宋_GB2312" w:cs="仿宋_GB2312"/>
          <w:szCs w:val="32"/>
          <w:lang w:val="zh-CN"/>
        </w:rPr>
        <w:t>加快完成南水北调大兴支线、新机场支线工程，构建以黄村水厂</w:t>
      </w:r>
      <w:r>
        <w:rPr>
          <w:rFonts w:hint="eastAsia" w:ascii="仿宋_GB2312" w:hAnsi="仿宋_GB2312" w:cs="仿宋_GB2312"/>
          <w:szCs w:val="32"/>
          <w:lang w:val="zh-CN"/>
        </w:rPr>
        <w:t>与大兴</w:t>
      </w:r>
      <w:r>
        <w:rPr>
          <w:rFonts w:ascii="仿宋_GB2312" w:hAnsi="仿宋_GB2312" w:cs="仿宋_GB2312"/>
          <w:szCs w:val="32"/>
          <w:lang w:val="zh-CN"/>
        </w:rPr>
        <w:t>国际机场水厂为主力水厂的城乡一体化供水格局，加快推进地表水厂供水管线和管网覆盖范围建设</w:t>
      </w:r>
      <w:r>
        <w:rPr>
          <w:rFonts w:hint="eastAsia" w:ascii="仿宋_GB2312" w:hAnsi="仿宋_GB2312" w:cs="仿宋_GB2312"/>
          <w:szCs w:val="32"/>
          <w:lang w:val="zh-CN"/>
        </w:rPr>
        <w:t>，新建（改建）供水管线1</w:t>
      </w:r>
      <w:r>
        <w:rPr>
          <w:rFonts w:ascii="仿宋_GB2312" w:hAnsi="仿宋_GB2312" w:cs="仿宋_GB2312"/>
          <w:szCs w:val="32"/>
          <w:lang w:val="zh-CN"/>
        </w:rPr>
        <w:t>0</w:t>
      </w:r>
      <w:r>
        <w:rPr>
          <w:rFonts w:hint="eastAsia" w:ascii="仿宋_GB2312" w:hAnsi="仿宋_GB2312" w:cs="仿宋_GB2312"/>
          <w:szCs w:val="32"/>
          <w:lang w:val="zh-CN"/>
        </w:rPr>
        <w:t>公里</w:t>
      </w:r>
      <w:r>
        <w:rPr>
          <w:rFonts w:ascii="仿宋_GB2312" w:hAnsi="仿宋_GB2312" w:cs="仿宋_GB2312"/>
          <w:szCs w:val="32"/>
          <w:lang w:val="zh-CN"/>
        </w:rPr>
        <w:t>。</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2.</w:t>
      </w:r>
      <w:r>
        <w:rPr>
          <w:rFonts w:hint="eastAsia" w:ascii="仿宋_GB2312" w:hAnsi="仿宋_GB2312" w:cs="仿宋_GB2312"/>
          <w:szCs w:val="32"/>
          <w:lang w:val="zh-CN"/>
        </w:rPr>
        <w:t>加强水源置换</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以超采区治理为重点，大力推进地下水减采工作，利用地表水厂水源置换相关区域地下水。通过“城带村”方式，将不少于</w:t>
      </w:r>
      <w:r>
        <w:rPr>
          <w:rFonts w:hint="eastAsia" w:ascii="仿宋_GB2312" w:hAnsi="仿宋_GB2312" w:cs="仿宋_GB2312"/>
          <w:szCs w:val="32"/>
        </w:rPr>
        <w:t>2</w:t>
      </w:r>
      <w:r>
        <w:rPr>
          <w:rFonts w:hint="eastAsia" w:ascii="仿宋_GB2312" w:hAnsi="仿宋_GB2312" w:cs="仿宋_GB2312"/>
          <w:szCs w:val="32"/>
          <w:lang w:val="zh-CN"/>
        </w:rPr>
        <w:t>个村庄纳入公共供水范围。完成永兴河第二再生水厂、西红门第二再生水厂（一期）建设，提升工业用再生水供应能力，保障氢能示范区等工业园区再生水利用。加快再生水输配与利用体系建设，新建（改建）污水管线</w:t>
      </w:r>
      <w:r>
        <w:rPr>
          <w:rFonts w:hint="eastAsia" w:ascii="仿宋_GB2312" w:hAnsi="仿宋_GB2312" w:cs="仿宋_GB2312"/>
          <w:szCs w:val="32"/>
        </w:rPr>
        <w:t>10公里，</w:t>
      </w:r>
      <w:r>
        <w:rPr>
          <w:rFonts w:hint="eastAsia" w:ascii="仿宋_GB2312" w:hAnsi="仿宋_GB2312" w:cs="仿宋_GB2312"/>
          <w:szCs w:val="32"/>
          <w:lang w:val="zh-CN"/>
        </w:rPr>
        <w:t>推进区内园林绿化灌溉的非常规水置换，园林绿化用水逐步退出取用自来水与地下水。坚持农业灌溉用水总量控制、动态平衡，优化调整水源配置，农业灌溉逐步退出深层地下水，在保持农用机井总量不增加的前提下，将1</w:t>
      </w:r>
      <w:r>
        <w:rPr>
          <w:rFonts w:ascii="仿宋_GB2312" w:hAnsi="仿宋_GB2312" w:cs="仿宋_GB2312"/>
          <w:szCs w:val="32"/>
          <w:lang w:val="zh-CN"/>
        </w:rPr>
        <w:t>00</w:t>
      </w:r>
      <w:r>
        <w:rPr>
          <w:rFonts w:hint="eastAsia" w:ascii="仿宋_GB2312" w:hAnsi="仿宋_GB2312" w:cs="仿宋_GB2312"/>
          <w:szCs w:val="32"/>
          <w:lang w:val="zh-CN"/>
        </w:rPr>
        <w:t>米以深农业灌溉机井更新为1</w:t>
      </w:r>
      <w:r>
        <w:rPr>
          <w:rFonts w:ascii="仿宋_GB2312" w:hAnsi="仿宋_GB2312" w:cs="仿宋_GB2312"/>
          <w:szCs w:val="32"/>
          <w:lang w:val="zh-CN"/>
        </w:rPr>
        <w:t>00</w:t>
      </w:r>
      <w:r>
        <w:rPr>
          <w:rFonts w:hint="eastAsia" w:ascii="仿宋_GB2312" w:hAnsi="仿宋_GB2312" w:cs="仿宋_GB2312"/>
          <w:szCs w:val="32"/>
          <w:lang w:val="zh-CN"/>
        </w:rPr>
        <w:t>米以浅机井。</w:t>
      </w:r>
    </w:p>
    <w:p>
      <w:pPr>
        <w:suppressAutoHyphens/>
        <w:adjustRightInd/>
        <w:snapToGrid/>
        <w:spacing w:line="580" w:lineRule="exact"/>
        <w:ind w:firstLine="640" w:firstLineChars="0"/>
        <w:rPr>
          <w:rFonts w:ascii="仿宋_GB2312" w:hAnsi="仿宋_GB2312" w:cs="仿宋_GB2312"/>
          <w:szCs w:val="32"/>
          <w:lang w:val="zh-CN"/>
        </w:rPr>
      </w:pPr>
      <w:r>
        <w:rPr>
          <w:rFonts w:ascii="仿宋_GB2312" w:hAnsi="仿宋_GB2312" w:cs="仿宋_GB2312"/>
          <w:szCs w:val="32"/>
          <w:lang w:val="zh-CN"/>
        </w:rPr>
        <w:t>3.</w:t>
      </w:r>
      <w:r>
        <w:rPr>
          <w:rFonts w:hint="eastAsia" w:ascii="仿宋_GB2312" w:hAnsi="仿宋_GB2312" w:cs="仿宋_GB2312"/>
          <w:szCs w:val="32"/>
          <w:lang w:val="zh-CN"/>
        </w:rPr>
        <w:t>提升地下水监管能力</w:t>
      </w:r>
    </w:p>
    <w:p>
      <w:pPr>
        <w:suppressAutoHyphens/>
        <w:adjustRightInd/>
        <w:snapToGrid/>
        <w:spacing w:line="580" w:lineRule="exact"/>
        <w:ind w:firstLine="640" w:firstLineChars="0"/>
        <w:rPr>
          <w:rFonts w:ascii="仿宋_GB2312" w:hAnsi="仿宋_GB2312" w:cs="仿宋_GB2312"/>
          <w:szCs w:val="32"/>
          <w:lang w:val="zh-CN"/>
        </w:rPr>
      </w:pPr>
      <w:r>
        <w:rPr>
          <w:rFonts w:hint="eastAsia" w:ascii="仿宋_GB2312" w:hAnsi="仿宋_GB2312" w:cs="仿宋_GB2312"/>
          <w:szCs w:val="32"/>
          <w:lang w:val="zh-CN"/>
        </w:rPr>
        <w:t>通过非农机井装表计量与农业机井“以电折水”并行方式，提高取水量监测计量率与计量质量，及时、准确、全面掌握区域地下水源取水情况，支撑地下水监管工作。</w:t>
      </w:r>
    </w:p>
    <w:p>
      <w:pPr>
        <w:suppressAutoHyphens/>
        <w:adjustRightInd/>
        <w:snapToGrid/>
        <w:spacing w:line="580" w:lineRule="exact"/>
        <w:ind w:firstLine="640" w:firstLineChars="0"/>
        <w:rPr>
          <w:rFonts w:ascii="仿宋_GB2312" w:hAnsi="仿宋_GB2312" w:cs="仿宋_GB2312"/>
          <w:szCs w:val="32"/>
          <w:lang w:val="zh-CN"/>
        </w:rPr>
      </w:pPr>
    </w:p>
    <w:sectPr>
      <w:headerReference r:id="rId13" w:type="default"/>
      <w:footerReference r:id="rId14" w:type="default"/>
      <w:pgSz w:w="11906" w:h="16838"/>
      <w:pgMar w:top="1440" w:right="1800" w:bottom="1440" w:left="1800" w:header="227" w:footer="624"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IDFon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412657"/>
    </w:sdtPr>
    <w:sdtContent>
      <w:p>
        <w:pPr>
          <w:pStyle w:val="16"/>
          <w:spacing w:line="240" w:lineRule="auto"/>
          <w:ind w:firstLine="0" w:firstLineChars="0"/>
          <w:jc w:val="center"/>
        </w:pPr>
        <w:r>
          <w:fldChar w:fldCharType="begin"/>
        </w:r>
        <w:r>
          <w:instrText xml:space="preserve">PAGE   \* MERGEFORMAT</w:instrText>
        </w:r>
        <w:r>
          <w:fldChar w:fldCharType="separate"/>
        </w:r>
        <w:r>
          <w:t>13</w:t>
        </w:r>
        <w:r>
          <w:fldChar w:fldCharType="end"/>
        </w:r>
      </w:p>
    </w:sdtContent>
  </w:sdt>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8947811"/>
    </w:sdtPr>
    <w:sdtContent>
      <w:p>
        <w:pPr>
          <w:pStyle w:val="16"/>
          <w:spacing w:line="240" w:lineRule="auto"/>
          <w:ind w:firstLine="0" w:firstLineChars="0"/>
          <w:jc w:val="center"/>
        </w:pPr>
        <w:r>
          <w:fldChar w:fldCharType="begin"/>
        </w:r>
        <w:r>
          <w:instrText xml:space="preserve">PAGE   \* MERGEFORMAT</w:instrText>
        </w:r>
        <w:r>
          <w:fldChar w:fldCharType="separate"/>
        </w:r>
        <w:r>
          <w:t>21</w:t>
        </w:r>
        <w:r>
          <w:fldChar w:fldCharType="end"/>
        </w:r>
      </w:p>
    </w:sdtContent>
  </w:sdt>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884823"/>
    </w:sdtPr>
    <w:sdtContent>
      <w:p>
        <w:pPr>
          <w:pStyle w:val="16"/>
          <w:spacing w:line="240" w:lineRule="auto"/>
          <w:ind w:firstLine="0" w:firstLineChars="0"/>
          <w:jc w:val="center"/>
        </w:pPr>
        <w:r>
          <w:fldChar w:fldCharType="begin"/>
        </w:r>
        <w:r>
          <w:instrText xml:space="preserve">PAGE   \* MERGEFORMAT</w:instrText>
        </w:r>
        <w:r>
          <w:fldChar w:fldCharType="separate"/>
        </w:r>
        <w:r>
          <w:t>25</w:t>
        </w:r>
        <w:r>
          <w:fldChar w:fldCharType="end"/>
        </w:r>
      </w:p>
    </w:sdtContent>
  </w:sdt>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9"/>
        <w:spacing w:line="240" w:lineRule="auto"/>
        <w:ind w:firstLine="360"/>
      </w:pPr>
      <w:r>
        <w:rPr>
          <w:rStyle w:val="34"/>
        </w:rPr>
        <w:footnoteRef/>
      </w:r>
      <w:r>
        <w:t xml:space="preserve"> </w:t>
      </w:r>
      <w:r>
        <w:rPr>
          <w:rFonts w:hint="eastAsia"/>
        </w:rPr>
        <w:t>本方案主体部分适用于各有关委办局、各区人民政府及北京经济技术开发区管委会。附件部分针对重点区制定了分区方案，分区方案适用于海淀区、昌平区、朝阳区、顺义区、通州区、大兴区及有关委办局。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MjYyYWFjZDhmY2JhZGE1MzAxYjZlZTIyNzI2MzkifQ=="/>
  </w:docVars>
  <w:rsids>
    <w:rsidRoot w:val="00172A27"/>
    <w:rsid w:val="000003D5"/>
    <w:rsid w:val="000006C7"/>
    <w:rsid w:val="0000118A"/>
    <w:rsid w:val="000011C4"/>
    <w:rsid w:val="0000243A"/>
    <w:rsid w:val="00002470"/>
    <w:rsid w:val="00002E7F"/>
    <w:rsid w:val="00003814"/>
    <w:rsid w:val="0000397D"/>
    <w:rsid w:val="0000414E"/>
    <w:rsid w:val="00004BD8"/>
    <w:rsid w:val="00004D39"/>
    <w:rsid w:val="0000567E"/>
    <w:rsid w:val="00006CB1"/>
    <w:rsid w:val="00006F2E"/>
    <w:rsid w:val="00006F8A"/>
    <w:rsid w:val="00010256"/>
    <w:rsid w:val="00010759"/>
    <w:rsid w:val="00013233"/>
    <w:rsid w:val="00013440"/>
    <w:rsid w:val="000143CF"/>
    <w:rsid w:val="00014657"/>
    <w:rsid w:val="00015E99"/>
    <w:rsid w:val="00015ED4"/>
    <w:rsid w:val="00016562"/>
    <w:rsid w:val="00016A38"/>
    <w:rsid w:val="00020539"/>
    <w:rsid w:val="00020D45"/>
    <w:rsid w:val="00021788"/>
    <w:rsid w:val="00022B3B"/>
    <w:rsid w:val="0002331F"/>
    <w:rsid w:val="000236E8"/>
    <w:rsid w:val="00023A10"/>
    <w:rsid w:val="000245AE"/>
    <w:rsid w:val="00024F6A"/>
    <w:rsid w:val="0002521E"/>
    <w:rsid w:val="00025B6F"/>
    <w:rsid w:val="00025BEE"/>
    <w:rsid w:val="00026E0C"/>
    <w:rsid w:val="0002705E"/>
    <w:rsid w:val="00027A62"/>
    <w:rsid w:val="000300C2"/>
    <w:rsid w:val="000304D3"/>
    <w:rsid w:val="00032A04"/>
    <w:rsid w:val="0003426A"/>
    <w:rsid w:val="000342CF"/>
    <w:rsid w:val="00034798"/>
    <w:rsid w:val="000356CA"/>
    <w:rsid w:val="0003576E"/>
    <w:rsid w:val="0003689D"/>
    <w:rsid w:val="00036E8E"/>
    <w:rsid w:val="00036F36"/>
    <w:rsid w:val="000377A5"/>
    <w:rsid w:val="00037EC5"/>
    <w:rsid w:val="000403A9"/>
    <w:rsid w:val="00040433"/>
    <w:rsid w:val="00040BD9"/>
    <w:rsid w:val="000411B4"/>
    <w:rsid w:val="00041483"/>
    <w:rsid w:val="00043BCA"/>
    <w:rsid w:val="00044482"/>
    <w:rsid w:val="000447CD"/>
    <w:rsid w:val="00046148"/>
    <w:rsid w:val="00046523"/>
    <w:rsid w:val="00047708"/>
    <w:rsid w:val="00047AC1"/>
    <w:rsid w:val="00047CFD"/>
    <w:rsid w:val="00051B53"/>
    <w:rsid w:val="0005333E"/>
    <w:rsid w:val="0005429E"/>
    <w:rsid w:val="00055B50"/>
    <w:rsid w:val="00056211"/>
    <w:rsid w:val="00057359"/>
    <w:rsid w:val="000575DA"/>
    <w:rsid w:val="00057D17"/>
    <w:rsid w:val="00061DAC"/>
    <w:rsid w:val="00061EFB"/>
    <w:rsid w:val="00062639"/>
    <w:rsid w:val="00062F3C"/>
    <w:rsid w:val="00063E29"/>
    <w:rsid w:val="00064236"/>
    <w:rsid w:val="0006448B"/>
    <w:rsid w:val="000644DF"/>
    <w:rsid w:val="0006453E"/>
    <w:rsid w:val="000674A6"/>
    <w:rsid w:val="00067B9E"/>
    <w:rsid w:val="0007046E"/>
    <w:rsid w:val="000708B4"/>
    <w:rsid w:val="00070B46"/>
    <w:rsid w:val="00070C52"/>
    <w:rsid w:val="00070F31"/>
    <w:rsid w:val="00071C8B"/>
    <w:rsid w:val="00073958"/>
    <w:rsid w:val="00073B3D"/>
    <w:rsid w:val="00074872"/>
    <w:rsid w:val="00076079"/>
    <w:rsid w:val="000771C8"/>
    <w:rsid w:val="00077A65"/>
    <w:rsid w:val="00077A76"/>
    <w:rsid w:val="00077EEC"/>
    <w:rsid w:val="00080A96"/>
    <w:rsid w:val="00080DB2"/>
    <w:rsid w:val="000811DA"/>
    <w:rsid w:val="00081D10"/>
    <w:rsid w:val="000821EE"/>
    <w:rsid w:val="000829A7"/>
    <w:rsid w:val="000836C6"/>
    <w:rsid w:val="000837AB"/>
    <w:rsid w:val="000839C4"/>
    <w:rsid w:val="00083B89"/>
    <w:rsid w:val="000855C2"/>
    <w:rsid w:val="00087E99"/>
    <w:rsid w:val="0009078E"/>
    <w:rsid w:val="000921EE"/>
    <w:rsid w:val="00093C2B"/>
    <w:rsid w:val="00094F55"/>
    <w:rsid w:val="00095A4E"/>
    <w:rsid w:val="000965B3"/>
    <w:rsid w:val="00096AAD"/>
    <w:rsid w:val="0009749E"/>
    <w:rsid w:val="00097F3D"/>
    <w:rsid w:val="000A0656"/>
    <w:rsid w:val="000A07B9"/>
    <w:rsid w:val="000A0812"/>
    <w:rsid w:val="000A0BCB"/>
    <w:rsid w:val="000A1C07"/>
    <w:rsid w:val="000A1D25"/>
    <w:rsid w:val="000A2205"/>
    <w:rsid w:val="000A290F"/>
    <w:rsid w:val="000A2EE2"/>
    <w:rsid w:val="000A2FA8"/>
    <w:rsid w:val="000A3A75"/>
    <w:rsid w:val="000A3E67"/>
    <w:rsid w:val="000A410C"/>
    <w:rsid w:val="000A4A55"/>
    <w:rsid w:val="000A6123"/>
    <w:rsid w:val="000A643F"/>
    <w:rsid w:val="000A6EC8"/>
    <w:rsid w:val="000A7546"/>
    <w:rsid w:val="000A7AD4"/>
    <w:rsid w:val="000B0362"/>
    <w:rsid w:val="000B09D2"/>
    <w:rsid w:val="000B1D95"/>
    <w:rsid w:val="000B2AE9"/>
    <w:rsid w:val="000B39C6"/>
    <w:rsid w:val="000B4CCA"/>
    <w:rsid w:val="000B51C9"/>
    <w:rsid w:val="000B5C38"/>
    <w:rsid w:val="000B620A"/>
    <w:rsid w:val="000B6D3C"/>
    <w:rsid w:val="000B71C8"/>
    <w:rsid w:val="000C0433"/>
    <w:rsid w:val="000C1276"/>
    <w:rsid w:val="000C299A"/>
    <w:rsid w:val="000C595E"/>
    <w:rsid w:val="000C6449"/>
    <w:rsid w:val="000C665C"/>
    <w:rsid w:val="000C6A34"/>
    <w:rsid w:val="000C6C5D"/>
    <w:rsid w:val="000C6DFA"/>
    <w:rsid w:val="000C6FCF"/>
    <w:rsid w:val="000C6FF1"/>
    <w:rsid w:val="000D0B16"/>
    <w:rsid w:val="000D0D44"/>
    <w:rsid w:val="000D161F"/>
    <w:rsid w:val="000D220A"/>
    <w:rsid w:val="000D2250"/>
    <w:rsid w:val="000D2488"/>
    <w:rsid w:val="000D40B6"/>
    <w:rsid w:val="000D431A"/>
    <w:rsid w:val="000D436D"/>
    <w:rsid w:val="000D43C7"/>
    <w:rsid w:val="000D4673"/>
    <w:rsid w:val="000D4740"/>
    <w:rsid w:val="000D4823"/>
    <w:rsid w:val="000D62D7"/>
    <w:rsid w:val="000E0DE6"/>
    <w:rsid w:val="000E0ED0"/>
    <w:rsid w:val="000E222A"/>
    <w:rsid w:val="000E4724"/>
    <w:rsid w:val="000E559F"/>
    <w:rsid w:val="000E58B2"/>
    <w:rsid w:val="000E6D7E"/>
    <w:rsid w:val="000E7461"/>
    <w:rsid w:val="000E76F1"/>
    <w:rsid w:val="000E7FBE"/>
    <w:rsid w:val="000F0064"/>
    <w:rsid w:val="000F01DE"/>
    <w:rsid w:val="000F02D8"/>
    <w:rsid w:val="000F1CA5"/>
    <w:rsid w:val="000F333B"/>
    <w:rsid w:val="000F361C"/>
    <w:rsid w:val="000F48F7"/>
    <w:rsid w:val="000F57A2"/>
    <w:rsid w:val="000F59CF"/>
    <w:rsid w:val="000F5D56"/>
    <w:rsid w:val="000F7E34"/>
    <w:rsid w:val="001002A9"/>
    <w:rsid w:val="00100891"/>
    <w:rsid w:val="00100B44"/>
    <w:rsid w:val="0010339D"/>
    <w:rsid w:val="00103410"/>
    <w:rsid w:val="00103BED"/>
    <w:rsid w:val="00104C16"/>
    <w:rsid w:val="00106206"/>
    <w:rsid w:val="001067B0"/>
    <w:rsid w:val="001069EB"/>
    <w:rsid w:val="00106E0B"/>
    <w:rsid w:val="00107536"/>
    <w:rsid w:val="001077C8"/>
    <w:rsid w:val="00110608"/>
    <w:rsid w:val="0011077B"/>
    <w:rsid w:val="00110AD5"/>
    <w:rsid w:val="00111447"/>
    <w:rsid w:val="001114F9"/>
    <w:rsid w:val="00111D2F"/>
    <w:rsid w:val="00112168"/>
    <w:rsid w:val="001121B1"/>
    <w:rsid w:val="00112ED3"/>
    <w:rsid w:val="0011520A"/>
    <w:rsid w:val="00116117"/>
    <w:rsid w:val="001168AF"/>
    <w:rsid w:val="00117009"/>
    <w:rsid w:val="00117626"/>
    <w:rsid w:val="0011778F"/>
    <w:rsid w:val="00117B6C"/>
    <w:rsid w:val="001201F8"/>
    <w:rsid w:val="00120304"/>
    <w:rsid w:val="00120792"/>
    <w:rsid w:val="00120CE0"/>
    <w:rsid w:val="00120F8D"/>
    <w:rsid w:val="00121043"/>
    <w:rsid w:val="00121401"/>
    <w:rsid w:val="00121A8E"/>
    <w:rsid w:val="00121C4D"/>
    <w:rsid w:val="00121C67"/>
    <w:rsid w:val="00122290"/>
    <w:rsid w:val="00122E99"/>
    <w:rsid w:val="00122EDF"/>
    <w:rsid w:val="001235F6"/>
    <w:rsid w:val="00124844"/>
    <w:rsid w:val="0012524B"/>
    <w:rsid w:val="001267B9"/>
    <w:rsid w:val="00126B3C"/>
    <w:rsid w:val="00127173"/>
    <w:rsid w:val="001277AF"/>
    <w:rsid w:val="00130B47"/>
    <w:rsid w:val="00130E28"/>
    <w:rsid w:val="001317E3"/>
    <w:rsid w:val="00131E05"/>
    <w:rsid w:val="00132CCC"/>
    <w:rsid w:val="00133A74"/>
    <w:rsid w:val="00133E1D"/>
    <w:rsid w:val="00133F84"/>
    <w:rsid w:val="001349A9"/>
    <w:rsid w:val="00134E0E"/>
    <w:rsid w:val="001353C4"/>
    <w:rsid w:val="00135602"/>
    <w:rsid w:val="0013627E"/>
    <w:rsid w:val="0013713A"/>
    <w:rsid w:val="00137A60"/>
    <w:rsid w:val="00140445"/>
    <w:rsid w:val="00140A9A"/>
    <w:rsid w:val="00141261"/>
    <w:rsid w:val="00141695"/>
    <w:rsid w:val="00143848"/>
    <w:rsid w:val="00144B7B"/>
    <w:rsid w:val="00145165"/>
    <w:rsid w:val="001462CB"/>
    <w:rsid w:val="00146932"/>
    <w:rsid w:val="00146CFE"/>
    <w:rsid w:val="00147B30"/>
    <w:rsid w:val="0015094E"/>
    <w:rsid w:val="00150E95"/>
    <w:rsid w:val="00151593"/>
    <w:rsid w:val="00151EEF"/>
    <w:rsid w:val="0015237B"/>
    <w:rsid w:val="001537D0"/>
    <w:rsid w:val="0015392E"/>
    <w:rsid w:val="00154414"/>
    <w:rsid w:val="00154DBB"/>
    <w:rsid w:val="00155123"/>
    <w:rsid w:val="00155295"/>
    <w:rsid w:val="001555B8"/>
    <w:rsid w:val="001557F0"/>
    <w:rsid w:val="00156632"/>
    <w:rsid w:val="001579D5"/>
    <w:rsid w:val="001607B5"/>
    <w:rsid w:val="00161466"/>
    <w:rsid w:val="00161707"/>
    <w:rsid w:val="00161BED"/>
    <w:rsid w:val="001625CC"/>
    <w:rsid w:val="001634D6"/>
    <w:rsid w:val="00163D6F"/>
    <w:rsid w:val="00163FF6"/>
    <w:rsid w:val="00164E86"/>
    <w:rsid w:val="0016597F"/>
    <w:rsid w:val="00165DE3"/>
    <w:rsid w:val="00166417"/>
    <w:rsid w:val="0016649A"/>
    <w:rsid w:val="0016773B"/>
    <w:rsid w:val="001678F6"/>
    <w:rsid w:val="00167F2D"/>
    <w:rsid w:val="00170F02"/>
    <w:rsid w:val="001718BE"/>
    <w:rsid w:val="001726B5"/>
    <w:rsid w:val="00172A27"/>
    <w:rsid w:val="00172C24"/>
    <w:rsid w:val="00173ABE"/>
    <w:rsid w:val="00173B7B"/>
    <w:rsid w:val="0017510D"/>
    <w:rsid w:val="00175589"/>
    <w:rsid w:val="0017686F"/>
    <w:rsid w:val="00176A65"/>
    <w:rsid w:val="001770E4"/>
    <w:rsid w:val="00177228"/>
    <w:rsid w:val="001778CD"/>
    <w:rsid w:val="00180922"/>
    <w:rsid w:val="00181050"/>
    <w:rsid w:val="0018167C"/>
    <w:rsid w:val="00181A85"/>
    <w:rsid w:val="00182199"/>
    <w:rsid w:val="001828D8"/>
    <w:rsid w:val="001832D9"/>
    <w:rsid w:val="00185689"/>
    <w:rsid w:val="001859F6"/>
    <w:rsid w:val="00185E2F"/>
    <w:rsid w:val="001866CC"/>
    <w:rsid w:val="00186A48"/>
    <w:rsid w:val="00187782"/>
    <w:rsid w:val="00190143"/>
    <w:rsid w:val="00191647"/>
    <w:rsid w:val="0019254C"/>
    <w:rsid w:val="001927DC"/>
    <w:rsid w:val="00193110"/>
    <w:rsid w:val="0019454E"/>
    <w:rsid w:val="001947F0"/>
    <w:rsid w:val="00194A89"/>
    <w:rsid w:val="00195CA6"/>
    <w:rsid w:val="00196561"/>
    <w:rsid w:val="001A19F2"/>
    <w:rsid w:val="001A248F"/>
    <w:rsid w:val="001A47FD"/>
    <w:rsid w:val="001A528A"/>
    <w:rsid w:val="001A6944"/>
    <w:rsid w:val="001A6963"/>
    <w:rsid w:val="001A7319"/>
    <w:rsid w:val="001A7B2E"/>
    <w:rsid w:val="001B056C"/>
    <w:rsid w:val="001B0F01"/>
    <w:rsid w:val="001B10B7"/>
    <w:rsid w:val="001B12ED"/>
    <w:rsid w:val="001B1782"/>
    <w:rsid w:val="001B1951"/>
    <w:rsid w:val="001B291C"/>
    <w:rsid w:val="001B2F22"/>
    <w:rsid w:val="001B370C"/>
    <w:rsid w:val="001B386C"/>
    <w:rsid w:val="001B467E"/>
    <w:rsid w:val="001B4C61"/>
    <w:rsid w:val="001B5525"/>
    <w:rsid w:val="001B7D4A"/>
    <w:rsid w:val="001B7E8C"/>
    <w:rsid w:val="001B7E95"/>
    <w:rsid w:val="001B7EB7"/>
    <w:rsid w:val="001C00AA"/>
    <w:rsid w:val="001C02A5"/>
    <w:rsid w:val="001C1ACB"/>
    <w:rsid w:val="001C1AE4"/>
    <w:rsid w:val="001C1D7B"/>
    <w:rsid w:val="001C24D8"/>
    <w:rsid w:val="001C31F5"/>
    <w:rsid w:val="001C5043"/>
    <w:rsid w:val="001C5A93"/>
    <w:rsid w:val="001C5AA8"/>
    <w:rsid w:val="001C6249"/>
    <w:rsid w:val="001C699A"/>
    <w:rsid w:val="001C7D95"/>
    <w:rsid w:val="001D01EE"/>
    <w:rsid w:val="001D20DD"/>
    <w:rsid w:val="001D2B16"/>
    <w:rsid w:val="001D54F7"/>
    <w:rsid w:val="001D5A5C"/>
    <w:rsid w:val="001D7D05"/>
    <w:rsid w:val="001D7E18"/>
    <w:rsid w:val="001E0A29"/>
    <w:rsid w:val="001E0A44"/>
    <w:rsid w:val="001E0B92"/>
    <w:rsid w:val="001E2666"/>
    <w:rsid w:val="001E32CC"/>
    <w:rsid w:val="001E3465"/>
    <w:rsid w:val="001E396A"/>
    <w:rsid w:val="001E41C6"/>
    <w:rsid w:val="001E4205"/>
    <w:rsid w:val="001E4609"/>
    <w:rsid w:val="001E7416"/>
    <w:rsid w:val="001E7ED9"/>
    <w:rsid w:val="001F0813"/>
    <w:rsid w:val="001F0F05"/>
    <w:rsid w:val="001F24FB"/>
    <w:rsid w:val="001F341D"/>
    <w:rsid w:val="001F4783"/>
    <w:rsid w:val="001F53E9"/>
    <w:rsid w:val="001F5906"/>
    <w:rsid w:val="001F678B"/>
    <w:rsid w:val="001F7135"/>
    <w:rsid w:val="001F7225"/>
    <w:rsid w:val="00201124"/>
    <w:rsid w:val="0020175C"/>
    <w:rsid w:val="00203722"/>
    <w:rsid w:val="00204A6E"/>
    <w:rsid w:val="0020633B"/>
    <w:rsid w:val="00206C91"/>
    <w:rsid w:val="00206DDD"/>
    <w:rsid w:val="00207278"/>
    <w:rsid w:val="002075C5"/>
    <w:rsid w:val="002079FB"/>
    <w:rsid w:val="00207CDF"/>
    <w:rsid w:val="0021060E"/>
    <w:rsid w:val="0021076B"/>
    <w:rsid w:val="00211011"/>
    <w:rsid w:val="002112FF"/>
    <w:rsid w:val="0021175B"/>
    <w:rsid w:val="0021195C"/>
    <w:rsid w:val="00211CBA"/>
    <w:rsid w:val="00211CC4"/>
    <w:rsid w:val="00211E3C"/>
    <w:rsid w:val="00211FF3"/>
    <w:rsid w:val="0021222A"/>
    <w:rsid w:val="00212CC3"/>
    <w:rsid w:val="00215010"/>
    <w:rsid w:val="00215D31"/>
    <w:rsid w:val="00216497"/>
    <w:rsid w:val="002165B6"/>
    <w:rsid w:val="00216DCC"/>
    <w:rsid w:val="00217718"/>
    <w:rsid w:val="0022081C"/>
    <w:rsid w:val="0022146E"/>
    <w:rsid w:val="002229D8"/>
    <w:rsid w:val="002233BE"/>
    <w:rsid w:val="00223A64"/>
    <w:rsid w:val="00225564"/>
    <w:rsid w:val="00225D2F"/>
    <w:rsid w:val="00226418"/>
    <w:rsid w:val="00226E1E"/>
    <w:rsid w:val="00227F15"/>
    <w:rsid w:val="002300CC"/>
    <w:rsid w:val="0023174D"/>
    <w:rsid w:val="002319AA"/>
    <w:rsid w:val="002321DE"/>
    <w:rsid w:val="00232764"/>
    <w:rsid w:val="00232D02"/>
    <w:rsid w:val="00232FB7"/>
    <w:rsid w:val="00233985"/>
    <w:rsid w:val="00233A80"/>
    <w:rsid w:val="00235915"/>
    <w:rsid w:val="00236ACF"/>
    <w:rsid w:val="00236D98"/>
    <w:rsid w:val="00236FCB"/>
    <w:rsid w:val="00237251"/>
    <w:rsid w:val="002376A4"/>
    <w:rsid w:val="002376F0"/>
    <w:rsid w:val="002404CB"/>
    <w:rsid w:val="002406A7"/>
    <w:rsid w:val="00240A18"/>
    <w:rsid w:val="00240E41"/>
    <w:rsid w:val="0024150A"/>
    <w:rsid w:val="00241B5C"/>
    <w:rsid w:val="00242568"/>
    <w:rsid w:val="00243484"/>
    <w:rsid w:val="002451AE"/>
    <w:rsid w:val="00246759"/>
    <w:rsid w:val="00246811"/>
    <w:rsid w:val="0024682A"/>
    <w:rsid w:val="00246A01"/>
    <w:rsid w:val="00247054"/>
    <w:rsid w:val="00247CAD"/>
    <w:rsid w:val="002504C9"/>
    <w:rsid w:val="00250C8F"/>
    <w:rsid w:val="00250D9F"/>
    <w:rsid w:val="0025219D"/>
    <w:rsid w:val="00252503"/>
    <w:rsid w:val="00252AF1"/>
    <w:rsid w:val="00253CA2"/>
    <w:rsid w:val="00254132"/>
    <w:rsid w:val="002556BE"/>
    <w:rsid w:val="00255A77"/>
    <w:rsid w:val="0025620C"/>
    <w:rsid w:val="0025733F"/>
    <w:rsid w:val="0025786C"/>
    <w:rsid w:val="00260CA4"/>
    <w:rsid w:val="00262D95"/>
    <w:rsid w:val="002638B3"/>
    <w:rsid w:val="002642ED"/>
    <w:rsid w:val="0026435D"/>
    <w:rsid w:val="00266B9A"/>
    <w:rsid w:val="00267F38"/>
    <w:rsid w:val="00270A86"/>
    <w:rsid w:val="00271195"/>
    <w:rsid w:val="0027132F"/>
    <w:rsid w:val="0027185E"/>
    <w:rsid w:val="00271A97"/>
    <w:rsid w:val="00272760"/>
    <w:rsid w:val="002728D2"/>
    <w:rsid w:val="00272F8C"/>
    <w:rsid w:val="00273814"/>
    <w:rsid w:val="00273C21"/>
    <w:rsid w:val="00273D1F"/>
    <w:rsid w:val="00274426"/>
    <w:rsid w:val="0027593B"/>
    <w:rsid w:val="0027762A"/>
    <w:rsid w:val="00281009"/>
    <w:rsid w:val="00282226"/>
    <w:rsid w:val="00283925"/>
    <w:rsid w:val="00283CF1"/>
    <w:rsid w:val="0028475D"/>
    <w:rsid w:val="00284D5D"/>
    <w:rsid w:val="00284F05"/>
    <w:rsid w:val="00286D58"/>
    <w:rsid w:val="002908E3"/>
    <w:rsid w:val="00291862"/>
    <w:rsid w:val="002925E2"/>
    <w:rsid w:val="00292F08"/>
    <w:rsid w:val="00293EFC"/>
    <w:rsid w:val="002944F5"/>
    <w:rsid w:val="002955F8"/>
    <w:rsid w:val="00296281"/>
    <w:rsid w:val="002974F3"/>
    <w:rsid w:val="002A05F9"/>
    <w:rsid w:val="002A14BE"/>
    <w:rsid w:val="002A15CF"/>
    <w:rsid w:val="002A1826"/>
    <w:rsid w:val="002A231A"/>
    <w:rsid w:val="002A3075"/>
    <w:rsid w:val="002A35BB"/>
    <w:rsid w:val="002A3DCD"/>
    <w:rsid w:val="002A5B36"/>
    <w:rsid w:val="002A5CED"/>
    <w:rsid w:val="002A6E3A"/>
    <w:rsid w:val="002A74DE"/>
    <w:rsid w:val="002A75EF"/>
    <w:rsid w:val="002A7C78"/>
    <w:rsid w:val="002B0B6E"/>
    <w:rsid w:val="002B1817"/>
    <w:rsid w:val="002B1ABA"/>
    <w:rsid w:val="002B2A2C"/>
    <w:rsid w:val="002B2EF0"/>
    <w:rsid w:val="002B347B"/>
    <w:rsid w:val="002B39ED"/>
    <w:rsid w:val="002B3F86"/>
    <w:rsid w:val="002B4EA2"/>
    <w:rsid w:val="002B507E"/>
    <w:rsid w:val="002B7564"/>
    <w:rsid w:val="002B7D9A"/>
    <w:rsid w:val="002C0123"/>
    <w:rsid w:val="002C0434"/>
    <w:rsid w:val="002C11A3"/>
    <w:rsid w:val="002C147D"/>
    <w:rsid w:val="002C2BDD"/>
    <w:rsid w:val="002C3E13"/>
    <w:rsid w:val="002C4BFB"/>
    <w:rsid w:val="002C4EBA"/>
    <w:rsid w:val="002C574F"/>
    <w:rsid w:val="002C6819"/>
    <w:rsid w:val="002C6F41"/>
    <w:rsid w:val="002D08A7"/>
    <w:rsid w:val="002D2CE2"/>
    <w:rsid w:val="002D2D02"/>
    <w:rsid w:val="002D3C05"/>
    <w:rsid w:val="002D4615"/>
    <w:rsid w:val="002D4EBE"/>
    <w:rsid w:val="002D51B7"/>
    <w:rsid w:val="002D5A2F"/>
    <w:rsid w:val="002D67D0"/>
    <w:rsid w:val="002D7555"/>
    <w:rsid w:val="002E0534"/>
    <w:rsid w:val="002E13D2"/>
    <w:rsid w:val="002E15F6"/>
    <w:rsid w:val="002E1EBC"/>
    <w:rsid w:val="002E3DA8"/>
    <w:rsid w:val="002E3EB6"/>
    <w:rsid w:val="002E40E1"/>
    <w:rsid w:val="002E4957"/>
    <w:rsid w:val="002E4966"/>
    <w:rsid w:val="002E5323"/>
    <w:rsid w:val="002E54DF"/>
    <w:rsid w:val="002E550D"/>
    <w:rsid w:val="002E5EFC"/>
    <w:rsid w:val="002E695C"/>
    <w:rsid w:val="002E6D02"/>
    <w:rsid w:val="002E70DA"/>
    <w:rsid w:val="002E71BF"/>
    <w:rsid w:val="002E73E0"/>
    <w:rsid w:val="002E78D4"/>
    <w:rsid w:val="002F05E0"/>
    <w:rsid w:val="002F0C3A"/>
    <w:rsid w:val="002F3180"/>
    <w:rsid w:val="002F54A5"/>
    <w:rsid w:val="002F54B5"/>
    <w:rsid w:val="002F553D"/>
    <w:rsid w:val="002F5CB8"/>
    <w:rsid w:val="002F5DEF"/>
    <w:rsid w:val="002F636F"/>
    <w:rsid w:val="002F670A"/>
    <w:rsid w:val="002F6821"/>
    <w:rsid w:val="00301151"/>
    <w:rsid w:val="0030172C"/>
    <w:rsid w:val="003033D3"/>
    <w:rsid w:val="00304FB9"/>
    <w:rsid w:val="00305476"/>
    <w:rsid w:val="00306FF2"/>
    <w:rsid w:val="00307091"/>
    <w:rsid w:val="003102CE"/>
    <w:rsid w:val="00310481"/>
    <w:rsid w:val="0031091D"/>
    <w:rsid w:val="00311A3C"/>
    <w:rsid w:val="00312292"/>
    <w:rsid w:val="00312DC0"/>
    <w:rsid w:val="00312F2A"/>
    <w:rsid w:val="003131A9"/>
    <w:rsid w:val="00313FAF"/>
    <w:rsid w:val="0031486C"/>
    <w:rsid w:val="003149A4"/>
    <w:rsid w:val="00314CF3"/>
    <w:rsid w:val="003162B4"/>
    <w:rsid w:val="00316394"/>
    <w:rsid w:val="00316800"/>
    <w:rsid w:val="00316B16"/>
    <w:rsid w:val="00316EF3"/>
    <w:rsid w:val="00317FD6"/>
    <w:rsid w:val="00320954"/>
    <w:rsid w:val="00320C5E"/>
    <w:rsid w:val="0032267A"/>
    <w:rsid w:val="00322FB0"/>
    <w:rsid w:val="003232DB"/>
    <w:rsid w:val="003244D5"/>
    <w:rsid w:val="00326BFE"/>
    <w:rsid w:val="0032745D"/>
    <w:rsid w:val="00330941"/>
    <w:rsid w:val="00331515"/>
    <w:rsid w:val="00331AA1"/>
    <w:rsid w:val="00333368"/>
    <w:rsid w:val="003340E6"/>
    <w:rsid w:val="00334EBD"/>
    <w:rsid w:val="003356F0"/>
    <w:rsid w:val="003362F9"/>
    <w:rsid w:val="003366BC"/>
    <w:rsid w:val="00336B7F"/>
    <w:rsid w:val="003379F3"/>
    <w:rsid w:val="00340663"/>
    <w:rsid w:val="00340A99"/>
    <w:rsid w:val="00340E29"/>
    <w:rsid w:val="003416EE"/>
    <w:rsid w:val="0034218E"/>
    <w:rsid w:val="003423C9"/>
    <w:rsid w:val="00342AF3"/>
    <w:rsid w:val="0034374D"/>
    <w:rsid w:val="00343EBB"/>
    <w:rsid w:val="00344AE6"/>
    <w:rsid w:val="00346033"/>
    <w:rsid w:val="0034646B"/>
    <w:rsid w:val="00346821"/>
    <w:rsid w:val="00347359"/>
    <w:rsid w:val="00347DDE"/>
    <w:rsid w:val="00347FA9"/>
    <w:rsid w:val="00350C5E"/>
    <w:rsid w:val="00351E37"/>
    <w:rsid w:val="00352783"/>
    <w:rsid w:val="00352BFA"/>
    <w:rsid w:val="003537F9"/>
    <w:rsid w:val="00354820"/>
    <w:rsid w:val="00355568"/>
    <w:rsid w:val="003555CA"/>
    <w:rsid w:val="00355CB3"/>
    <w:rsid w:val="00355FF1"/>
    <w:rsid w:val="0036032E"/>
    <w:rsid w:val="003606BA"/>
    <w:rsid w:val="00360F75"/>
    <w:rsid w:val="00361A17"/>
    <w:rsid w:val="00361EE8"/>
    <w:rsid w:val="00362376"/>
    <w:rsid w:val="0036250A"/>
    <w:rsid w:val="00364ACD"/>
    <w:rsid w:val="00364D90"/>
    <w:rsid w:val="00364DA1"/>
    <w:rsid w:val="00365203"/>
    <w:rsid w:val="00365651"/>
    <w:rsid w:val="003657AA"/>
    <w:rsid w:val="00365FDD"/>
    <w:rsid w:val="00366D78"/>
    <w:rsid w:val="00367BA4"/>
    <w:rsid w:val="00370F4F"/>
    <w:rsid w:val="003717FF"/>
    <w:rsid w:val="0037248D"/>
    <w:rsid w:val="00372863"/>
    <w:rsid w:val="003728A7"/>
    <w:rsid w:val="00374BEE"/>
    <w:rsid w:val="00375AE4"/>
    <w:rsid w:val="00375D4C"/>
    <w:rsid w:val="0037742E"/>
    <w:rsid w:val="003776C8"/>
    <w:rsid w:val="0037794E"/>
    <w:rsid w:val="003779CB"/>
    <w:rsid w:val="00377A1D"/>
    <w:rsid w:val="00377E98"/>
    <w:rsid w:val="00380198"/>
    <w:rsid w:val="00380442"/>
    <w:rsid w:val="003821BD"/>
    <w:rsid w:val="00382395"/>
    <w:rsid w:val="00382B2D"/>
    <w:rsid w:val="00383947"/>
    <w:rsid w:val="00383DEE"/>
    <w:rsid w:val="0038481C"/>
    <w:rsid w:val="00384C15"/>
    <w:rsid w:val="00385519"/>
    <w:rsid w:val="0038633A"/>
    <w:rsid w:val="003872A2"/>
    <w:rsid w:val="003902FF"/>
    <w:rsid w:val="00390735"/>
    <w:rsid w:val="00390B3B"/>
    <w:rsid w:val="00391875"/>
    <w:rsid w:val="00392609"/>
    <w:rsid w:val="003927D3"/>
    <w:rsid w:val="00392BA3"/>
    <w:rsid w:val="003937EB"/>
    <w:rsid w:val="003939BB"/>
    <w:rsid w:val="00393B6B"/>
    <w:rsid w:val="00393F2F"/>
    <w:rsid w:val="0039479D"/>
    <w:rsid w:val="003950C5"/>
    <w:rsid w:val="00395704"/>
    <w:rsid w:val="00395969"/>
    <w:rsid w:val="00397E57"/>
    <w:rsid w:val="003A0111"/>
    <w:rsid w:val="003A09DE"/>
    <w:rsid w:val="003A2546"/>
    <w:rsid w:val="003A259C"/>
    <w:rsid w:val="003A26B5"/>
    <w:rsid w:val="003A2DA4"/>
    <w:rsid w:val="003A3609"/>
    <w:rsid w:val="003A4A9A"/>
    <w:rsid w:val="003A568E"/>
    <w:rsid w:val="003A6858"/>
    <w:rsid w:val="003A6A1B"/>
    <w:rsid w:val="003A7766"/>
    <w:rsid w:val="003B0E91"/>
    <w:rsid w:val="003B222E"/>
    <w:rsid w:val="003B2A6F"/>
    <w:rsid w:val="003B3D99"/>
    <w:rsid w:val="003B4477"/>
    <w:rsid w:val="003B4912"/>
    <w:rsid w:val="003B4BCB"/>
    <w:rsid w:val="003B5E22"/>
    <w:rsid w:val="003B6E60"/>
    <w:rsid w:val="003B7535"/>
    <w:rsid w:val="003C01DE"/>
    <w:rsid w:val="003C0252"/>
    <w:rsid w:val="003C0CAF"/>
    <w:rsid w:val="003C1468"/>
    <w:rsid w:val="003C20B3"/>
    <w:rsid w:val="003C30E9"/>
    <w:rsid w:val="003C31A4"/>
    <w:rsid w:val="003C3B70"/>
    <w:rsid w:val="003C3CE1"/>
    <w:rsid w:val="003C4528"/>
    <w:rsid w:val="003C5289"/>
    <w:rsid w:val="003C5AF2"/>
    <w:rsid w:val="003C60DA"/>
    <w:rsid w:val="003C673E"/>
    <w:rsid w:val="003C6DBA"/>
    <w:rsid w:val="003C774A"/>
    <w:rsid w:val="003D00E0"/>
    <w:rsid w:val="003D076C"/>
    <w:rsid w:val="003D0BE0"/>
    <w:rsid w:val="003D0DDA"/>
    <w:rsid w:val="003D0EF3"/>
    <w:rsid w:val="003D1B89"/>
    <w:rsid w:val="003D2D38"/>
    <w:rsid w:val="003D3B9B"/>
    <w:rsid w:val="003D44FC"/>
    <w:rsid w:val="003D4A23"/>
    <w:rsid w:val="003D6835"/>
    <w:rsid w:val="003D711F"/>
    <w:rsid w:val="003D723A"/>
    <w:rsid w:val="003D73F2"/>
    <w:rsid w:val="003D7B4C"/>
    <w:rsid w:val="003E0804"/>
    <w:rsid w:val="003E080B"/>
    <w:rsid w:val="003E0E92"/>
    <w:rsid w:val="003E1032"/>
    <w:rsid w:val="003E329C"/>
    <w:rsid w:val="003E3CF1"/>
    <w:rsid w:val="003E63FF"/>
    <w:rsid w:val="003E7616"/>
    <w:rsid w:val="003E79B6"/>
    <w:rsid w:val="003E7AEB"/>
    <w:rsid w:val="003F1736"/>
    <w:rsid w:val="003F1F15"/>
    <w:rsid w:val="003F245F"/>
    <w:rsid w:val="003F3019"/>
    <w:rsid w:val="003F3651"/>
    <w:rsid w:val="003F5CAB"/>
    <w:rsid w:val="003F6361"/>
    <w:rsid w:val="003F74C2"/>
    <w:rsid w:val="003F7709"/>
    <w:rsid w:val="004005F9"/>
    <w:rsid w:val="0040068C"/>
    <w:rsid w:val="004011E7"/>
    <w:rsid w:val="004013B3"/>
    <w:rsid w:val="00401B9F"/>
    <w:rsid w:val="00402B08"/>
    <w:rsid w:val="00404224"/>
    <w:rsid w:val="004043DE"/>
    <w:rsid w:val="00405D0F"/>
    <w:rsid w:val="004068E2"/>
    <w:rsid w:val="0040732E"/>
    <w:rsid w:val="0040758B"/>
    <w:rsid w:val="00407CF7"/>
    <w:rsid w:val="00410C2D"/>
    <w:rsid w:val="0041280A"/>
    <w:rsid w:val="00412902"/>
    <w:rsid w:val="0041291E"/>
    <w:rsid w:val="00413630"/>
    <w:rsid w:val="004148D4"/>
    <w:rsid w:val="0041504E"/>
    <w:rsid w:val="00415112"/>
    <w:rsid w:val="004152CF"/>
    <w:rsid w:val="00415334"/>
    <w:rsid w:val="00416AF5"/>
    <w:rsid w:val="00417234"/>
    <w:rsid w:val="00417B47"/>
    <w:rsid w:val="00420BB1"/>
    <w:rsid w:val="00420F55"/>
    <w:rsid w:val="0042276E"/>
    <w:rsid w:val="00422B06"/>
    <w:rsid w:val="004237A1"/>
    <w:rsid w:val="00423C0D"/>
    <w:rsid w:val="00424563"/>
    <w:rsid w:val="00424AC9"/>
    <w:rsid w:val="00425DE4"/>
    <w:rsid w:val="0042779A"/>
    <w:rsid w:val="004305FF"/>
    <w:rsid w:val="0043111E"/>
    <w:rsid w:val="0043151F"/>
    <w:rsid w:val="00431E67"/>
    <w:rsid w:val="00432269"/>
    <w:rsid w:val="0043262D"/>
    <w:rsid w:val="00432DDE"/>
    <w:rsid w:val="00432F14"/>
    <w:rsid w:val="004335A4"/>
    <w:rsid w:val="00433C30"/>
    <w:rsid w:val="00433F14"/>
    <w:rsid w:val="004341D1"/>
    <w:rsid w:val="0043433D"/>
    <w:rsid w:val="00434C31"/>
    <w:rsid w:val="00436108"/>
    <w:rsid w:val="00436236"/>
    <w:rsid w:val="00437814"/>
    <w:rsid w:val="004408A6"/>
    <w:rsid w:val="00441701"/>
    <w:rsid w:val="00441804"/>
    <w:rsid w:val="004418A7"/>
    <w:rsid w:val="00442A1A"/>
    <w:rsid w:val="004461D9"/>
    <w:rsid w:val="00447B87"/>
    <w:rsid w:val="00447FEE"/>
    <w:rsid w:val="0045027E"/>
    <w:rsid w:val="00450C6B"/>
    <w:rsid w:val="00450D0F"/>
    <w:rsid w:val="0045145E"/>
    <w:rsid w:val="00451D67"/>
    <w:rsid w:val="00452585"/>
    <w:rsid w:val="00452B62"/>
    <w:rsid w:val="0045315A"/>
    <w:rsid w:val="00453C1D"/>
    <w:rsid w:val="00453FFB"/>
    <w:rsid w:val="00454284"/>
    <w:rsid w:val="00455174"/>
    <w:rsid w:val="00455577"/>
    <w:rsid w:val="00455593"/>
    <w:rsid w:val="00455646"/>
    <w:rsid w:val="00455D71"/>
    <w:rsid w:val="0045686B"/>
    <w:rsid w:val="004577E5"/>
    <w:rsid w:val="00457DAA"/>
    <w:rsid w:val="004600B0"/>
    <w:rsid w:val="00460DD6"/>
    <w:rsid w:val="00461B9E"/>
    <w:rsid w:val="00462B86"/>
    <w:rsid w:val="004654D8"/>
    <w:rsid w:val="00465BB2"/>
    <w:rsid w:val="00467254"/>
    <w:rsid w:val="00467817"/>
    <w:rsid w:val="00467886"/>
    <w:rsid w:val="00467A4A"/>
    <w:rsid w:val="00470388"/>
    <w:rsid w:val="00471127"/>
    <w:rsid w:val="0047138D"/>
    <w:rsid w:val="00471636"/>
    <w:rsid w:val="0047265E"/>
    <w:rsid w:val="004726AE"/>
    <w:rsid w:val="004728B8"/>
    <w:rsid w:val="00472F1E"/>
    <w:rsid w:val="0047447B"/>
    <w:rsid w:val="00474B56"/>
    <w:rsid w:val="004751C6"/>
    <w:rsid w:val="00476961"/>
    <w:rsid w:val="004800B5"/>
    <w:rsid w:val="004814AD"/>
    <w:rsid w:val="004817E6"/>
    <w:rsid w:val="00482496"/>
    <w:rsid w:val="004824B4"/>
    <w:rsid w:val="00482D41"/>
    <w:rsid w:val="00483C44"/>
    <w:rsid w:val="00484AD3"/>
    <w:rsid w:val="00484FCD"/>
    <w:rsid w:val="00485C35"/>
    <w:rsid w:val="00491376"/>
    <w:rsid w:val="004914FC"/>
    <w:rsid w:val="00491C26"/>
    <w:rsid w:val="00494422"/>
    <w:rsid w:val="00494922"/>
    <w:rsid w:val="00495EDC"/>
    <w:rsid w:val="004972F9"/>
    <w:rsid w:val="00497CB9"/>
    <w:rsid w:val="004A00BF"/>
    <w:rsid w:val="004A019E"/>
    <w:rsid w:val="004A069D"/>
    <w:rsid w:val="004A06FF"/>
    <w:rsid w:val="004A0EBB"/>
    <w:rsid w:val="004A1696"/>
    <w:rsid w:val="004A3025"/>
    <w:rsid w:val="004A3D27"/>
    <w:rsid w:val="004A5C4A"/>
    <w:rsid w:val="004A6AD3"/>
    <w:rsid w:val="004A740E"/>
    <w:rsid w:val="004B04DF"/>
    <w:rsid w:val="004B150D"/>
    <w:rsid w:val="004B17DC"/>
    <w:rsid w:val="004B1BEA"/>
    <w:rsid w:val="004B3A23"/>
    <w:rsid w:val="004B4103"/>
    <w:rsid w:val="004B487A"/>
    <w:rsid w:val="004B4975"/>
    <w:rsid w:val="004B4EEF"/>
    <w:rsid w:val="004B578A"/>
    <w:rsid w:val="004B68A9"/>
    <w:rsid w:val="004B776B"/>
    <w:rsid w:val="004C044E"/>
    <w:rsid w:val="004C0580"/>
    <w:rsid w:val="004C05DB"/>
    <w:rsid w:val="004C0984"/>
    <w:rsid w:val="004C0CC1"/>
    <w:rsid w:val="004C0D3A"/>
    <w:rsid w:val="004C15E9"/>
    <w:rsid w:val="004C1E96"/>
    <w:rsid w:val="004C249D"/>
    <w:rsid w:val="004C3F6B"/>
    <w:rsid w:val="004C4C39"/>
    <w:rsid w:val="004C53DC"/>
    <w:rsid w:val="004C5622"/>
    <w:rsid w:val="004C6D17"/>
    <w:rsid w:val="004C71B9"/>
    <w:rsid w:val="004D0488"/>
    <w:rsid w:val="004D29B6"/>
    <w:rsid w:val="004D347A"/>
    <w:rsid w:val="004D3784"/>
    <w:rsid w:val="004D792B"/>
    <w:rsid w:val="004D7D32"/>
    <w:rsid w:val="004E0787"/>
    <w:rsid w:val="004E1A4D"/>
    <w:rsid w:val="004E25E6"/>
    <w:rsid w:val="004E2BE4"/>
    <w:rsid w:val="004E33E7"/>
    <w:rsid w:val="004E3AD9"/>
    <w:rsid w:val="004E4C17"/>
    <w:rsid w:val="004E4C28"/>
    <w:rsid w:val="004E5856"/>
    <w:rsid w:val="004E61AD"/>
    <w:rsid w:val="004E62D4"/>
    <w:rsid w:val="004E76D5"/>
    <w:rsid w:val="004E7728"/>
    <w:rsid w:val="004E77CF"/>
    <w:rsid w:val="004E7913"/>
    <w:rsid w:val="004F093C"/>
    <w:rsid w:val="004F0A41"/>
    <w:rsid w:val="004F12AE"/>
    <w:rsid w:val="004F265F"/>
    <w:rsid w:val="004F3DC8"/>
    <w:rsid w:val="004F5621"/>
    <w:rsid w:val="004F57F0"/>
    <w:rsid w:val="004F6071"/>
    <w:rsid w:val="004F749D"/>
    <w:rsid w:val="004F7BE5"/>
    <w:rsid w:val="0050079B"/>
    <w:rsid w:val="005046A4"/>
    <w:rsid w:val="005061CF"/>
    <w:rsid w:val="00507258"/>
    <w:rsid w:val="00507405"/>
    <w:rsid w:val="00507A67"/>
    <w:rsid w:val="00507FD7"/>
    <w:rsid w:val="00510008"/>
    <w:rsid w:val="005124CF"/>
    <w:rsid w:val="00512D52"/>
    <w:rsid w:val="005138C0"/>
    <w:rsid w:val="00515B32"/>
    <w:rsid w:val="00515BF6"/>
    <w:rsid w:val="005169DC"/>
    <w:rsid w:val="00520C38"/>
    <w:rsid w:val="00521466"/>
    <w:rsid w:val="00522108"/>
    <w:rsid w:val="00522850"/>
    <w:rsid w:val="005228F8"/>
    <w:rsid w:val="00523832"/>
    <w:rsid w:val="0052420B"/>
    <w:rsid w:val="00524ED8"/>
    <w:rsid w:val="0052728E"/>
    <w:rsid w:val="005275A1"/>
    <w:rsid w:val="005300DB"/>
    <w:rsid w:val="00530ABE"/>
    <w:rsid w:val="00530C7F"/>
    <w:rsid w:val="0053147A"/>
    <w:rsid w:val="005317C8"/>
    <w:rsid w:val="0053335C"/>
    <w:rsid w:val="00534760"/>
    <w:rsid w:val="00534CEE"/>
    <w:rsid w:val="00537176"/>
    <w:rsid w:val="0053727D"/>
    <w:rsid w:val="005404D8"/>
    <w:rsid w:val="0054088C"/>
    <w:rsid w:val="0054164C"/>
    <w:rsid w:val="00541EE5"/>
    <w:rsid w:val="005423CF"/>
    <w:rsid w:val="005429D9"/>
    <w:rsid w:val="00543204"/>
    <w:rsid w:val="0054352D"/>
    <w:rsid w:val="0054388B"/>
    <w:rsid w:val="00543B87"/>
    <w:rsid w:val="00543C63"/>
    <w:rsid w:val="00544ED9"/>
    <w:rsid w:val="005455EA"/>
    <w:rsid w:val="00545F0B"/>
    <w:rsid w:val="00546CA0"/>
    <w:rsid w:val="00546FD0"/>
    <w:rsid w:val="005479A0"/>
    <w:rsid w:val="00550A93"/>
    <w:rsid w:val="0055103A"/>
    <w:rsid w:val="00551EEC"/>
    <w:rsid w:val="00552963"/>
    <w:rsid w:val="00552ED3"/>
    <w:rsid w:val="005539D5"/>
    <w:rsid w:val="00554349"/>
    <w:rsid w:val="005552CC"/>
    <w:rsid w:val="0055554C"/>
    <w:rsid w:val="00555A11"/>
    <w:rsid w:val="00555E9D"/>
    <w:rsid w:val="00555F36"/>
    <w:rsid w:val="00556E6A"/>
    <w:rsid w:val="00557B81"/>
    <w:rsid w:val="0056020A"/>
    <w:rsid w:val="00560A0E"/>
    <w:rsid w:val="00560E67"/>
    <w:rsid w:val="00562D35"/>
    <w:rsid w:val="00564056"/>
    <w:rsid w:val="00564868"/>
    <w:rsid w:val="00564893"/>
    <w:rsid w:val="0056490A"/>
    <w:rsid w:val="005655C2"/>
    <w:rsid w:val="005657AC"/>
    <w:rsid w:val="00565A18"/>
    <w:rsid w:val="00565B1A"/>
    <w:rsid w:val="00565B29"/>
    <w:rsid w:val="00565F74"/>
    <w:rsid w:val="005665FF"/>
    <w:rsid w:val="00566B04"/>
    <w:rsid w:val="00566D5A"/>
    <w:rsid w:val="00567143"/>
    <w:rsid w:val="0056763E"/>
    <w:rsid w:val="005700AE"/>
    <w:rsid w:val="005704C5"/>
    <w:rsid w:val="005705CD"/>
    <w:rsid w:val="00570F99"/>
    <w:rsid w:val="005715DD"/>
    <w:rsid w:val="00571657"/>
    <w:rsid w:val="00571A7F"/>
    <w:rsid w:val="00572455"/>
    <w:rsid w:val="005726C6"/>
    <w:rsid w:val="00572723"/>
    <w:rsid w:val="00572BA2"/>
    <w:rsid w:val="00573636"/>
    <w:rsid w:val="00574692"/>
    <w:rsid w:val="00574763"/>
    <w:rsid w:val="00574948"/>
    <w:rsid w:val="00574C2C"/>
    <w:rsid w:val="005753EE"/>
    <w:rsid w:val="00575AE7"/>
    <w:rsid w:val="00575EDA"/>
    <w:rsid w:val="00576167"/>
    <w:rsid w:val="00577A84"/>
    <w:rsid w:val="00577DDD"/>
    <w:rsid w:val="00580DF9"/>
    <w:rsid w:val="005819D1"/>
    <w:rsid w:val="005826D1"/>
    <w:rsid w:val="00582A0B"/>
    <w:rsid w:val="00583ED8"/>
    <w:rsid w:val="005845F1"/>
    <w:rsid w:val="00585392"/>
    <w:rsid w:val="00586955"/>
    <w:rsid w:val="005871CE"/>
    <w:rsid w:val="005876FA"/>
    <w:rsid w:val="005903BC"/>
    <w:rsid w:val="0059155A"/>
    <w:rsid w:val="005918C5"/>
    <w:rsid w:val="005919F9"/>
    <w:rsid w:val="005920D1"/>
    <w:rsid w:val="005922D4"/>
    <w:rsid w:val="00592E35"/>
    <w:rsid w:val="0059380D"/>
    <w:rsid w:val="005959C5"/>
    <w:rsid w:val="00596CE8"/>
    <w:rsid w:val="0059797D"/>
    <w:rsid w:val="005A006E"/>
    <w:rsid w:val="005A0E18"/>
    <w:rsid w:val="005A0E87"/>
    <w:rsid w:val="005A0E99"/>
    <w:rsid w:val="005A1C80"/>
    <w:rsid w:val="005A223F"/>
    <w:rsid w:val="005A294F"/>
    <w:rsid w:val="005A4572"/>
    <w:rsid w:val="005A5833"/>
    <w:rsid w:val="005A5A06"/>
    <w:rsid w:val="005A5ED6"/>
    <w:rsid w:val="005A603E"/>
    <w:rsid w:val="005A6C5D"/>
    <w:rsid w:val="005A6D5E"/>
    <w:rsid w:val="005B068B"/>
    <w:rsid w:val="005B0AC3"/>
    <w:rsid w:val="005B15C6"/>
    <w:rsid w:val="005B1DB4"/>
    <w:rsid w:val="005B26BB"/>
    <w:rsid w:val="005B283C"/>
    <w:rsid w:val="005B43E7"/>
    <w:rsid w:val="005B53A1"/>
    <w:rsid w:val="005B5759"/>
    <w:rsid w:val="005B5E68"/>
    <w:rsid w:val="005B5F66"/>
    <w:rsid w:val="005B60A0"/>
    <w:rsid w:val="005C025E"/>
    <w:rsid w:val="005C03F2"/>
    <w:rsid w:val="005C050D"/>
    <w:rsid w:val="005C23E8"/>
    <w:rsid w:val="005C430B"/>
    <w:rsid w:val="005C4A22"/>
    <w:rsid w:val="005C5518"/>
    <w:rsid w:val="005C6360"/>
    <w:rsid w:val="005C7405"/>
    <w:rsid w:val="005D0381"/>
    <w:rsid w:val="005D26DF"/>
    <w:rsid w:val="005D31E4"/>
    <w:rsid w:val="005D3431"/>
    <w:rsid w:val="005D544C"/>
    <w:rsid w:val="005D79B9"/>
    <w:rsid w:val="005D7F9B"/>
    <w:rsid w:val="005E0120"/>
    <w:rsid w:val="005E0C30"/>
    <w:rsid w:val="005E13C5"/>
    <w:rsid w:val="005E1952"/>
    <w:rsid w:val="005E1E9A"/>
    <w:rsid w:val="005E3182"/>
    <w:rsid w:val="005E4BC7"/>
    <w:rsid w:val="005E4C0B"/>
    <w:rsid w:val="005E5848"/>
    <w:rsid w:val="005E5959"/>
    <w:rsid w:val="005E63B3"/>
    <w:rsid w:val="005E6BCF"/>
    <w:rsid w:val="005E6BD7"/>
    <w:rsid w:val="005E76B5"/>
    <w:rsid w:val="005E7C67"/>
    <w:rsid w:val="005F2848"/>
    <w:rsid w:val="005F2F10"/>
    <w:rsid w:val="005F2FCC"/>
    <w:rsid w:val="005F3409"/>
    <w:rsid w:val="005F4B95"/>
    <w:rsid w:val="005F5F69"/>
    <w:rsid w:val="005F657F"/>
    <w:rsid w:val="005F662B"/>
    <w:rsid w:val="005F6FF2"/>
    <w:rsid w:val="006008EB"/>
    <w:rsid w:val="00601CE2"/>
    <w:rsid w:val="00601DC3"/>
    <w:rsid w:val="00603FC0"/>
    <w:rsid w:val="0060403D"/>
    <w:rsid w:val="006040F4"/>
    <w:rsid w:val="006048FD"/>
    <w:rsid w:val="00604B72"/>
    <w:rsid w:val="00604D91"/>
    <w:rsid w:val="006059A1"/>
    <w:rsid w:val="00605B7E"/>
    <w:rsid w:val="00605D4D"/>
    <w:rsid w:val="006060C3"/>
    <w:rsid w:val="00607A38"/>
    <w:rsid w:val="00610068"/>
    <w:rsid w:val="00610217"/>
    <w:rsid w:val="006103B6"/>
    <w:rsid w:val="006109B6"/>
    <w:rsid w:val="00610AE5"/>
    <w:rsid w:val="00610B39"/>
    <w:rsid w:val="00610E0C"/>
    <w:rsid w:val="00612033"/>
    <w:rsid w:val="00612FDD"/>
    <w:rsid w:val="0061320F"/>
    <w:rsid w:val="006144A0"/>
    <w:rsid w:val="0061622A"/>
    <w:rsid w:val="0061632F"/>
    <w:rsid w:val="006164DC"/>
    <w:rsid w:val="00616ADA"/>
    <w:rsid w:val="00616CA5"/>
    <w:rsid w:val="00617E2E"/>
    <w:rsid w:val="00620790"/>
    <w:rsid w:val="00620E96"/>
    <w:rsid w:val="00622506"/>
    <w:rsid w:val="00622C47"/>
    <w:rsid w:val="0062349F"/>
    <w:rsid w:val="00623CDB"/>
    <w:rsid w:val="006252C8"/>
    <w:rsid w:val="00625E5B"/>
    <w:rsid w:val="006263B7"/>
    <w:rsid w:val="00627712"/>
    <w:rsid w:val="00627CF6"/>
    <w:rsid w:val="006302D8"/>
    <w:rsid w:val="006311C2"/>
    <w:rsid w:val="00631288"/>
    <w:rsid w:val="00631A70"/>
    <w:rsid w:val="00632244"/>
    <w:rsid w:val="00632987"/>
    <w:rsid w:val="00633591"/>
    <w:rsid w:val="00633DD9"/>
    <w:rsid w:val="006356BC"/>
    <w:rsid w:val="006363B5"/>
    <w:rsid w:val="0063686A"/>
    <w:rsid w:val="00640136"/>
    <w:rsid w:val="0064101B"/>
    <w:rsid w:val="00641C8C"/>
    <w:rsid w:val="0064224D"/>
    <w:rsid w:val="006422AC"/>
    <w:rsid w:val="00642A11"/>
    <w:rsid w:val="00642AEF"/>
    <w:rsid w:val="00643BB8"/>
    <w:rsid w:val="00645617"/>
    <w:rsid w:val="00645622"/>
    <w:rsid w:val="00645BE0"/>
    <w:rsid w:val="00645D02"/>
    <w:rsid w:val="0064617C"/>
    <w:rsid w:val="00646320"/>
    <w:rsid w:val="00646F61"/>
    <w:rsid w:val="0064715F"/>
    <w:rsid w:val="006478AE"/>
    <w:rsid w:val="00650066"/>
    <w:rsid w:val="0065085E"/>
    <w:rsid w:val="00650FF0"/>
    <w:rsid w:val="00651174"/>
    <w:rsid w:val="006511A5"/>
    <w:rsid w:val="006519F5"/>
    <w:rsid w:val="00652570"/>
    <w:rsid w:val="00652C47"/>
    <w:rsid w:val="00652F72"/>
    <w:rsid w:val="00653B9D"/>
    <w:rsid w:val="00653F65"/>
    <w:rsid w:val="00654BE2"/>
    <w:rsid w:val="00654C24"/>
    <w:rsid w:val="00655C5C"/>
    <w:rsid w:val="006561E0"/>
    <w:rsid w:val="0065693E"/>
    <w:rsid w:val="00656F35"/>
    <w:rsid w:val="00657429"/>
    <w:rsid w:val="006606FD"/>
    <w:rsid w:val="00660F39"/>
    <w:rsid w:val="0066125F"/>
    <w:rsid w:val="0066132B"/>
    <w:rsid w:val="00661364"/>
    <w:rsid w:val="00661939"/>
    <w:rsid w:val="00662A81"/>
    <w:rsid w:val="00664AFD"/>
    <w:rsid w:val="0066619A"/>
    <w:rsid w:val="006668F6"/>
    <w:rsid w:val="00670280"/>
    <w:rsid w:val="006706E1"/>
    <w:rsid w:val="00670FFE"/>
    <w:rsid w:val="006714CE"/>
    <w:rsid w:val="00671A74"/>
    <w:rsid w:val="006722EB"/>
    <w:rsid w:val="00672631"/>
    <w:rsid w:val="006732CB"/>
    <w:rsid w:val="00673E40"/>
    <w:rsid w:val="00675A19"/>
    <w:rsid w:val="006761BB"/>
    <w:rsid w:val="00676998"/>
    <w:rsid w:val="0067711C"/>
    <w:rsid w:val="00680B44"/>
    <w:rsid w:val="00680C8F"/>
    <w:rsid w:val="00681ACE"/>
    <w:rsid w:val="006824C4"/>
    <w:rsid w:val="006826FD"/>
    <w:rsid w:val="0068281F"/>
    <w:rsid w:val="0068327A"/>
    <w:rsid w:val="0068348B"/>
    <w:rsid w:val="006835FC"/>
    <w:rsid w:val="00685507"/>
    <w:rsid w:val="00685C30"/>
    <w:rsid w:val="0068772B"/>
    <w:rsid w:val="006878B8"/>
    <w:rsid w:val="0069043E"/>
    <w:rsid w:val="0069192D"/>
    <w:rsid w:val="006920A5"/>
    <w:rsid w:val="00692738"/>
    <w:rsid w:val="00692C32"/>
    <w:rsid w:val="00693CE1"/>
    <w:rsid w:val="00696ECC"/>
    <w:rsid w:val="00697CCE"/>
    <w:rsid w:val="006A01B7"/>
    <w:rsid w:val="006A05D1"/>
    <w:rsid w:val="006A0986"/>
    <w:rsid w:val="006A0BAE"/>
    <w:rsid w:val="006A0D1F"/>
    <w:rsid w:val="006A14E6"/>
    <w:rsid w:val="006A1572"/>
    <w:rsid w:val="006A2D56"/>
    <w:rsid w:val="006A3D74"/>
    <w:rsid w:val="006A3E3B"/>
    <w:rsid w:val="006A49F5"/>
    <w:rsid w:val="006A4B55"/>
    <w:rsid w:val="006A5B74"/>
    <w:rsid w:val="006A5E1E"/>
    <w:rsid w:val="006A5E6B"/>
    <w:rsid w:val="006A7385"/>
    <w:rsid w:val="006A76F1"/>
    <w:rsid w:val="006A77D4"/>
    <w:rsid w:val="006A7F52"/>
    <w:rsid w:val="006B139C"/>
    <w:rsid w:val="006B18D9"/>
    <w:rsid w:val="006B27A0"/>
    <w:rsid w:val="006B3931"/>
    <w:rsid w:val="006B438C"/>
    <w:rsid w:val="006B45E0"/>
    <w:rsid w:val="006B4CF9"/>
    <w:rsid w:val="006B5923"/>
    <w:rsid w:val="006B6CB1"/>
    <w:rsid w:val="006C0074"/>
    <w:rsid w:val="006C0402"/>
    <w:rsid w:val="006C15BC"/>
    <w:rsid w:val="006C414E"/>
    <w:rsid w:val="006C460E"/>
    <w:rsid w:val="006C4826"/>
    <w:rsid w:val="006C55AE"/>
    <w:rsid w:val="006C6A43"/>
    <w:rsid w:val="006C716F"/>
    <w:rsid w:val="006D028F"/>
    <w:rsid w:val="006D0557"/>
    <w:rsid w:val="006D0B54"/>
    <w:rsid w:val="006D125A"/>
    <w:rsid w:val="006D21C4"/>
    <w:rsid w:val="006D4676"/>
    <w:rsid w:val="006D52F8"/>
    <w:rsid w:val="006D55FE"/>
    <w:rsid w:val="006D6036"/>
    <w:rsid w:val="006D672F"/>
    <w:rsid w:val="006D7F89"/>
    <w:rsid w:val="006E02D5"/>
    <w:rsid w:val="006E09FF"/>
    <w:rsid w:val="006E18E6"/>
    <w:rsid w:val="006E1A87"/>
    <w:rsid w:val="006E1B2F"/>
    <w:rsid w:val="006E1B37"/>
    <w:rsid w:val="006E3264"/>
    <w:rsid w:val="006E47BD"/>
    <w:rsid w:val="006E5316"/>
    <w:rsid w:val="006E5BCC"/>
    <w:rsid w:val="006E62B2"/>
    <w:rsid w:val="006E6F10"/>
    <w:rsid w:val="006E759A"/>
    <w:rsid w:val="006E7D31"/>
    <w:rsid w:val="006F1BA4"/>
    <w:rsid w:val="006F228F"/>
    <w:rsid w:val="006F25D6"/>
    <w:rsid w:val="006F31FB"/>
    <w:rsid w:val="006F3EC2"/>
    <w:rsid w:val="006F4374"/>
    <w:rsid w:val="006F4A85"/>
    <w:rsid w:val="006F5A8B"/>
    <w:rsid w:val="00700335"/>
    <w:rsid w:val="00700723"/>
    <w:rsid w:val="007007D3"/>
    <w:rsid w:val="00700ABA"/>
    <w:rsid w:val="0070152E"/>
    <w:rsid w:val="00701E9F"/>
    <w:rsid w:val="00702BE6"/>
    <w:rsid w:val="00702C6C"/>
    <w:rsid w:val="00703201"/>
    <w:rsid w:val="0070399D"/>
    <w:rsid w:val="007039B7"/>
    <w:rsid w:val="00705850"/>
    <w:rsid w:val="00705BDD"/>
    <w:rsid w:val="00706265"/>
    <w:rsid w:val="007062E2"/>
    <w:rsid w:val="007065C6"/>
    <w:rsid w:val="00706D41"/>
    <w:rsid w:val="00710203"/>
    <w:rsid w:val="007105E2"/>
    <w:rsid w:val="007116E1"/>
    <w:rsid w:val="007119D2"/>
    <w:rsid w:val="00712032"/>
    <w:rsid w:val="00713365"/>
    <w:rsid w:val="007137AE"/>
    <w:rsid w:val="00713BBF"/>
    <w:rsid w:val="00714BBF"/>
    <w:rsid w:val="0071509D"/>
    <w:rsid w:val="007154EB"/>
    <w:rsid w:val="007155F0"/>
    <w:rsid w:val="00715BA1"/>
    <w:rsid w:val="00715DF4"/>
    <w:rsid w:val="00716D81"/>
    <w:rsid w:val="0071773E"/>
    <w:rsid w:val="00720783"/>
    <w:rsid w:val="0072132E"/>
    <w:rsid w:val="00721536"/>
    <w:rsid w:val="007215BB"/>
    <w:rsid w:val="007228F4"/>
    <w:rsid w:val="007230C2"/>
    <w:rsid w:val="0072333E"/>
    <w:rsid w:val="00723BAB"/>
    <w:rsid w:val="00724520"/>
    <w:rsid w:val="00724A0A"/>
    <w:rsid w:val="00725170"/>
    <w:rsid w:val="00725F10"/>
    <w:rsid w:val="0072633E"/>
    <w:rsid w:val="00726CE5"/>
    <w:rsid w:val="007279CA"/>
    <w:rsid w:val="007306D5"/>
    <w:rsid w:val="007313FD"/>
    <w:rsid w:val="00732455"/>
    <w:rsid w:val="00732A4F"/>
    <w:rsid w:val="00732E3C"/>
    <w:rsid w:val="007331D7"/>
    <w:rsid w:val="00735A1D"/>
    <w:rsid w:val="00736F2A"/>
    <w:rsid w:val="007370F0"/>
    <w:rsid w:val="007408D4"/>
    <w:rsid w:val="00740A36"/>
    <w:rsid w:val="00740C88"/>
    <w:rsid w:val="00741DB4"/>
    <w:rsid w:val="007435EE"/>
    <w:rsid w:val="0074481D"/>
    <w:rsid w:val="00744AD2"/>
    <w:rsid w:val="00744DFE"/>
    <w:rsid w:val="00744EF5"/>
    <w:rsid w:val="00746043"/>
    <w:rsid w:val="007471AF"/>
    <w:rsid w:val="0075075F"/>
    <w:rsid w:val="007522AD"/>
    <w:rsid w:val="0075381A"/>
    <w:rsid w:val="00753903"/>
    <w:rsid w:val="00753C16"/>
    <w:rsid w:val="007546AC"/>
    <w:rsid w:val="007553B2"/>
    <w:rsid w:val="0075624C"/>
    <w:rsid w:val="0075685E"/>
    <w:rsid w:val="00756DCA"/>
    <w:rsid w:val="007570B4"/>
    <w:rsid w:val="00757148"/>
    <w:rsid w:val="00757FDA"/>
    <w:rsid w:val="00760170"/>
    <w:rsid w:val="00760411"/>
    <w:rsid w:val="0076084C"/>
    <w:rsid w:val="00761AA5"/>
    <w:rsid w:val="00762753"/>
    <w:rsid w:val="00765342"/>
    <w:rsid w:val="0076647C"/>
    <w:rsid w:val="0077082A"/>
    <w:rsid w:val="007708E1"/>
    <w:rsid w:val="007711B8"/>
    <w:rsid w:val="00771733"/>
    <w:rsid w:val="00772456"/>
    <w:rsid w:val="00772837"/>
    <w:rsid w:val="0077377F"/>
    <w:rsid w:val="00773CC3"/>
    <w:rsid w:val="0077648A"/>
    <w:rsid w:val="00776E0A"/>
    <w:rsid w:val="0077758B"/>
    <w:rsid w:val="00777C12"/>
    <w:rsid w:val="00777DD7"/>
    <w:rsid w:val="00777EF8"/>
    <w:rsid w:val="00780024"/>
    <w:rsid w:val="007802C1"/>
    <w:rsid w:val="00781766"/>
    <w:rsid w:val="00782C3E"/>
    <w:rsid w:val="00782E66"/>
    <w:rsid w:val="007839DC"/>
    <w:rsid w:val="007841BF"/>
    <w:rsid w:val="00784BA3"/>
    <w:rsid w:val="007869F6"/>
    <w:rsid w:val="00786AB1"/>
    <w:rsid w:val="00786CB7"/>
    <w:rsid w:val="00786EA7"/>
    <w:rsid w:val="0078710E"/>
    <w:rsid w:val="00787F59"/>
    <w:rsid w:val="00787FA4"/>
    <w:rsid w:val="0079142A"/>
    <w:rsid w:val="0079189B"/>
    <w:rsid w:val="007925DC"/>
    <w:rsid w:val="0079336D"/>
    <w:rsid w:val="007942A0"/>
    <w:rsid w:val="00795836"/>
    <w:rsid w:val="007967A1"/>
    <w:rsid w:val="007968A9"/>
    <w:rsid w:val="00797509"/>
    <w:rsid w:val="00797CBA"/>
    <w:rsid w:val="00797D2B"/>
    <w:rsid w:val="007A0A03"/>
    <w:rsid w:val="007A1F65"/>
    <w:rsid w:val="007A20A6"/>
    <w:rsid w:val="007A36A3"/>
    <w:rsid w:val="007A410C"/>
    <w:rsid w:val="007A4373"/>
    <w:rsid w:val="007A4FDC"/>
    <w:rsid w:val="007A5415"/>
    <w:rsid w:val="007A5882"/>
    <w:rsid w:val="007A5BA5"/>
    <w:rsid w:val="007A5C84"/>
    <w:rsid w:val="007A6F03"/>
    <w:rsid w:val="007A6FE5"/>
    <w:rsid w:val="007A7816"/>
    <w:rsid w:val="007B1C8F"/>
    <w:rsid w:val="007B1E4B"/>
    <w:rsid w:val="007B2711"/>
    <w:rsid w:val="007B3136"/>
    <w:rsid w:val="007B3885"/>
    <w:rsid w:val="007B3924"/>
    <w:rsid w:val="007B4606"/>
    <w:rsid w:val="007B4D28"/>
    <w:rsid w:val="007B5C84"/>
    <w:rsid w:val="007B600B"/>
    <w:rsid w:val="007B64D3"/>
    <w:rsid w:val="007B66E9"/>
    <w:rsid w:val="007C02AA"/>
    <w:rsid w:val="007C035E"/>
    <w:rsid w:val="007C0C37"/>
    <w:rsid w:val="007C1C58"/>
    <w:rsid w:val="007C2FA2"/>
    <w:rsid w:val="007C3372"/>
    <w:rsid w:val="007C3FB9"/>
    <w:rsid w:val="007C4219"/>
    <w:rsid w:val="007C5C1A"/>
    <w:rsid w:val="007C75F4"/>
    <w:rsid w:val="007C769D"/>
    <w:rsid w:val="007C7F94"/>
    <w:rsid w:val="007D1746"/>
    <w:rsid w:val="007D1B71"/>
    <w:rsid w:val="007D2B79"/>
    <w:rsid w:val="007D3C2D"/>
    <w:rsid w:val="007D5C1E"/>
    <w:rsid w:val="007D61EA"/>
    <w:rsid w:val="007D63AF"/>
    <w:rsid w:val="007D6D5B"/>
    <w:rsid w:val="007D7FB5"/>
    <w:rsid w:val="007E03E6"/>
    <w:rsid w:val="007E06FD"/>
    <w:rsid w:val="007E15DE"/>
    <w:rsid w:val="007E1C67"/>
    <w:rsid w:val="007E23D7"/>
    <w:rsid w:val="007E2545"/>
    <w:rsid w:val="007E2EEA"/>
    <w:rsid w:val="007E30B8"/>
    <w:rsid w:val="007E3342"/>
    <w:rsid w:val="007E3F78"/>
    <w:rsid w:val="007E40D5"/>
    <w:rsid w:val="007E42C5"/>
    <w:rsid w:val="007E4FF7"/>
    <w:rsid w:val="007E538D"/>
    <w:rsid w:val="007E5A1B"/>
    <w:rsid w:val="007E64AD"/>
    <w:rsid w:val="007E6780"/>
    <w:rsid w:val="007E67EA"/>
    <w:rsid w:val="007E739A"/>
    <w:rsid w:val="007E7813"/>
    <w:rsid w:val="007E7843"/>
    <w:rsid w:val="007F0490"/>
    <w:rsid w:val="007F0E54"/>
    <w:rsid w:val="007F12CC"/>
    <w:rsid w:val="007F13D7"/>
    <w:rsid w:val="007F3227"/>
    <w:rsid w:val="007F38A3"/>
    <w:rsid w:val="007F3F1E"/>
    <w:rsid w:val="007F3F30"/>
    <w:rsid w:val="007F43D9"/>
    <w:rsid w:val="007F5A6B"/>
    <w:rsid w:val="007F6CA9"/>
    <w:rsid w:val="007F6DA6"/>
    <w:rsid w:val="007F7326"/>
    <w:rsid w:val="007F78EF"/>
    <w:rsid w:val="008023F7"/>
    <w:rsid w:val="0080284B"/>
    <w:rsid w:val="0080285D"/>
    <w:rsid w:val="008030D7"/>
    <w:rsid w:val="00803AB2"/>
    <w:rsid w:val="00804290"/>
    <w:rsid w:val="008050B3"/>
    <w:rsid w:val="008051F3"/>
    <w:rsid w:val="0080539E"/>
    <w:rsid w:val="00805504"/>
    <w:rsid w:val="0080561C"/>
    <w:rsid w:val="00805CA6"/>
    <w:rsid w:val="008079DB"/>
    <w:rsid w:val="0081083C"/>
    <w:rsid w:val="008113A8"/>
    <w:rsid w:val="00811C03"/>
    <w:rsid w:val="00812D5A"/>
    <w:rsid w:val="00812DBC"/>
    <w:rsid w:val="00813730"/>
    <w:rsid w:val="0081450D"/>
    <w:rsid w:val="0081485B"/>
    <w:rsid w:val="0081497C"/>
    <w:rsid w:val="00814D0A"/>
    <w:rsid w:val="0081522F"/>
    <w:rsid w:val="008152CD"/>
    <w:rsid w:val="00817107"/>
    <w:rsid w:val="00820776"/>
    <w:rsid w:val="00820F4E"/>
    <w:rsid w:val="00821022"/>
    <w:rsid w:val="008219B7"/>
    <w:rsid w:val="008224D4"/>
    <w:rsid w:val="008226A0"/>
    <w:rsid w:val="008226B7"/>
    <w:rsid w:val="00822F77"/>
    <w:rsid w:val="0082304D"/>
    <w:rsid w:val="00823322"/>
    <w:rsid w:val="00823417"/>
    <w:rsid w:val="00823E35"/>
    <w:rsid w:val="00823E9C"/>
    <w:rsid w:val="008251D0"/>
    <w:rsid w:val="00825418"/>
    <w:rsid w:val="008256AA"/>
    <w:rsid w:val="0082748D"/>
    <w:rsid w:val="00827904"/>
    <w:rsid w:val="00827D84"/>
    <w:rsid w:val="0083156C"/>
    <w:rsid w:val="00833272"/>
    <w:rsid w:val="008332B6"/>
    <w:rsid w:val="00833B30"/>
    <w:rsid w:val="00834E30"/>
    <w:rsid w:val="00835CCF"/>
    <w:rsid w:val="00837261"/>
    <w:rsid w:val="008374D1"/>
    <w:rsid w:val="00837581"/>
    <w:rsid w:val="008379F9"/>
    <w:rsid w:val="00837A84"/>
    <w:rsid w:val="00837D9F"/>
    <w:rsid w:val="008405F7"/>
    <w:rsid w:val="00840947"/>
    <w:rsid w:val="00840EA3"/>
    <w:rsid w:val="00840FBE"/>
    <w:rsid w:val="008412A7"/>
    <w:rsid w:val="00841BC1"/>
    <w:rsid w:val="00841DE2"/>
    <w:rsid w:val="00842297"/>
    <w:rsid w:val="00842BBA"/>
    <w:rsid w:val="00843EE0"/>
    <w:rsid w:val="00846922"/>
    <w:rsid w:val="008469B9"/>
    <w:rsid w:val="008472FB"/>
    <w:rsid w:val="00847739"/>
    <w:rsid w:val="008504D2"/>
    <w:rsid w:val="008508DF"/>
    <w:rsid w:val="00851638"/>
    <w:rsid w:val="008521E0"/>
    <w:rsid w:val="008528B5"/>
    <w:rsid w:val="00853417"/>
    <w:rsid w:val="008534FA"/>
    <w:rsid w:val="00853671"/>
    <w:rsid w:val="00853A8D"/>
    <w:rsid w:val="00853AB7"/>
    <w:rsid w:val="008559DE"/>
    <w:rsid w:val="00856C0E"/>
    <w:rsid w:val="00857393"/>
    <w:rsid w:val="00860CC6"/>
    <w:rsid w:val="0086222B"/>
    <w:rsid w:val="00864AE3"/>
    <w:rsid w:val="00865C8D"/>
    <w:rsid w:val="00866669"/>
    <w:rsid w:val="00866EBB"/>
    <w:rsid w:val="00867260"/>
    <w:rsid w:val="008674AC"/>
    <w:rsid w:val="008676EA"/>
    <w:rsid w:val="00867AB6"/>
    <w:rsid w:val="00867B27"/>
    <w:rsid w:val="00867FA8"/>
    <w:rsid w:val="00871176"/>
    <w:rsid w:val="008714DB"/>
    <w:rsid w:val="008722E0"/>
    <w:rsid w:val="00872465"/>
    <w:rsid w:val="00873179"/>
    <w:rsid w:val="008737EE"/>
    <w:rsid w:val="00873A0A"/>
    <w:rsid w:val="00873A1E"/>
    <w:rsid w:val="00873B5F"/>
    <w:rsid w:val="00873E64"/>
    <w:rsid w:val="00873FB9"/>
    <w:rsid w:val="00874C33"/>
    <w:rsid w:val="00874C35"/>
    <w:rsid w:val="0087631A"/>
    <w:rsid w:val="008776FE"/>
    <w:rsid w:val="00877ABA"/>
    <w:rsid w:val="00877ECC"/>
    <w:rsid w:val="0088038B"/>
    <w:rsid w:val="00881385"/>
    <w:rsid w:val="00882B66"/>
    <w:rsid w:val="0088572B"/>
    <w:rsid w:val="00885BFF"/>
    <w:rsid w:val="008866C9"/>
    <w:rsid w:val="00887F5A"/>
    <w:rsid w:val="00890138"/>
    <w:rsid w:val="00890EF4"/>
    <w:rsid w:val="0089212E"/>
    <w:rsid w:val="008921BC"/>
    <w:rsid w:val="0089314C"/>
    <w:rsid w:val="008937C4"/>
    <w:rsid w:val="00893ED3"/>
    <w:rsid w:val="00894CAE"/>
    <w:rsid w:val="00895201"/>
    <w:rsid w:val="00896A82"/>
    <w:rsid w:val="008972AA"/>
    <w:rsid w:val="00897D95"/>
    <w:rsid w:val="008A018B"/>
    <w:rsid w:val="008A05AB"/>
    <w:rsid w:val="008A073E"/>
    <w:rsid w:val="008A0F8D"/>
    <w:rsid w:val="008A1278"/>
    <w:rsid w:val="008A1B1E"/>
    <w:rsid w:val="008A292A"/>
    <w:rsid w:val="008A2DEF"/>
    <w:rsid w:val="008A393D"/>
    <w:rsid w:val="008A416D"/>
    <w:rsid w:val="008A418A"/>
    <w:rsid w:val="008A4511"/>
    <w:rsid w:val="008A4B42"/>
    <w:rsid w:val="008A50AF"/>
    <w:rsid w:val="008A513E"/>
    <w:rsid w:val="008A5633"/>
    <w:rsid w:val="008A5883"/>
    <w:rsid w:val="008A5D3F"/>
    <w:rsid w:val="008A704A"/>
    <w:rsid w:val="008B027F"/>
    <w:rsid w:val="008B040B"/>
    <w:rsid w:val="008B308D"/>
    <w:rsid w:val="008B39FC"/>
    <w:rsid w:val="008B3A5A"/>
    <w:rsid w:val="008B3D23"/>
    <w:rsid w:val="008B4988"/>
    <w:rsid w:val="008B4F82"/>
    <w:rsid w:val="008B51AB"/>
    <w:rsid w:val="008B55ED"/>
    <w:rsid w:val="008B5B0D"/>
    <w:rsid w:val="008B6604"/>
    <w:rsid w:val="008B6643"/>
    <w:rsid w:val="008B73CF"/>
    <w:rsid w:val="008C0D48"/>
    <w:rsid w:val="008C158B"/>
    <w:rsid w:val="008C166F"/>
    <w:rsid w:val="008C1A4C"/>
    <w:rsid w:val="008C2406"/>
    <w:rsid w:val="008C2E39"/>
    <w:rsid w:val="008C3033"/>
    <w:rsid w:val="008C3176"/>
    <w:rsid w:val="008C31BF"/>
    <w:rsid w:val="008C339B"/>
    <w:rsid w:val="008C3CD8"/>
    <w:rsid w:val="008C4B17"/>
    <w:rsid w:val="008C4F68"/>
    <w:rsid w:val="008C5634"/>
    <w:rsid w:val="008C57C6"/>
    <w:rsid w:val="008C5E46"/>
    <w:rsid w:val="008C5EF3"/>
    <w:rsid w:val="008C6459"/>
    <w:rsid w:val="008C6E0C"/>
    <w:rsid w:val="008C7C71"/>
    <w:rsid w:val="008D074B"/>
    <w:rsid w:val="008D16E3"/>
    <w:rsid w:val="008D1E1D"/>
    <w:rsid w:val="008D2655"/>
    <w:rsid w:val="008D27F6"/>
    <w:rsid w:val="008D2DA1"/>
    <w:rsid w:val="008D3184"/>
    <w:rsid w:val="008D3422"/>
    <w:rsid w:val="008D40FE"/>
    <w:rsid w:val="008D4421"/>
    <w:rsid w:val="008D5B68"/>
    <w:rsid w:val="008D6C50"/>
    <w:rsid w:val="008E062A"/>
    <w:rsid w:val="008E0F82"/>
    <w:rsid w:val="008E1736"/>
    <w:rsid w:val="008E1DC9"/>
    <w:rsid w:val="008E21BF"/>
    <w:rsid w:val="008E27FD"/>
    <w:rsid w:val="008E3DAE"/>
    <w:rsid w:val="008E4255"/>
    <w:rsid w:val="008E601B"/>
    <w:rsid w:val="008E610A"/>
    <w:rsid w:val="008E63A0"/>
    <w:rsid w:val="008E6FD4"/>
    <w:rsid w:val="008E7632"/>
    <w:rsid w:val="008F0587"/>
    <w:rsid w:val="008F1F84"/>
    <w:rsid w:val="008F2045"/>
    <w:rsid w:val="008F25FD"/>
    <w:rsid w:val="008F2A3C"/>
    <w:rsid w:val="008F2C2F"/>
    <w:rsid w:val="008F326C"/>
    <w:rsid w:val="008F394C"/>
    <w:rsid w:val="008F3FE8"/>
    <w:rsid w:val="008F4666"/>
    <w:rsid w:val="008F478F"/>
    <w:rsid w:val="008F530B"/>
    <w:rsid w:val="008F5D68"/>
    <w:rsid w:val="008F5DBB"/>
    <w:rsid w:val="008F6373"/>
    <w:rsid w:val="008F683D"/>
    <w:rsid w:val="008F7231"/>
    <w:rsid w:val="008F7C84"/>
    <w:rsid w:val="009001F6"/>
    <w:rsid w:val="009008A7"/>
    <w:rsid w:val="009021F6"/>
    <w:rsid w:val="009026D6"/>
    <w:rsid w:val="009037C4"/>
    <w:rsid w:val="00904C5D"/>
    <w:rsid w:val="0090535F"/>
    <w:rsid w:val="009056AC"/>
    <w:rsid w:val="00905D0F"/>
    <w:rsid w:val="00905D18"/>
    <w:rsid w:val="0090678B"/>
    <w:rsid w:val="00906834"/>
    <w:rsid w:val="0090788D"/>
    <w:rsid w:val="00910324"/>
    <w:rsid w:val="009104F6"/>
    <w:rsid w:val="009109E8"/>
    <w:rsid w:val="00911440"/>
    <w:rsid w:val="0091192E"/>
    <w:rsid w:val="00911C10"/>
    <w:rsid w:val="00913C99"/>
    <w:rsid w:val="00914D64"/>
    <w:rsid w:val="00916ADC"/>
    <w:rsid w:val="00917021"/>
    <w:rsid w:val="009171E8"/>
    <w:rsid w:val="009174DA"/>
    <w:rsid w:val="00920007"/>
    <w:rsid w:val="009201E5"/>
    <w:rsid w:val="0092024B"/>
    <w:rsid w:val="00920743"/>
    <w:rsid w:val="00921795"/>
    <w:rsid w:val="00922A55"/>
    <w:rsid w:val="00923345"/>
    <w:rsid w:val="00924BFE"/>
    <w:rsid w:val="00925029"/>
    <w:rsid w:val="0092527D"/>
    <w:rsid w:val="009259F6"/>
    <w:rsid w:val="009263C8"/>
    <w:rsid w:val="009266BF"/>
    <w:rsid w:val="009269AA"/>
    <w:rsid w:val="00926E5A"/>
    <w:rsid w:val="00927B80"/>
    <w:rsid w:val="00927CF4"/>
    <w:rsid w:val="00930005"/>
    <w:rsid w:val="009311DC"/>
    <w:rsid w:val="00931263"/>
    <w:rsid w:val="00931550"/>
    <w:rsid w:val="00931A71"/>
    <w:rsid w:val="00931D48"/>
    <w:rsid w:val="00931EE8"/>
    <w:rsid w:val="009327B9"/>
    <w:rsid w:val="009339FE"/>
    <w:rsid w:val="00934612"/>
    <w:rsid w:val="00934F48"/>
    <w:rsid w:val="00936328"/>
    <w:rsid w:val="00937936"/>
    <w:rsid w:val="00937E48"/>
    <w:rsid w:val="009407FB"/>
    <w:rsid w:val="009413C4"/>
    <w:rsid w:val="00942D0F"/>
    <w:rsid w:val="00942F00"/>
    <w:rsid w:val="00943DA4"/>
    <w:rsid w:val="009440D9"/>
    <w:rsid w:val="00944E70"/>
    <w:rsid w:val="00946562"/>
    <w:rsid w:val="00946F8B"/>
    <w:rsid w:val="0094728B"/>
    <w:rsid w:val="00947881"/>
    <w:rsid w:val="00947DC0"/>
    <w:rsid w:val="009504FC"/>
    <w:rsid w:val="0095172C"/>
    <w:rsid w:val="00952641"/>
    <w:rsid w:val="00952D5B"/>
    <w:rsid w:val="00953A55"/>
    <w:rsid w:val="00953ACE"/>
    <w:rsid w:val="00954526"/>
    <w:rsid w:val="009555D5"/>
    <w:rsid w:val="00955CF5"/>
    <w:rsid w:val="00955D2E"/>
    <w:rsid w:val="0095603E"/>
    <w:rsid w:val="0095619C"/>
    <w:rsid w:val="00956CB4"/>
    <w:rsid w:val="00956E24"/>
    <w:rsid w:val="00960DC2"/>
    <w:rsid w:val="00961E43"/>
    <w:rsid w:val="00962B0F"/>
    <w:rsid w:val="00962F18"/>
    <w:rsid w:val="00963F2E"/>
    <w:rsid w:val="009655E1"/>
    <w:rsid w:val="00965AB6"/>
    <w:rsid w:val="00967263"/>
    <w:rsid w:val="00967C22"/>
    <w:rsid w:val="00967CCF"/>
    <w:rsid w:val="009703FA"/>
    <w:rsid w:val="00970837"/>
    <w:rsid w:val="00970A72"/>
    <w:rsid w:val="00971473"/>
    <w:rsid w:val="0097291E"/>
    <w:rsid w:val="00973B47"/>
    <w:rsid w:val="00973FD1"/>
    <w:rsid w:val="009742CB"/>
    <w:rsid w:val="00975BE6"/>
    <w:rsid w:val="00975FC4"/>
    <w:rsid w:val="00977705"/>
    <w:rsid w:val="00977898"/>
    <w:rsid w:val="00977E19"/>
    <w:rsid w:val="0098042E"/>
    <w:rsid w:val="0098102A"/>
    <w:rsid w:val="009820E6"/>
    <w:rsid w:val="00982E8D"/>
    <w:rsid w:val="0098351A"/>
    <w:rsid w:val="00983575"/>
    <w:rsid w:val="009837EB"/>
    <w:rsid w:val="00984B5C"/>
    <w:rsid w:val="00984F68"/>
    <w:rsid w:val="00984FE2"/>
    <w:rsid w:val="009851BD"/>
    <w:rsid w:val="009854FE"/>
    <w:rsid w:val="009855D5"/>
    <w:rsid w:val="0099056B"/>
    <w:rsid w:val="009906A4"/>
    <w:rsid w:val="00990951"/>
    <w:rsid w:val="00990A07"/>
    <w:rsid w:val="00990C3E"/>
    <w:rsid w:val="0099196D"/>
    <w:rsid w:val="00991F1E"/>
    <w:rsid w:val="00992D48"/>
    <w:rsid w:val="00993496"/>
    <w:rsid w:val="00993663"/>
    <w:rsid w:val="009941AD"/>
    <w:rsid w:val="009952BD"/>
    <w:rsid w:val="00995327"/>
    <w:rsid w:val="00995E8C"/>
    <w:rsid w:val="00996483"/>
    <w:rsid w:val="0099653D"/>
    <w:rsid w:val="00997229"/>
    <w:rsid w:val="00997AB6"/>
    <w:rsid w:val="009A0665"/>
    <w:rsid w:val="009A0CC4"/>
    <w:rsid w:val="009A0F3D"/>
    <w:rsid w:val="009A15A5"/>
    <w:rsid w:val="009A1AF4"/>
    <w:rsid w:val="009A2A3C"/>
    <w:rsid w:val="009A3D51"/>
    <w:rsid w:val="009A5663"/>
    <w:rsid w:val="009A7DF8"/>
    <w:rsid w:val="009B039E"/>
    <w:rsid w:val="009B07CF"/>
    <w:rsid w:val="009B0C8D"/>
    <w:rsid w:val="009B2134"/>
    <w:rsid w:val="009B25C2"/>
    <w:rsid w:val="009B2ABF"/>
    <w:rsid w:val="009B34E3"/>
    <w:rsid w:val="009B3B02"/>
    <w:rsid w:val="009B4308"/>
    <w:rsid w:val="009B4CBD"/>
    <w:rsid w:val="009B59C2"/>
    <w:rsid w:val="009B676C"/>
    <w:rsid w:val="009B7451"/>
    <w:rsid w:val="009B790D"/>
    <w:rsid w:val="009C00AD"/>
    <w:rsid w:val="009C143D"/>
    <w:rsid w:val="009C1F34"/>
    <w:rsid w:val="009C1FEC"/>
    <w:rsid w:val="009C2694"/>
    <w:rsid w:val="009C2BFC"/>
    <w:rsid w:val="009C3355"/>
    <w:rsid w:val="009C4979"/>
    <w:rsid w:val="009C4ADC"/>
    <w:rsid w:val="009C5094"/>
    <w:rsid w:val="009C5C05"/>
    <w:rsid w:val="009C6B5B"/>
    <w:rsid w:val="009D0B47"/>
    <w:rsid w:val="009D0D18"/>
    <w:rsid w:val="009D2EC2"/>
    <w:rsid w:val="009D40DF"/>
    <w:rsid w:val="009D53AB"/>
    <w:rsid w:val="009D54A4"/>
    <w:rsid w:val="009D6B84"/>
    <w:rsid w:val="009D6DDB"/>
    <w:rsid w:val="009D7767"/>
    <w:rsid w:val="009D7864"/>
    <w:rsid w:val="009D7E81"/>
    <w:rsid w:val="009D7EFE"/>
    <w:rsid w:val="009E0E2A"/>
    <w:rsid w:val="009E0F2D"/>
    <w:rsid w:val="009E18B6"/>
    <w:rsid w:val="009E1F6D"/>
    <w:rsid w:val="009E2CD3"/>
    <w:rsid w:val="009E46CC"/>
    <w:rsid w:val="009E4A06"/>
    <w:rsid w:val="009E4DAA"/>
    <w:rsid w:val="009E5775"/>
    <w:rsid w:val="009E6755"/>
    <w:rsid w:val="009E7613"/>
    <w:rsid w:val="009F05DD"/>
    <w:rsid w:val="009F0BA7"/>
    <w:rsid w:val="009F1C21"/>
    <w:rsid w:val="009F2686"/>
    <w:rsid w:val="009F345B"/>
    <w:rsid w:val="009F37E3"/>
    <w:rsid w:val="009F3E1E"/>
    <w:rsid w:val="009F4395"/>
    <w:rsid w:val="009F44B6"/>
    <w:rsid w:val="009F6827"/>
    <w:rsid w:val="009F7127"/>
    <w:rsid w:val="009F71AB"/>
    <w:rsid w:val="009F77FE"/>
    <w:rsid w:val="00A0024A"/>
    <w:rsid w:val="00A01473"/>
    <w:rsid w:val="00A021D4"/>
    <w:rsid w:val="00A0463D"/>
    <w:rsid w:val="00A051C3"/>
    <w:rsid w:val="00A05569"/>
    <w:rsid w:val="00A055D3"/>
    <w:rsid w:val="00A05674"/>
    <w:rsid w:val="00A05B6E"/>
    <w:rsid w:val="00A06114"/>
    <w:rsid w:val="00A06704"/>
    <w:rsid w:val="00A06A9F"/>
    <w:rsid w:val="00A06D26"/>
    <w:rsid w:val="00A06F9C"/>
    <w:rsid w:val="00A076E9"/>
    <w:rsid w:val="00A078B5"/>
    <w:rsid w:val="00A100F2"/>
    <w:rsid w:val="00A104A6"/>
    <w:rsid w:val="00A10880"/>
    <w:rsid w:val="00A11990"/>
    <w:rsid w:val="00A12019"/>
    <w:rsid w:val="00A125E7"/>
    <w:rsid w:val="00A132CB"/>
    <w:rsid w:val="00A13D6C"/>
    <w:rsid w:val="00A14C13"/>
    <w:rsid w:val="00A15E6F"/>
    <w:rsid w:val="00A172B6"/>
    <w:rsid w:val="00A17354"/>
    <w:rsid w:val="00A178BD"/>
    <w:rsid w:val="00A21045"/>
    <w:rsid w:val="00A2148E"/>
    <w:rsid w:val="00A21E73"/>
    <w:rsid w:val="00A225EE"/>
    <w:rsid w:val="00A233B0"/>
    <w:rsid w:val="00A240CB"/>
    <w:rsid w:val="00A246C3"/>
    <w:rsid w:val="00A24A93"/>
    <w:rsid w:val="00A24BD7"/>
    <w:rsid w:val="00A25862"/>
    <w:rsid w:val="00A25FAF"/>
    <w:rsid w:val="00A2668A"/>
    <w:rsid w:val="00A26799"/>
    <w:rsid w:val="00A26CA1"/>
    <w:rsid w:val="00A302AD"/>
    <w:rsid w:val="00A30A68"/>
    <w:rsid w:val="00A30ACC"/>
    <w:rsid w:val="00A30FB9"/>
    <w:rsid w:val="00A31324"/>
    <w:rsid w:val="00A318E2"/>
    <w:rsid w:val="00A329A2"/>
    <w:rsid w:val="00A3430D"/>
    <w:rsid w:val="00A3648D"/>
    <w:rsid w:val="00A37C77"/>
    <w:rsid w:val="00A40AD4"/>
    <w:rsid w:val="00A4137A"/>
    <w:rsid w:val="00A41412"/>
    <w:rsid w:val="00A4169F"/>
    <w:rsid w:val="00A429A9"/>
    <w:rsid w:val="00A42A04"/>
    <w:rsid w:val="00A42B18"/>
    <w:rsid w:val="00A43F77"/>
    <w:rsid w:val="00A44F7B"/>
    <w:rsid w:val="00A45EB4"/>
    <w:rsid w:val="00A45F56"/>
    <w:rsid w:val="00A46DD2"/>
    <w:rsid w:val="00A47583"/>
    <w:rsid w:val="00A506FC"/>
    <w:rsid w:val="00A53E03"/>
    <w:rsid w:val="00A5532B"/>
    <w:rsid w:val="00A55883"/>
    <w:rsid w:val="00A55E64"/>
    <w:rsid w:val="00A5695D"/>
    <w:rsid w:val="00A5729F"/>
    <w:rsid w:val="00A5756B"/>
    <w:rsid w:val="00A605A9"/>
    <w:rsid w:val="00A60751"/>
    <w:rsid w:val="00A6172F"/>
    <w:rsid w:val="00A619DD"/>
    <w:rsid w:val="00A626D4"/>
    <w:rsid w:val="00A62924"/>
    <w:rsid w:val="00A62A26"/>
    <w:rsid w:val="00A6512C"/>
    <w:rsid w:val="00A65302"/>
    <w:rsid w:val="00A657D0"/>
    <w:rsid w:val="00A659E5"/>
    <w:rsid w:val="00A65ACC"/>
    <w:rsid w:val="00A665DE"/>
    <w:rsid w:val="00A67DA8"/>
    <w:rsid w:val="00A70219"/>
    <w:rsid w:val="00A704CC"/>
    <w:rsid w:val="00A71682"/>
    <w:rsid w:val="00A71C91"/>
    <w:rsid w:val="00A72E02"/>
    <w:rsid w:val="00A74CEA"/>
    <w:rsid w:val="00A74CF7"/>
    <w:rsid w:val="00A75582"/>
    <w:rsid w:val="00A7593A"/>
    <w:rsid w:val="00A75DDB"/>
    <w:rsid w:val="00A76A5C"/>
    <w:rsid w:val="00A82A97"/>
    <w:rsid w:val="00A85157"/>
    <w:rsid w:val="00A85A07"/>
    <w:rsid w:val="00A870E0"/>
    <w:rsid w:val="00A87190"/>
    <w:rsid w:val="00A87A98"/>
    <w:rsid w:val="00A907D6"/>
    <w:rsid w:val="00A90C1D"/>
    <w:rsid w:val="00A91075"/>
    <w:rsid w:val="00A9219C"/>
    <w:rsid w:val="00A94D35"/>
    <w:rsid w:val="00A958CC"/>
    <w:rsid w:val="00A96048"/>
    <w:rsid w:val="00A96BC4"/>
    <w:rsid w:val="00A975FE"/>
    <w:rsid w:val="00A97692"/>
    <w:rsid w:val="00A97E3D"/>
    <w:rsid w:val="00AA040E"/>
    <w:rsid w:val="00AA085E"/>
    <w:rsid w:val="00AA287B"/>
    <w:rsid w:val="00AA4647"/>
    <w:rsid w:val="00AA4C69"/>
    <w:rsid w:val="00AA577C"/>
    <w:rsid w:val="00AA735E"/>
    <w:rsid w:val="00AA748B"/>
    <w:rsid w:val="00AA7AC6"/>
    <w:rsid w:val="00AB084D"/>
    <w:rsid w:val="00AB14CA"/>
    <w:rsid w:val="00AB1E71"/>
    <w:rsid w:val="00AB25C1"/>
    <w:rsid w:val="00AB2867"/>
    <w:rsid w:val="00AB2C65"/>
    <w:rsid w:val="00AB2CE9"/>
    <w:rsid w:val="00AB3454"/>
    <w:rsid w:val="00AB4678"/>
    <w:rsid w:val="00AB52F9"/>
    <w:rsid w:val="00AB55B6"/>
    <w:rsid w:val="00AB64F4"/>
    <w:rsid w:val="00AB6A19"/>
    <w:rsid w:val="00AC0F09"/>
    <w:rsid w:val="00AC1ED2"/>
    <w:rsid w:val="00AC2374"/>
    <w:rsid w:val="00AC3730"/>
    <w:rsid w:val="00AC54D0"/>
    <w:rsid w:val="00AC559B"/>
    <w:rsid w:val="00AC5925"/>
    <w:rsid w:val="00AC5D20"/>
    <w:rsid w:val="00AC5EF8"/>
    <w:rsid w:val="00AC77B8"/>
    <w:rsid w:val="00AD0CD1"/>
    <w:rsid w:val="00AD0DB7"/>
    <w:rsid w:val="00AD1013"/>
    <w:rsid w:val="00AD175B"/>
    <w:rsid w:val="00AD1BF5"/>
    <w:rsid w:val="00AD4ED6"/>
    <w:rsid w:val="00AD544B"/>
    <w:rsid w:val="00AD6AE7"/>
    <w:rsid w:val="00AE0083"/>
    <w:rsid w:val="00AE01C5"/>
    <w:rsid w:val="00AE0343"/>
    <w:rsid w:val="00AE057E"/>
    <w:rsid w:val="00AE14A0"/>
    <w:rsid w:val="00AE17F6"/>
    <w:rsid w:val="00AE293B"/>
    <w:rsid w:val="00AE32F0"/>
    <w:rsid w:val="00AE336A"/>
    <w:rsid w:val="00AE3414"/>
    <w:rsid w:val="00AE46C3"/>
    <w:rsid w:val="00AE4F12"/>
    <w:rsid w:val="00AE50CF"/>
    <w:rsid w:val="00AE5405"/>
    <w:rsid w:val="00AE5CE0"/>
    <w:rsid w:val="00AE68BF"/>
    <w:rsid w:val="00AE7201"/>
    <w:rsid w:val="00AE7F00"/>
    <w:rsid w:val="00AF2837"/>
    <w:rsid w:val="00AF2B2D"/>
    <w:rsid w:val="00AF30AC"/>
    <w:rsid w:val="00AF372F"/>
    <w:rsid w:val="00AF3F0F"/>
    <w:rsid w:val="00AF4B44"/>
    <w:rsid w:val="00AF5529"/>
    <w:rsid w:val="00AF5D46"/>
    <w:rsid w:val="00AF67E1"/>
    <w:rsid w:val="00B00923"/>
    <w:rsid w:val="00B01BF1"/>
    <w:rsid w:val="00B0249E"/>
    <w:rsid w:val="00B02F08"/>
    <w:rsid w:val="00B03771"/>
    <w:rsid w:val="00B03C7C"/>
    <w:rsid w:val="00B03D55"/>
    <w:rsid w:val="00B050D4"/>
    <w:rsid w:val="00B05237"/>
    <w:rsid w:val="00B053B5"/>
    <w:rsid w:val="00B0569D"/>
    <w:rsid w:val="00B066CA"/>
    <w:rsid w:val="00B0798C"/>
    <w:rsid w:val="00B07A47"/>
    <w:rsid w:val="00B07D17"/>
    <w:rsid w:val="00B10929"/>
    <w:rsid w:val="00B11150"/>
    <w:rsid w:val="00B118B5"/>
    <w:rsid w:val="00B11EC0"/>
    <w:rsid w:val="00B125CF"/>
    <w:rsid w:val="00B13314"/>
    <w:rsid w:val="00B15D08"/>
    <w:rsid w:val="00B16F2B"/>
    <w:rsid w:val="00B17074"/>
    <w:rsid w:val="00B1778D"/>
    <w:rsid w:val="00B17A5E"/>
    <w:rsid w:val="00B20563"/>
    <w:rsid w:val="00B214A9"/>
    <w:rsid w:val="00B21AF3"/>
    <w:rsid w:val="00B21C1E"/>
    <w:rsid w:val="00B226D9"/>
    <w:rsid w:val="00B22C65"/>
    <w:rsid w:val="00B22EAB"/>
    <w:rsid w:val="00B23515"/>
    <w:rsid w:val="00B23B27"/>
    <w:rsid w:val="00B23EC3"/>
    <w:rsid w:val="00B23EED"/>
    <w:rsid w:val="00B24229"/>
    <w:rsid w:val="00B2474F"/>
    <w:rsid w:val="00B24AEF"/>
    <w:rsid w:val="00B258AC"/>
    <w:rsid w:val="00B25C2A"/>
    <w:rsid w:val="00B25EF1"/>
    <w:rsid w:val="00B26632"/>
    <w:rsid w:val="00B27369"/>
    <w:rsid w:val="00B2795C"/>
    <w:rsid w:val="00B279B5"/>
    <w:rsid w:val="00B27B83"/>
    <w:rsid w:val="00B27D64"/>
    <w:rsid w:val="00B27DCF"/>
    <w:rsid w:val="00B30259"/>
    <w:rsid w:val="00B3155D"/>
    <w:rsid w:val="00B31BC7"/>
    <w:rsid w:val="00B31F79"/>
    <w:rsid w:val="00B32DEB"/>
    <w:rsid w:val="00B34656"/>
    <w:rsid w:val="00B34C04"/>
    <w:rsid w:val="00B35A1F"/>
    <w:rsid w:val="00B35A61"/>
    <w:rsid w:val="00B36D4E"/>
    <w:rsid w:val="00B36D95"/>
    <w:rsid w:val="00B377EB"/>
    <w:rsid w:val="00B37A35"/>
    <w:rsid w:val="00B40401"/>
    <w:rsid w:val="00B41675"/>
    <w:rsid w:val="00B417B6"/>
    <w:rsid w:val="00B41F34"/>
    <w:rsid w:val="00B42DFC"/>
    <w:rsid w:val="00B4357B"/>
    <w:rsid w:val="00B44F1E"/>
    <w:rsid w:val="00B46D03"/>
    <w:rsid w:val="00B47283"/>
    <w:rsid w:val="00B5031D"/>
    <w:rsid w:val="00B51981"/>
    <w:rsid w:val="00B51C71"/>
    <w:rsid w:val="00B52ACB"/>
    <w:rsid w:val="00B53B9F"/>
    <w:rsid w:val="00B5474E"/>
    <w:rsid w:val="00B54E4B"/>
    <w:rsid w:val="00B56952"/>
    <w:rsid w:val="00B57B49"/>
    <w:rsid w:val="00B62EEB"/>
    <w:rsid w:val="00B630E8"/>
    <w:rsid w:val="00B64F58"/>
    <w:rsid w:val="00B65A4F"/>
    <w:rsid w:val="00B65D8B"/>
    <w:rsid w:val="00B66B8E"/>
    <w:rsid w:val="00B67E74"/>
    <w:rsid w:val="00B7020A"/>
    <w:rsid w:val="00B71237"/>
    <w:rsid w:val="00B71360"/>
    <w:rsid w:val="00B7136E"/>
    <w:rsid w:val="00B714BA"/>
    <w:rsid w:val="00B71726"/>
    <w:rsid w:val="00B72131"/>
    <w:rsid w:val="00B73612"/>
    <w:rsid w:val="00B737A1"/>
    <w:rsid w:val="00B73D9A"/>
    <w:rsid w:val="00B7598D"/>
    <w:rsid w:val="00B75CF7"/>
    <w:rsid w:val="00B76AF4"/>
    <w:rsid w:val="00B76BF0"/>
    <w:rsid w:val="00B77545"/>
    <w:rsid w:val="00B803A5"/>
    <w:rsid w:val="00B805BD"/>
    <w:rsid w:val="00B80FC2"/>
    <w:rsid w:val="00B8177A"/>
    <w:rsid w:val="00B81F13"/>
    <w:rsid w:val="00B83EE0"/>
    <w:rsid w:val="00B85212"/>
    <w:rsid w:val="00B86213"/>
    <w:rsid w:val="00B8693C"/>
    <w:rsid w:val="00B86A61"/>
    <w:rsid w:val="00B87204"/>
    <w:rsid w:val="00B90004"/>
    <w:rsid w:val="00B902F5"/>
    <w:rsid w:val="00B90AAA"/>
    <w:rsid w:val="00B90BDC"/>
    <w:rsid w:val="00B90EEF"/>
    <w:rsid w:val="00B916D9"/>
    <w:rsid w:val="00B92907"/>
    <w:rsid w:val="00B933DB"/>
    <w:rsid w:val="00B93BBB"/>
    <w:rsid w:val="00B94598"/>
    <w:rsid w:val="00B956DE"/>
    <w:rsid w:val="00B95CC5"/>
    <w:rsid w:val="00B96108"/>
    <w:rsid w:val="00B96B4B"/>
    <w:rsid w:val="00B9754D"/>
    <w:rsid w:val="00B97677"/>
    <w:rsid w:val="00B978D2"/>
    <w:rsid w:val="00BA0694"/>
    <w:rsid w:val="00BA14BD"/>
    <w:rsid w:val="00BA1961"/>
    <w:rsid w:val="00BA1966"/>
    <w:rsid w:val="00BA1A2D"/>
    <w:rsid w:val="00BA1C8C"/>
    <w:rsid w:val="00BA23D8"/>
    <w:rsid w:val="00BA23E3"/>
    <w:rsid w:val="00BA2BE7"/>
    <w:rsid w:val="00BA3F98"/>
    <w:rsid w:val="00BA441D"/>
    <w:rsid w:val="00BA46E7"/>
    <w:rsid w:val="00BA5022"/>
    <w:rsid w:val="00BA5E1D"/>
    <w:rsid w:val="00BA691D"/>
    <w:rsid w:val="00BA6C86"/>
    <w:rsid w:val="00BA7698"/>
    <w:rsid w:val="00BA787D"/>
    <w:rsid w:val="00BA7A29"/>
    <w:rsid w:val="00BA7D01"/>
    <w:rsid w:val="00BB048F"/>
    <w:rsid w:val="00BB055A"/>
    <w:rsid w:val="00BB0A9B"/>
    <w:rsid w:val="00BB149F"/>
    <w:rsid w:val="00BB2F37"/>
    <w:rsid w:val="00BB305F"/>
    <w:rsid w:val="00BB3132"/>
    <w:rsid w:val="00BB3A93"/>
    <w:rsid w:val="00BB3BD1"/>
    <w:rsid w:val="00BB530B"/>
    <w:rsid w:val="00BB5544"/>
    <w:rsid w:val="00BB5809"/>
    <w:rsid w:val="00BB58E8"/>
    <w:rsid w:val="00BB5960"/>
    <w:rsid w:val="00BB6188"/>
    <w:rsid w:val="00BB6DD6"/>
    <w:rsid w:val="00BC08DB"/>
    <w:rsid w:val="00BC14C6"/>
    <w:rsid w:val="00BC22C3"/>
    <w:rsid w:val="00BC290F"/>
    <w:rsid w:val="00BC3066"/>
    <w:rsid w:val="00BC32ED"/>
    <w:rsid w:val="00BC3444"/>
    <w:rsid w:val="00BC344E"/>
    <w:rsid w:val="00BC42C1"/>
    <w:rsid w:val="00BC4B3F"/>
    <w:rsid w:val="00BC51F0"/>
    <w:rsid w:val="00BC561D"/>
    <w:rsid w:val="00BC5AAE"/>
    <w:rsid w:val="00BC605A"/>
    <w:rsid w:val="00BC7115"/>
    <w:rsid w:val="00BD07AC"/>
    <w:rsid w:val="00BD1A46"/>
    <w:rsid w:val="00BD1C6F"/>
    <w:rsid w:val="00BD2ADA"/>
    <w:rsid w:val="00BD3504"/>
    <w:rsid w:val="00BD3B7B"/>
    <w:rsid w:val="00BD68AC"/>
    <w:rsid w:val="00BD71FA"/>
    <w:rsid w:val="00BE0049"/>
    <w:rsid w:val="00BE1019"/>
    <w:rsid w:val="00BE2122"/>
    <w:rsid w:val="00BE24F4"/>
    <w:rsid w:val="00BE46DB"/>
    <w:rsid w:val="00BE611F"/>
    <w:rsid w:val="00BE68A7"/>
    <w:rsid w:val="00BF0E1A"/>
    <w:rsid w:val="00BF22D1"/>
    <w:rsid w:val="00BF24FE"/>
    <w:rsid w:val="00BF261A"/>
    <w:rsid w:val="00BF2D97"/>
    <w:rsid w:val="00BF400D"/>
    <w:rsid w:val="00BF4339"/>
    <w:rsid w:val="00BF43D6"/>
    <w:rsid w:val="00BF64AF"/>
    <w:rsid w:val="00C00711"/>
    <w:rsid w:val="00C011FF"/>
    <w:rsid w:val="00C013AA"/>
    <w:rsid w:val="00C01EDB"/>
    <w:rsid w:val="00C020D6"/>
    <w:rsid w:val="00C0343A"/>
    <w:rsid w:val="00C03F4B"/>
    <w:rsid w:val="00C047A8"/>
    <w:rsid w:val="00C04F9B"/>
    <w:rsid w:val="00C04FC7"/>
    <w:rsid w:val="00C0511D"/>
    <w:rsid w:val="00C06428"/>
    <w:rsid w:val="00C07103"/>
    <w:rsid w:val="00C073E5"/>
    <w:rsid w:val="00C07776"/>
    <w:rsid w:val="00C10295"/>
    <w:rsid w:val="00C10C41"/>
    <w:rsid w:val="00C10D08"/>
    <w:rsid w:val="00C10E93"/>
    <w:rsid w:val="00C11BEB"/>
    <w:rsid w:val="00C11DB6"/>
    <w:rsid w:val="00C12968"/>
    <w:rsid w:val="00C13495"/>
    <w:rsid w:val="00C13C62"/>
    <w:rsid w:val="00C149E5"/>
    <w:rsid w:val="00C14AA3"/>
    <w:rsid w:val="00C14FE3"/>
    <w:rsid w:val="00C15D7D"/>
    <w:rsid w:val="00C16091"/>
    <w:rsid w:val="00C16D74"/>
    <w:rsid w:val="00C17260"/>
    <w:rsid w:val="00C173BC"/>
    <w:rsid w:val="00C17C22"/>
    <w:rsid w:val="00C2079E"/>
    <w:rsid w:val="00C209D0"/>
    <w:rsid w:val="00C20B88"/>
    <w:rsid w:val="00C20F92"/>
    <w:rsid w:val="00C21C2A"/>
    <w:rsid w:val="00C22008"/>
    <w:rsid w:val="00C222D4"/>
    <w:rsid w:val="00C22905"/>
    <w:rsid w:val="00C24453"/>
    <w:rsid w:val="00C24770"/>
    <w:rsid w:val="00C2608F"/>
    <w:rsid w:val="00C267D7"/>
    <w:rsid w:val="00C27154"/>
    <w:rsid w:val="00C30658"/>
    <w:rsid w:val="00C31C2B"/>
    <w:rsid w:val="00C325C7"/>
    <w:rsid w:val="00C34028"/>
    <w:rsid w:val="00C3444E"/>
    <w:rsid w:val="00C34CBB"/>
    <w:rsid w:val="00C3529B"/>
    <w:rsid w:val="00C36B11"/>
    <w:rsid w:val="00C3735A"/>
    <w:rsid w:val="00C37E31"/>
    <w:rsid w:val="00C4060A"/>
    <w:rsid w:val="00C41BBD"/>
    <w:rsid w:val="00C443AA"/>
    <w:rsid w:val="00C4447F"/>
    <w:rsid w:val="00C44A79"/>
    <w:rsid w:val="00C44AE9"/>
    <w:rsid w:val="00C44E14"/>
    <w:rsid w:val="00C44E3F"/>
    <w:rsid w:val="00C467C5"/>
    <w:rsid w:val="00C46AD7"/>
    <w:rsid w:val="00C46B6B"/>
    <w:rsid w:val="00C47875"/>
    <w:rsid w:val="00C47912"/>
    <w:rsid w:val="00C47E60"/>
    <w:rsid w:val="00C507BA"/>
    <w:rsid w:val="00C51D13"/>
    <w:rsid w:val="00C5253C"/>
    <w:rsid w:val="00C529E5"/>
    <w:rsid w:val="00C529F4"/>
    <w:rsid w:val="00C52EAE"/>
    <w:rsid w:val="00C54317"/>
    <w:rsid w:val="00C54336"/>
    <w:rsid w:val="00C55D5A"/>
    <w:rsid w:val="00C56126"/>
    <w:rsid w:val="00C567B9"/>
    <w:rsid w:val="00C56ECE"/>
    <w:rsid w:val="00C602C5"/>
    <w:rsid w:val="00C6081C"/>
    <w:rsid w:val="00C619E5"/>
    <w:rsid w:val="00C61C1E"/>
    <w:rsid w:val="00C622D4"/>
    <w:rsid w:val="00C625A9"/>
    <w:rsid w:val="00C626DC"/>
    <w:rsid w:val="00C6271F"/>
    <w:rsid w:val="00C62B5B"/>
    <w:rsid w:val="00C62C83"/>
    <w:rsid w:val="00C64875"/>
    <w:rsid w:val="00C649A1"/>
    <w:rsid w:val="00C64EFE"/>
    <w:rsid w:val="00C65D05"/>
    <w:rsid w:val="00C6661B"/>
    <w:rsid w:val="00C70F9E"/>
    <w:rsid w:val="00C7112A"/>
    <w:rsid w:val="00C716B3"/>
    <w:rsid w:val="00C71A55"/>
    <w:rsid w:val="00C720F8"/>
    <w:rsid w:val="00C73866"/>
    <w:rsid w:val="00C740B1"/>
    <w:rsid w:val="00C740D8"/>
    <w:rsid w:val="00C745D0"/>
    <w:rsid w:val="00C74DCB"/>
    <w:rsid w:val="00C7619D"/>
    <w:rsid w:val="00C763E9"/>
    <w:rsid w:val="00C76BDE"/>
    <w:rsid w:val="00C8028A"/>
    <w:rsid w:val="00C82D3D"/>
    <w:rsid w:val="00C842A3"/>
    <w:rsid w:val="00C844E3"/>
    <w:rsid w:val="00C87332"/>
    <w:rsid w:val="00C87915"/>
    <w:rsid w:val="00C87A21"/>
    <w:rsid w:val="00C90D83"/>
    <w:rsid w:val="00C92064"/>
    <w:rsid w:val="00C923F5"/>
    <w:rsid w:val="00C92674"/>
    <w:rsid w:val="00C934CB"/>
    <w:rsid w:val="00C93ED1"/>
    <w:rsid w:val="00C954D5"/>
    <w:rsid w:val="00C95BC6"/>
    <w:rsid w:val="00C95E7B"/>
    <w:rsid w:val="00C970D3"/>
    <w:rsid w:val="00C97307"/>
    <w:rsid w:val="00C97F73"/>
    <w:rsid w:val="00CA0819"/>
    <w:rsid w:val="00CA0F22"/>
    <w:rsid w:val="00CA2154"/>
    <w:rsid w:val="00CA21CD"/>
    <w:rsid w:val="00CA2252"/>
    <w:rsid w:val="00CA4277"/>
    <w:rsid w:val="00CA4742"/>
    <w:rsid w:val="00CA4B33"/>
    <w:rsid w:val="00CA5788"/>
    <w:rsid w:val="00CA6008"/>
    <w:rsid w:val="00CA67FA"/>
    <w:rsid w:val="00CA6801"/>
    <w:rsid w:val="00CA6972"/>
    <w:rsid w:val="00CA70B1"/>
    <w:rsid w:val="00CA7236"/>
    <w:rsid w:val="00CA75E0"/>
    <w:rsid w:val="00CA7969"/>
    <w:rsid w:val="00CA7A29"/>
    <w:rsid w:val="00CB112A"/>
    <w:rsid w:val="00CB1CF8"/>
    <w:rsid w:val="00CB20E2"/>
    <w:rsid w:val="00CB23A0"/>
    <w:rsid w:val="00CB2607"/>
    <w:rsid w:val="00CB41F4"/>
    <w:rsid w:val="00CB4BE8"/>
    <w:rsid w:val="00CB4D99"/>
    <w:rsid w:val="00CB663C"/>
    <w:rsid w:val="00CB7144"/>
    <w:rsid w:val="00CB730F"/>
    <w:rsid w:val="00CB7A92"/>
    <w:rsid w:val="00CB7C85"/>
    <w:rsid w:val="00CC0358"/>
    <w:rsid w:val="00CC06C1"/>
    <w:rsid w:val="00CC0A59"/>
    <w:rsid w:val="00CC11B2"/>
    <w:rsid w:val="00CC16F3"/>
    <w:rsid w:val="00CC18BB"/>
    <w:rsid w:val="00CC1F08"/>
    <w:rsid w:val="00CC31C3"/>
    <w:rsid w:val="00CC38F5"/>
    <w:rsid w:val="00CC5364"/>
    <w:rsid w:val="00CC66A9"/>
    <w:rsid w:val="00CC730B"/>
    <w:rsid w:val="00CD0D40"/>
    <w:rsid w:val="00CD1CCB"/>
    <w:rsid w:val="00CD2208"/>
    <w:rsid w:val="00CD3735"/>
    <w:rsid w:val="00CD49D7"/>
    <w:rsid w:val="00CD5350"/>
    <w:rsid w:val="00CD6F91"/>
    <w:rsid w:val="00CD706A"/>
    <w:rsid w:val="00CD70F9"/>
    <w:rsid w:val="00CD72FB"/>
    <w:rsid w:val="00CD7E6D"/>
    <w:rsid w:val="00CE01B0"/>
    <w:rsid w:val="00CE0705"/>
    <w:rsid w:val="00CE09BB"/>
    <w:rsid w:val="00CE0E23"/>
    <w:rsid w:val="00CE2047"/>
    <w:rsid w:val="00CE2B9C"/>
    <w:rsid w:val="00CE34B1"/>
    <w:rsid w:val="00CE3D14"/>
    <w:rsid w:val="00CE45E6"/>
    <w:rsid w:val="00CE4E6F"/>
    <w:rsid w:val="00CE58D5"/>
    <w:rsid w:val="00CE5A57"/>
    <w:rsid w:val="00CE60BC"/>
    <w:rsid w:val="00CE71AE"/>
    <w:rsid w:val="00CE74B8"/>
    <w:rsid w:val="00CF0F78"/>
    <w:rsid w:val="00CF10F7"/>
    <w:rsid w:val="00CF267B"/>
    <w:rsid w:val="00CF30F2"/>
    <w:rsid w:val="00CF3857"/>
    <w:rsid w:val="00CF4270"/>
    <w:rsid w:val="00CF6433"/>
    <w:rsid w:val="00CF7384"/>
    <w:rsid w:val="00CF7E6E"/>
    <w:rsid w:val="00D0000D"/>
    <w:rsid w:val="00D00748"/>
    <w:rsid w:val="00D027B6"/>
    <w:rsid w:val="00D029FE"/>
    <w:rsid w:val="00D030A4"/>
    <w:rsid w:val="00D046BA"/>
    <w:rsid w:val="00D04969"/>
    <w:rsid w:val="00D04972"/>
    <w:rsid w:val="00D04CAF"/>
    <w:rsid w:val="00D05E7E"/>
    <w:rsid w:val="00D0644E"/>
    <w:rsid w:val="00D067D2"/>
    <w:rsid w:val="00D06982"/>
    <w:rsid w:val="00D069BF"/>
    <w:rsid w:val="00D07257"/>
    <w:rsid w:val="00D104CF"/>
    <w:rsid w:val="00D12D02"/>
    <w:rsid w:val="00D13E86"/>
    <w:rsid w:val="00D1481E"/>
    <w:rsid w:val="00D14855"/>
    <w:rsid w:val="00D17779"/>
    <w:rsid w:val="00D1790F"/>
    <w:rsid w:val="00D17BE6"/>
    <w:rsid w:val="00D17D1B"/>
    <w:rsid w:val="00D17DF2"/>
    <w:rsid w:val="00D206EA"/>
    <w:rsid w:val="00D2073F"/>
    <w:rsid w:val="00D20DD2"/>
    <w:rsid w:val="00D218A2"/>
    <w:rsid w:val="00D24993"/>
    <w:rsid w:val="00D25465"/>
    <w:rsid w:val="00D25508"/>
    <w:rsid w:val="00D25FF1"/>
    <w:rsid w:val="00D26D3D"/>
    <w:rsid w:val="00D271AC"/>
    <w:rsid w:val="00D30389"/>
    <w:rsid w:val="00D30F89"/>
    <w:rsid w:val="00D32661"/>
    <w:rsid w:val="00D330A2"/>
    <w:rsid w:val="00D33133"/>
    <w:rsid w:val="00D3343C"/>
    <w:rsid w:val="00D336EB"/>
    <w:rsid w:val="00D344F0"/>
    <w:rsid w:val="00D3496B"/>
    <w:rsid w:val="00D37E07"/>
    <w:rsid w:val="00D402E8"/>
    <w:rsid w:val="00D4081E"/>
    <w:rsid w:val="00D410FE"/>
    <w:rsid w:val="00D42C6A"/>
    <w:rsid w:val="00D42DAE"/>
    <w:rsid w:val="00D42FA1"/>
    <w:rsid w:val="00D430BA"/>
    <w:rsid w:val="00D43767"/>
    <w:rsid w:val="00D43816"/>
    <w:rsid w:val="00D44AE0"/>
    <w:rsid w:val="00D4569A"/>
    <w:rsid w:val="00D45D25"/>
    <w:rsid w:val="00D46537"/>
    <w:rsid w:val="00D465DB"/>
    <w:rsid w:val="00D46B74"/>
    <w:rsid w:val="00D478CE"/>
    <w:rsid w:val="00D47B7E"/>
    <w:rsid w:val="00D47D60"/>
    <w:rsid w:val="00D52016"/>
    <w:rsid w:val="00D520E8"/>
    <w:rsid w:val="00D54D2F"/>
    <w:rsid w:val="00D5520A"/>
    <w:rsid w:val="00D563D0"/>
    <w:rsid w:val="00D5654E"/>
    <w:rsid w:val="00D576B6"/>
    <w:rsid w:val="00D57718"/>
    <w:rsid w:val="00D60694"/>
    <w:rsid w:val="00D607F0"/>
    <w:rsid w:val="00D62139"/>
    <w:rsid w:val="00D62434"/>
    <w:rsid w:val="00D62AD3"/>
    <w:rsid w:val="00D6476F"/>
    <w:rsid w:val="00D64784"/>
    <w:rsid w:val="00D676ED"/>
    <w:rsid w:val="00D6775E"/>
    <w:rsid w:val="00D679D5"/>
    <w:rsid w:val="00D70047"/>
    <w:rsid w:val="00D703E8"/>
    <w:rsid w:val="00D70980"/>
    <w:rsid w:val="00D70FB4"/>
    <w:rsid w:val="00D7179A"/>
    <w:rsid w:val="00D72100"/>
    <w:rsid w:val="00D72D94"/>
    <w:rsid w:val="00D7309A"/>
    <w:rsid w:val="00D73FB1"/>
    <w:rsid w:val="00D74D58"/>
    <w:rsid w:val="00D751EB"/>
    <w:rsid w:val="00D75810"/>
    <w:rsid w:val="00D76312"/>
    <w:rsid w:val="00D77414"/>
    <w:rsid w:val="00D776E3"/>
    <w:rsid w:val="00D80340"/>
    <w:rsid w:val="00D8131C"/>
    <w:rsid w:val="00D821AE"/>
    <w:rsid w:val="00D8678A"/>
    <w:rsid w:val="00D86EC3"/>
    <w:rsid w:val="00D87B5E"/>
    <w:rsid w:val="00D87EBE"/>
    <w:rsid w:val="00D904A5"/>
    <w:rsid w:val="00D904C5"/>
    <w:rsid w:val="00D90B85"/>
    <w:rsid w:val="00D90F6F"/>
    <w:rsid w:val="00D92B1B"/>
    <w:rsid w:val="00D93315"/>
    <w:rsid w:val="00D94A61"/>
    <w:rsid w:val="00D96AE3"/>
    <w:rsid w:val="00DA19DB"/>
    <w:rsid w:val="00DA518C"/>
    <w:rsid w:val="00DA7793"/>
    <w:rsid w:val="00DB0028"/>
    <w:rsid w:val="00DB0362"/>
    <w:rsid w:val="00DB298F"/>
    <w:rsid w:val="00DB2B11"/>
    <w:rsid w:val="00DB2E6E"/>
    <w:rsid w:val="00DB4FDB"/>
    <w:rsid w:val="00DB58BB"/>
    <w:rsid w:val="00DB5935"/>
    <w:rsid w:val="00DB5AE7"/>
    <w:rsid w:val="00DB6E2E"/>
    <w:rsid w:val="00DB6ED0"/>
    <w:rsid w:val="00DB7A77"/>
    <w:rsid w:val="00DB7EF9"/>
    <w:rsid w:val="00DC0600"/>
    <w:rsid w:val="00DC07CC"/>
    <w:rsid w:val="00DC100B"/>
    <w:rsid w:val="00DC251F"/>
    <w:rsid w:val="00DC2A4B"/>
    <w:rsid w:val="00DC2CA3"/>
    <w:rsid w:val="00DC308C"/>
    <w:rsid w:val="00DC33C3"/>
    <w:rsid w:val="00DC4A7B"/>
    <w:rsid w:val="00DC4F13"/>
    <w:rsid w:val="00DC5152"/>
    <w:rsid w:val="00DC51F6"/>
    <w:rsid w:val="00DC5460"/>
    <w:rsid w:val="00DC62FC"/>
    <w:rsid w:val="00DC723A"/>
    <w:rsid w:val="00DC73B7"/>
    <w:rsid w:val="00DC744A"/>
    <w:rsid w:val="00DC7E92"/>
    <w:rsid w:val="00DD09C2"/>
    <w:rsid w:val="00DD14D7"/>
    <w:rsid w:val="00DD1996"/>
    <w:rsid w:val="00DD307C"/>
    <w:rsid w:val="00DD36F3"/>
    <w:rsid w:val="00DD3A18"/>
    <w:rsid w:val="00DD47EC"/>
    <w:rsid w:val="00DD50D5"/>
    <w:rsid w:val="00DD51B5"/>
    <w:rsid w:val="00DD58EB"/>
    <w:rsid w:val="00DD5CBE"/>
    <w:rsid w:val="00DD5D8C"/>
    <w:rsid w:val="00DD691E"/>
    <w:rsid w:val="00DD74F1"/>
    <w:rsid w:val="00DD784D"/>
    <w:rsid w:val="00DE078A"/>
    <w:rsid w:val="00DE16B9"/>
    <w:rsid w:val="00DE2245"/>
    <w:rsid w:val="00DE331A"/>
    <w:rsid w:val="00DE3A28"/>
    <w:rsid w:val="00DE530F"/>
    <w:rsid w:val="00DE5B0D"/>
    <w:rsid w:val="00DE5FBB"/>
    <w:rsid w:val="00DE69DB"/>
    <w:rsid w:val="00DE7FA5"/>
    <w:rsid w:val="00DF0035"/>
    <w:rsid w:val="00DF05AB"/>
    <w:rsid w:val="00DF0922"/>
    <w:rsid w:val="00DF2330"/>
    <w:rsid w:val="00DF2AC7"/>
    <w:rsid w:val="00DF3C47"/>
    <w:rsid w:val="00DF3CC3"/>
    <w:rsid w:val="00DF3D19"/>
    <w:rsid w:val="00DF4698"/>
    <w:rsid w:val="00DF54EA"/>
    <w:rsid w:val="00DF6656"/>
    <w:rsid w:val="00DF6D5E"/>
    <w:rsid w:val="00DF7A2D"/>
    <w:rsid w:val="00DF7CA3"/>
    <w:rsid w:val="00DF7D94"/>
    <w:rsid w:val="00E00396"/>
    <w:rsid w:val="00E009C0"/>
    <w:rsid w:val="00E00C60"/>
    <w:rsid w:val="00E01429"/>
    <w:rsid w:val="00E01D64"/>
    <w:rsid w:val="00E022B5"/>
    <w:rsid w:val="00E022C6"/>
    <w:rsid w:val="00E0284F"/>
    <w:rsid w:val="00E02B73"/>
    <w:rsid w:val="00E03029"/>
    <w:rsid w:val="00E03CE5"/>
    <w:rsid w:val="00E04A5F"/>
    <w:rsid w:val="00E04C83"/>
    <w:rsid w:val="00E05402"/>
    <w:rsid w:val="00E066B9"/>
    <w:rsid w:val="00E0786D"/>
    <w:rsid w:val="00E07C7D"/>
    <w:rsid w:val="00E07D25"/>
    <w:rsid w:val="00E10623"/>
    <w:rsid w:val="00E11148"/>
    <w:rsid w:val="00E11746"/>
    <w:rsid w:val="00E11838"/>
    <w:rsid w:val="00E12750"/>
    <w:rsid w:val="00E12A4E"/>
    <w:rsid w:val="00E12B09"/>
    <w:rsid w:val="00E1332A"/>
    <w:rsid w:val="00E143DD"/>
    <w:rsid w:val="00E15111"/>
    <w:rsid w:val="00E15298"/>
    <w:rsid w:val="00E15937"/>
    <w:rsid w:val="00E15C4A"/>
    <w:rsid w:val="00E15E5E"/>
    <w:rsid w:val="00E16DA4"/>
    <w:rsid w:val="00E20562"/>
    <w:rsid w:val="00E207D0"/>
    <w:rsid w:val="00E20BE2"/>
    <w:rsid w:val="00E22019"/>
    <w:rsid w:val="00E22A48"/>
    <w:rsid w:val="00E25DB0"/>
    <w:rsid w:val="00E2727B"/>
    <w:rsid w:val="00E27F87"/>
    <w:rsid w:val="00E304F1"/>
    <w:rsid w:val="00E30903"/>
    <w:rsid w:val="00E323A1"/>
    <w:rsid w:val="00E3374F"/>
    <w:rsid w:val="00E337E5"/>
    <w:rsid w:val="00E33ED8"/>
    <w:rsid w:val="00E360CB"/>
    <w:rsid w:val="00E36F29"/>
    <w:rsid w:val="00E37E23"/>
    <w:rsid w:val="00E40EBA"/>
    <w:rsid w:val="00E41436"/>
    <w:rsid w:val="00E41CD8"/>
    <w:rsid w:val="00E42538"/>
    <w:rsid w:val="00E4324D"/>
    <w:rsid w:val="00E432B1"/>
    <w:rsid w:val="00E43408"/>
    <w:rsid w:val="00E43A09"/>
    <w:rsid w:val="00E43B32"/>
    <w:rsid w:val="00E43DD1"/>
    <w:rsid w:val="00E4485B"/>
    <w:rsid w:val="00E4508B"/>
    <w:rsid w:val="00E45D3A"/>
    <w:rsid w:val="00E47138"/>
    <w:rsid w:val="00E50CD3"/>
    <w:rsid w:val="00E5158C"/>
    <w:rsid w:val="00E51F74"/>
    <w:rsid w:val="00E52507"/>
    <w:rsid w:val="00E5266A"/>
    <w:rsid w:val="00E5455D"/>
    <w:rsid w:val="00E5508F"/>
    <w:rsid w:val="00E57F2A"/>
    <w:rsid w:val="00E603B8"/>
    <w:rsid w:val="00E606A7"/>
    <w:rsid w:val="00E60A08"/>
    <w:rsid w:val="00E653F9"/>
    <w:rsid w:val="00E65F35"/>
    <w:rsid w:val="00E66374"/>
    <w:rsid w:val="00E66586"/>
    <w:rsid w:val="00E6763B"/>
    <w:rsid w:val="00E676FF"/>
    <w:rsid w:val="00E67BAF"/>
    <w:rsid w:val="00E67D88"/>
    <w:rsid w:val="00E702CB"/>
    <w:rsid w:val="00E71A28"/>
    <w:rsid w:val="00E731BA"/>
    <w:rsid w:val="00E739DF"/>
    <w:rsid w:val="00E73FF7"/>
    <w:rsid w:val="00E748B7"/>
    <w:rsid w:val="00E7520B"/>
    <w:rsid w:val="00E75634"/>
    <w:rsid w:val="00E763BB"/>
    <w:rsid w:val="00E76F23"/>
    <w:rsid w:val="00E76F95"/>
    <w:rsid w:val="00E8039C"/>
    <w:rsid w:val="00E8365A"/>
    <w:rsid w:val="00E84763"/>
    <w:rsid w:val="00E84A0B"/>
    <w:rsid w:val="00E85675"/>
    <w:rsid w:val="00E86976"/>
    <w:rsid w:val="00E86EA9"/>
    <w:rsid w:val="00E87535"/>
    <w:rsid w:val="00E90240"/>
    <w:rsid w:val="00E90479"/>
    <w:rsid w:val="00E90B6B"/>
    <w:rsid w:val="00E90FDD"/>
    <w:rsid w:val="00E914A6"/>
    <w:rsid w:val="00E9184F"/>
    <w:rsid w:val="00E9270F"/>
    <w:rsid w:val="00E93041"/>
    <w:rsid w:val="00E94212"/>
    <w:rsid w:val="00E942D1"/>
    <w:rsid w:val="00E94FC7"/>
    <w:rsid w:val="00E95932"/>
    <w:rsid w:val="00E95CF4"/>
    <w:rsid w:val="00E95E88"/>
    <w:rsid w:val="00E96A11"/>
    <w:rsid w:val="00EA0591"/>
    <w:rsid w:val="00EA06E5"/>
    <w:rsid w:val="00EA1A0A"/>
    <w:rsid w:val="00EA392E"/>
    <w:rsid w:val="00EA42BA"/>
    <w:rsid w:val="00EA48AB"/>
    <w:rsid w:val="00EA5552"/>
    <w:rsid w:val="00EA5A3E"/>
    <w:rsid w:val="00EA6146"/>
    <w:rsid w:val="00EA706C"/>
    <w:rsid w:val="00EA7F4D"/>
    <w:rsid w:val="00EB091C"/>
    <w:rsid w:val="00EB1391"/>
    <w:rsid w:val="00EB14AF"/>
    <w:rsid w:val="00EB152C"/>
    <w:rsid w:val="00EB249A"/>
    <w:rsid w:val="00EB2700"/>
    <w:rsid w:val="00EB3098"/>
    <w:rsid w:val="00EB3A61"/>
    <w:rsid w:val="00EB4C79"/>
    <w:rsid w:val="00EB4D49"/>
    <w:rsid w:val="00EB7D34"/>
    <w:rsid w:val="00EC0C4C"/>
    <w:rsid w:val="00EC1550"/>
    <w:rsid w:val="00EC2883"/>
    <w:rsid w:val="00EC30F8"/>
    <w:rsid w:val="00EC3C64"/>
    <w:rsid w:val="00EC4BB7"/>
    <w:rsid w:val="00EC5024"/>
    <w:rsid w:val="00EC51D3"/>
    <w:rsid w:val="00EC51E3"/>
    <w:rsid w:val="00EC527B"/>
    <w:rsid w:val="00EC562C"/>
    <w:rsid w:val="00EC5C4F"/>
    <w:rsid w:val="00EC6201"/>
    <w:rsid w:val="00EC7283"/>
    <w:rsid w:val="00ED0762"/>
    <w:rsid w:val="00ED0945"/>
    <w:rsid w:val="00ED0C37"/>
    <w:rsid w:val="00ED142F"/>
    <w:rsid w:val="00ED15CB"/>
    <w:rsid w:val="00ED1EBF"/>
    <w:rsid w:val="00ED26F6"/>
    <w:rsid w:val="00ED27B1"/>
    <w:rsid w:val="00ED38B3"/>
    <w:rsid w:val="00ED3CD7"/>
    <w:rsid w:val="00ED3FE1"/>
    <w:rsid w:val="00ED4908"/>
    <w:rsid w:val="00ED610B"/>
    <w:rsid w:val="00ED7409"/>
    <w:rsid w:val="00ED7988"/>
    <w:rsid w:val="00EE0F58"/>
    <w:rsid w:val="00EE1478"/>
    <w:rsid w:val="00EE1492"/>
    <w:rsid w:val="00EE3CB8"/>
    <w:rsid w:val="00EE4289"/>
    <w:rsid w:val="00EE4306"/>
    <w:rsid w:val="00EE5395"/>
    <w:rsid w:val="00EE53B9"/>
    <w:rsid w:val="00EE5E1C"/>
    <w:rsid w:val="00EE6B33"/>
    <w:rsid w:val="00EE7B0B"/>
    <w:rsid w:val="00EF0C8B"/>
    <w:rsid w:val="00EF5727"/>
    <w:rsid w:val="00EF595E"/>
    <w:rsid w:val="00EF5AFF"/>
    <w:rsid w:val="00EF6207"/>
    <w:rsid w:val="00EF6469"/>
    <w:rsid w:val="00EF67D2"/>
    <w:rsid w:val="00EF711D"/>
    <w:rsid w:val="00EF731B"/>
    <w:rsid w:val="00EF7B39"/>
    <w:rsid w:val="00F004C0"/>
    <w:rsid w:val="00F006F1"/>
    <w:rsid w:val="00F00E9D"/>
    <w:rsid w:val="00F019DC"/>
    <w:rsid w:val="00F02D1F"/>
    <w:rsid w:val="00F030EA"/>
    <w:rsid w:val="00F0313D"/>
    <w:rsid w:val="00F036C5"/>
    <w:rsid w:val="00F03C26"/>
    <w:rsid w:val="00F03E01"/>
    <w:rsid w:val="00F040F1"/>
    <w:rsid w:val="00F04DAE"/>
    <w:rsid w:val="00F056FA"/>
    <w:rsid w:val="00F05EFD"/>
    <w:rsid w:val="00F0668B"/>
    <w:rsid w:val="00F06F72"/>
    <w:rsid w:val="00F12CB3"/>
    <w:rsid w:val="00F13B6F"/>
    <w:rsid w:val="00F14051"/>
    <w:rsid w:val="00F14B9A"/>
    <w:rsid w:val="00F1507A"/>
    <w:rsid w:val="00F158C6"/>
    <w:rsid w:val="00F159FD"/>
    <w:rsid w:val="00F15B1D"/>
    <w:rsid w:val="00F166BC"/>
    <w:rsid w:val="00F16A2A"/>
    <w:rsid w:val="00F16C25"/>
    <w:rsid w:val="00F17FC1"/>
    <w:rsid w:val="00F21582"/>
    <w:rsid w:val="00F21593"/>
    <w:rsid w:val="00F21892"/>
    <w:rsid w:val="00F21D71"/>
    <w:rsid w:val="00F21DD3"/>
    <w:rsid w:val="00F21F5A"/>
    <w:rsid w:val="00F22C11"/>
    <w:rsid w:val="00F257CA"/>
    <w:rsid w:val="00F27650"/>
    <w:rsid w:val="00F27CC3"/>
    <w:rsid w:val="00F27F78"/>
    <w:rsid w:val="00F30287"/>
    <w:rsid w:val="00F304F4"/>
    <w:rsid w:val="00F30AE9"/>
    <w:rsid w:val="00F3309F"/>
    <w:rsid w:val="00F34453"/>
    <w:rsid w:val="00F34A4D"/>
    <w:rsid w:val="00F34C2A"/>
    <w:rsid w:val="00F365F7"/>
    <w:rsid w:val="00F3707A"/>
    <w:rsid w:val="00F378A5"/>
    <w:rsid w:val="00F402BF"/>
    <w:rsid w:val="00F40E70"/>
    <w:rsid w:val="00F4160C"/>
    <w:rsid w:val="00F418A9"/>
    <w:rsid w:val="00F418CC"/>
    <w:rsid w:val="00F418EB"/>
    <w:rsid w:val="00F42177"/>
    <w:rsid w:val="00F42543"/>
    <w:rsid w:val="00F42C78"/>
    <w:rsid w:val="00F448B4"/>
    <w:rsid w:val="00F44C4C"/>
    <w:rsid w:val="00F44EBA"/>
    <w:rsid w:val="00F46E83"/>
    <w:rsid w:val="00F4727B"/>
    <w:rsid w:val="00F509D0"/>
    <w:rsid w:val="00F50AA0"/>
    <w:rsid w:val="00F51469"/>
    <w:rsid w:val="00F516CF"/>
    <w:rsid w:val="00F529B0"/>
    <w:rsid w:val="00F5382C"/>
    <w:rsid w:val="00F5482C"/>
    <w:rsid w:val="00F558A6"/>
    <w:rsid w:val="00F55D91"/>
    <w:rsid w:val="00F5647E"/>
    <w:rsid w:val="00F56983"/>
    <w:rsid w:val="00F56EBC"/>
    <w:rsid w:val="00F570A1"/>
    <w:rsid w:val="00F60859"/>
    <w:rsid w:val="00F610D4"/>
    <w:rsid w:val="00F62501"/>
    <w:rsid w:val="00F626C6"/>
    <w:rsid w:val="00F62B72"/>
    <w:rsid w:val="00F63A08"/>
    <w:rsid w:val="00F63EFA"/>
    <w:rsid w:val="00F647C2"/>
    <w:rsid w:val="00F649B7"/>
    <w:rsid w:val="00F64D52"/>
    <w:rsid w:val="00F64F2F"/>
    <w:rsid w:val="00F65839"/>
    <w:rsid w:val="00F65E11"/>
    <w:rsid w:val="00F65EE6"/>
    <w:rsid w:val="00F66CBE"/>
    <w:rsid w:val="00F6767A"/>
    <w:rsid w:val="00F678D7"/>
    <w:rsid w:val="00F67CF7"/>
    <w:rsid w:val="00F67D03"/>
    <w:rsid w:val="00F67FEA"/>
    <w:rsid w:val="00F70A74"/>
    <w:rsid w:val="00F70DC9"/>
    <w:rsid w:val="00F7294A"/>
    <w:rsid w:val="00F737AE"/>
    <w:rsid w:val="00F73D71"/>
    <w:rsid w:val="00F74452"/>
    <w:rsid w:val="00F74A72"/>
    <w:rsid w:val="00F765A6"/>
    <w:rsid w:val="00F76D30"/>
    <w:rsid w:val="00F77525"/>
    <w:rsid w:val="00F77DB7"/>
    <w:rsid w:val="00F801EB"/>
    <w:rsid w:val="00F810E7"/>
    <w:rsid w:val="00F815C0"/>
    <w:rsid w:val="00F81D3B"/>
    <w:rsid w:val="00F82004"/>
    <w:rsid w:val="00F83920"/>
    <w:rsid w:val="00F83DB3"/>
    <w:rsid w:val="00F848E0"/>
    <w:rsid w:val="00F855F0"/>
    <w:rsid w:val="00F85757"/>
    <w:rsid w:val="00F862B2"/>
    <w:rsid w:val="00F866C7"/>
    <w:rsid w:val="00F86D41"/>
    <w:rsid w:val="00F875B8"/>
    <w:rsid w:val="00F87763"/>
    <w:rsid w:val="00F877F1"/>
    <w:rsid w:val="00F902ED"/>
    <w:rsid w:val="00F90F01"/>
    <w:rsid w:val="00F919C2"/>
    <w:rsid w:val="00F92474"/>
    <w:rsid w:val="00F92D07"/>
    <w:rsid w:val="00F931C6"/>
    <w:rsid w:val="00F93DDB"/>
    <w:rsid w:val="00F94A43"/>
    <w:rsid w:val="00F94B58"/>
    <w:rsid w:val="00F94B98"/>
    <w:rsid w:val="00F950B2"/>
    <w:rsid w:val="00F9525D"/>
    <w:rsid w:val="00F95335"/>
    <w:rsid w:val="00F966EC"/>
    <w:rsid w:val="00F9704E"/>
    <w:rsid w:val="00F9733A"/>
    <w:rsid w:val="00F97D0B"/>
    <w:rsid w:val="00FA0314"/>
    <w:rsid w:val="00FA04D5"/>
    <w:rsid w:val="00FA0661"/>
    <w:rsid w:val="00FA12FE"/>
    <w:rsid w:val="00FA13D5"/>
    <w:rsid w:val="00FA16A0"/>
    <w:rsid w:val="00FA2C78"/>
    <w:rsid w:val="00FA31AD"/>
    <w:rsid w:val="00FA385E"/>
    <w:rsid w:val="00FA3B23"/>
    <w:rsid w:val="00FA3ED2"/>
    <w:rsid w:val="00FA43BD"/>
    <w:rsid w:val="00FA4BEB"/>
    <w:rsid w:val="00FA6BF6"/>
    <w:rsid w:val="00FA77AA"/>
    <w:rsid w:val="00FA7F8A"/>
    <w:rsid w:val="00FB00A6"/>
    <w:rsid w:val="00FB1D94"/>
    <w:rsid w:val="00FB1DCF"/>
    <w:rsid w:val="00FB21BA"/>
    <w:rsid w:val="00FB27A3"/>
    <w:rsid w:val="00FB2D7D"/>
    <w:rsid w:val="00FB32FD"/>
    <w:rsid w:val="00FB3AEB"/>
    <w:rsid w:val="00FB4197"/>
    <w:rsid w:val="00FB7061"/>
    <w:rsid w:val="00FB7136"/>
    <w:rsid w:val="00FC0A33"/>
    <w:rsid w:val="00FC1194"/>
    <w:rsid w:val="00FC1518"/>
    <w:rsid w:val="00FC1565"/>
    <w:rsid w:val="00FC1DBB"/>
    <w:rsid w:val="00FC292C"/>
    <w:rsid w:val="00FC2E32"/>
    <w:rsid w:val="00FC394A"/>
    <w:rsid w:val="00FC42E5"/>
    <w:rsid w:val="00FC4E8A"/>
    <w:rsid w:val="00FC54F9"/>
    <w:rsid w:val="00FC5AC1"/>
    <w:rsid w:val="00FC5E61"/>
    <w:rsid w:val="00FC73EC"/>
    <w:rsid w:val="00FD1CCD"/>
    <w:rsid w:val="00FD2A92"/>
    <w:rsid w:val="00FD3149"/>
    <w:rsid w:val="00FD4077"/>
    <w:rsid w:val="00FD48EE"/>
    <w:rsid w:val="00FD49DA"/>
    <w:rsid w:val="00FD6766"/>
    <w:rsid w:val="00FD793E"/>
    <w:rsid w:val="00FE0353"/>
    <w:rsid w:val="00FE11DA"/>
    <w:rsid w:val="00FE1427"/>
    <w:rsid w:val="00FE165B"/>
    <w:rsid w:val="00FE287A"/>
    <w:rsid w:val="00FE39F4"/>
    <w:rsid w:val="00FE3AA2"/>
    <w:rsid w:val="00FE3C37"/>
    <w:rsid w:val="00FE3CE1"/>
    <w:rsid w:val="00FE3D57"/>
    <w:rsid w:val="00FE3D77"/>
    <w:rsid w:val="00FE44C3"/>
    <w:rsid w:val="00FE5D33"/>
    <w:rsid w:val="00FE6335"/>
    <w:rsid w:val="00FE67EE"/>
    <w:rsid w:val="00FE6DB7"/>
    <w:rsid w:val="00FE73BC"/>
    <w:rsid w:val="00FE7AAF"/>
    <w:rsid w:val="00FE7E4C"/>
    <w:rsid w:val="00FF2C13"/>
    <w:rsid w:val="00FF54C2"/>
    <w:rsid w:val="00FF607B"/>
    <w:rsid w:val="00FF6630"/>
    <w:rsid w:val="01692772"/>
    <w:rsid w:val="02D8064C"/>
    <w:rsid w:val="03B72C78"/>
    <w:rsid w:val="044F4E1E"/>
    <w:rsid w:val="04920468"/>
    <w:rsid w:val="04EF7F77"/>
    <w:rsid w:val="053E349F"/>
    <w:rsid w:val="05FC035D"/>
    <w:rsid w:val="06784B90"/>
    <w:rsid w:val="06ED54E7"/>
    <w:rsid w:val="073958F5"/>
    <w:rsid w:val="07C22247"/>
    <w:rsid w:val="08BF65C2"/>
    <w:rsid w:val="08E45D24"/>
    <w:rsid w:val="09CE5FC4"/>
    <w:rsid w:val="0A4B36A8"/>
    <w:rsid w:val="0A4B46C3"/>
    <w:rsid w:val="0A743B97"/>
    <w:rsid w:val="0C0F741D"/>
    <w:rsid w:val="0C3D5582"/>
    <w:rsid w:val="0D0A22FE"/>
    <w:rsid w:val="0D0D6A11"/>
    <w:rsid w:val="0D85437B"/>
    <w:rsid w:val="0DE12D00"/>
    <w:rsid w:val="0DEA1227"/>
    <w:rsid w:val="0EEE2C8F"/>
    <w:rsid w:val="0F455BD9"/>
    <w:rsid w:val="0F9D2C6D"/>
    <w:rsid w:val="0FEE32C5"/>
    <w:rsid w:val="109158BE"/>
    <w:rsid w:val="118218F7"/>
    <w:rsid w:val="12B94EC3"/>
    <w:rsid w:val="12C75FB6"/>
    <w:rsid w:val="12FA1186"/>
    <w:rsid w:val="136D3BE1"/>
    <w:rsid w:val="14657C96"/>
    <w:rsid w:val="14D04E00"/>
    <w:rsid w:val="155B7197"/>
    <w:rsid w:val="15A92754"/>
    <w:rsid w:val="15F5668C"/>
    <w:rsid w:val="175571A1"/>
    <w:rsid w:val="175B65E1"/>
    <w:rsid w:val="1775658E"/>
    <w:rsid w:val="18393F50"/>
    <w:rsid w:val="18D112EB"/>
    <w:rsid w:val="1946395D"/>
    <w:rsid w:val="19BA4FB8"/>
    <w:rsid w:val="19F478B8"/>
    <w:rsid w:val="1A132C3D"/>
    <w:rsid w:val="1A4479B0"/>
    <w:rsid w:val="1ABB5BAD"/>
    <w:rsid w:val="1ABC20EB"/>
    <w:rsid w:val="1AF844CE"/>
    <w:rsid w:val="1B034A5E"/>
    <w:rsid w:val="1B057F61"/>
    <w:rsid w:val="1B3E3726"/>
    <w:rsid w:val="1D09396C"/>
    <w:rsid w:val="1D3F7C0B"/>
    <w:rsid w:val="1D60626C"/>
    <w:rsid w:val="1ED6046D"/>
    <w:rsid w:val="1EEC7210"/>
    <w:rsid w:val="1EF614DB"/>
    <w:rsid w:val="1F506BC5"/>
    <w:rsid w:val="1F6B75E0"/>
    <w:rsid w:val="201867C5"/>
    <w:rsid w:val="20450DFD"/>
    <w:rsid w:val="20A76AD6"/>
    <w:rsid w:val="20AC7C35"/>
    <w:rsid w:val="20F56A22"/>
    <w:rsid w:val="21145D86"/>
    <w:rsid w:val="21CE7E28"/>
    <w:rsid w:val="22E0473F"/>
    <w:rsid w:val="241B4B3C"/>
    <w:rsid w:val="24A35993"/>
    <w:rsid w:val="250052C3"/>
    <w:rsid w:val="25053949"/>
    <w:rsid w:val="25264FE4"/>
    <w:rsid w:val="276B40B8"/>
    <w:rsid w:val="293F74C3"/>
    <w:rsid w:val="29562A32"/>
    <w:rsid w:val="2A7E27F9"/>
    <w:rsid w:val="2AD44061"/>
    <w:rsid w:val="2AE35493"/>
    <w:rsid w:val="2B8561ED"/>
    <w:rsid w:val="2C0D13CB"/>
    <w:rsid w:val="2C165F15"/>
    <w:rsid w:val="2C7133EF"/>
    <w:rsid w:val="2CDA35C2"/>
    <w:rsid w:val="2DB21987"/>
    <w:rsid w:val="2DD97BC5"/>
    <w:rsid w:val="2E083E50"/>
    <w:rsid w:val="2E2B414C"/>
    <w:rsid w:val="2E372647"/>
    <w:rsid w:val="2E550462"/>
    <w:rsid w:val="2EAE1B8B"/>
    <w:rsid w:val="2FA86D99"/>
    <w:rsid w:val="308D3CB6"/>
    <w:rsid w:val="31630496"/>
    <w:rsid w:val="31680C63"/>
    <w:rsid w:val="318823B5"/>
    <w:rsid w:val="31C51A6E"/>
    <w:rsid w:val="32C80F0F"/>
    <w:rsid w:val="33382EF0"/>
    <w:rsid w:val="336E5F6C"/>
    <w:rsid w:val="341974EB"/>
    <w:rsid w:val="34891E70"/>
    <w:rsid w:val="34DA2386"/>
    <w:rsid w:val="354C4209"/>
    <w:rsid w:val="3638266D"/>
    <w:rsid w:val="36BF4C7D"/>
    <w:rsid w:val="370466CA"/>
    <w:rsid w:val="37A36ED8"/>
    <w:rsid w:val="38507CD8"/>
    <w:rsid w:val="38AA53FA"/>
    <w:rsid w:val="38F42150"/>
    <w:rsid w:val="395B5156"/>
    <w:rsid w:val="3A8158C7"/>
    <w:rsid w:val="3B965952"/>
    <w:rsid w:val="3D030212"/>
    <w:rsid w:val="3F200BD1"/>
    <w:rsid w:val="3FAF7CCF"/>
    <w:rsid w:val="402F0C33"/>
    <w:rsid w:val="40306F5A"/>
    <w:rsid w:val="41C50249"/>
    <w:rsid w:val="429C69C5"/>
    <w:rsid w:val="42F110D0"/>
    <w:rsid w:val="433C2F71"/>
    <w:rsid w:val="43A45114"/>
    <w:rsid w:val="44127EBA"/>
    <w:rsid w:val="44830F03"/>
    <w:rsid w:val="450D13D7"/>
    <w:rsid w:val="45483A52"/>
    <w:rsid w:val="480D7087"/>
    <w:rsid w:val="4885648C"/>
    <w:rsid w:val="497F3976"/>
    <w:rsid w:val="49F95276"/>
    <w:rsid w:val="4A313721"/>
    <w:rsid w:val="4A7668CA"/>
    <w:rsid w:val="4B653A5B"/>
    <w:rsid w:val="4B6D457C"/>
    <w:rsid w:val="4BC148AF"/>
    <w:rsid w:val="4D056530"/>
    <w:rsid w:val="4D2A2EFD"/>
    <w:rsid w:val="4DCB1419"/>
    <w:rsid w:val="4E1073E8"/>
    <w:rsid w:val="4E154828"/>
    <w:rsid w:val="4EF42B02"/>
    <w:rsid w:val="4F08408C"/>
    <w:rsid w:val="4FBA7A5B"/>
    <w:rsid w:val="4FF333BC"/>
    <w:rsid w:val="50B92240"/>
    <w:rsid w:val="50D902E0"/>
    <w:rsid w:val="50E43839"/>
    <w:rsid w:val="5147348F"/>
    <w:rsid w:val="518B52AF"/>
    <w:rsid w:val="51BB1DF3"/>
    <w:rsid w:val="51C635C2"/>
    <w:rsid w:val="51DF668D"/>
    <w:rsid w:val="520F2468"/>
    <w:rsid w:val="522E77F1"/>
    <w:rsid w:val="531E4D2F"/>
    <w:rsid w:val="535A4636"/>
    <w:rsid w:val="537B4134"/>
    <w:rsid w:val="54B34707"/>
    <w:rsid w:val="55123C25"/>
    <w:rsid w:val="55666928"/>
    <w:rsid w:val="561146F9"/>
    <w:rsid w:val="573906E6"/>
    <w:rsid w:val="576D28D6"/>
    <w:rsid w:val="57FD156B"/>
    <w:rsid w:val="58184BE2"/>
    <w:rsid w:val="582564A7"/>
    <w:rsid w:val="583E3953"/>
    <w:rsid w:val="58B81646"/>
    <w:rsid w:val="58FB60FF"/>
    <w:rsid w:val="59FB7EBB"/>
    <w:rsid w:val="5A001D7C"/>
    <w:rsid w:val="5AF37862"/>
    <w:rsid w:val="5B1446D5"/>
    <w:rsid w:val="5C0734A3"/>
    <w:rsid w:val="5C622D9E"/>
    <w:rsid w:val="5CD765E0"/>
    <w:rsid w:val="5CF35C25"/>
    <w:rsid w:val="5D570735"/>
    <w:rsid w:val="5D7E3CD5"/>
    <w:rsid w:val="5D9F291F"/>
    <w:rsid w:val="5DAE66BD"/>
    <w:rsid w:val="5EBF0B33"/>
    <w:rsid w:val="5F2D24AE"/>
    <w:rsid w:val="5F5D3927"/>
    <w:rsid w:val="5FC031E1"/>
    <w:rsid w:val="5FE1106E"/>
    <w:rsid w:val="5FFB5E88"/>
    <w:rsid w:val="611D6E48"/>
    <w:rsid w:val="627F0A75"/>
    <w:rsid w:val="629C366B"/>
    <w:rsid w:val="63900032"/>
    <w:rsid w:val="63A8690E"/>
    <w:rsid w:val="63BC2831"/>
    <w:rsid w:val="63CC5849"/>
    <w:rsid w:val="642A06CE"/>
    <w:rsid w:val="64947DC4"/>
    <w:rsid w:val="65982E30"/>
    <w:rsid w:val="69C84DB7"/>
    <w:rsid w:val="6A512FCB"/>
    <w:rsid w:val="6ACB53C1"/>
    <w:rsid w:val="6B3B0903"/>
    <w:rsid w:val="6B6F018F"/>
    <w:rsid w:val="6B845E74"/>
    <w:rsid w:val="6B927388"/>
    <w:rsid w:val="6C062A60"/>
    <w:rsid w:val="6CBD66C8"/>
    <w:rsid w:val="6D201EC6"/>
    <w:rsid w:val="6F093022"/>
    <w:rsid w:val="6FB41E3E"/>
    <w:rsid w:val="704242E7"/>
    <w:rsid w:val="70431C3A"/>
    <w:rsid w:val="704A4E48"/>
    <w:rsid w:val="7058635C"/>
    <w:rsid w:val="708648C3"/>
    <w:rsid w:val="71963D94"/>
    <w:rsid w:val="71B0286C"/>
    <w:rsid w:val="71E13469"/>
    <w:rsid w:val="727C2CD4"/>
    <w:rsid w:val="72C2773E"/>
    <w:rsid w:val="73283F7C"/>
    <w:rsid w:val="732954F8"/>
    <w:rsid w:val="73C47089"/>
    <w:rsid w:val="740D1C70"/>
    <w:rsid w:val="746745D1"/>
    <w:rsid w:val="75600EF1"/>
    <w:rsid w:val="75B84BAD"/>
    <w:rsid w:val="762B2AA4"/>
    <w:rsid w:val="76665C1F"/>
    <w:rsid w:val="76946396"/>
    <w:rsid w:val="76F3305C"/>
    <w:rsid w:val="77035551"/>
    <w:rsid w:val="770B6233"/>
    <w:rsid w:val="770E7C23"/>
    <w:rsid w:val="77C620DB"/>
    <w:rsid w:val="77E71047"/>
    <w:rsid w:val="78E02B08"/>
    <w:rsid w:val="790D4D58"/>
    <w:rsid w:val="795874EF"/>
    <w:rsid w:val="7A9617B7"/>
    <w:rsid w:val="7AF26AEA"/>
    <w:rsid w:val="7BA84888"/>
    <w:rsid w:val="7CF00D1C"/>
    <w:rsid w:val="7D142945"/>
    <w:rsid w:val="7E1B389D"/>
    <w:rsid w:val="7E7F62AA"/>
    <w:rsid w:val="7F21452B"/>
    <w:rsid w:val="7FBD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36"/>
    <w:qFormat/>
    <w:uiPriority w:val="9"/>
    <w:pPr>
      <w:keepNext/>
      <w:keepLines/>
      <w:ind w:firstLine="643"/>
      <w:outlineLvl w:val="0"/>
    </w:pPr>
    <w:rPr>
      <w:rFonts w:eastAsia="黑体" w:cs="黑体"/>
      <w:b/>
      <w:bCs/>
      <w:kern w:val="44"/>
      <w:szCs w:val="44"/>
    </w:rPr>
  </w:style>
  <w:style w:type="paragraph" w:styleId="4">
    <w:name w:val="heading 2"/>
    <w:basedOn w:val="1"/>
    <w:next w:val="1"/>
    <w:link w:val="37"/>
    <w:unhideWhenUsed/>
    <w:qFormat/>
    <w:uiPriority w:val="9"/>
    <w:pPr>
      <w:keepNext/>
      <w:keepLines/>
      <w:outlineLvl w:val="1"/>
    </w:pPr>
    <w:rPr>
      <w:rFonts w:eastAsia="楷体_GB2312" w:cs="黑体"/>
      <w:b/>
      <w:bCs/>
      <w:szCs w:val="32"/>
    </w:rPr>
  </w:style>
  <w:style w:type="paragraph" w:styleId="5">
    <w:name w:val="heading 3"/>
    <w:basedOn w:val="1"/>
    <w:next w:val="1"/>
    <w:link w:val="38"/>
    <w:unhideWhenUsed/>
    <w:qFormat/>
    <w:uiPriority w:val="9"/>
    <w:pPr>
      <w:keepNext/>
      <w:keepLines/>
      <w:spacing w:before="260" w:after="260" w:line="416" w:lineRule="auto"/>
      <w:outlineLvl w:val="2"/>
    </w:pPr>
    <w:rPr>
      <w:b/>
      <w:bCs/>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cs="Times New Roman"/>
      <w:kern w:val="0"/>
      <w:sz w:val="20"/>
      <w:szCs w:val="20"/>
    </w:rPr>
  </w:style>
  <w:style w:type="paragraph" w:styleId="7">
    <w:name w:val="caption"/>
    <w:basedOn w:val="1"/>
    <w:next w:val="1"/>
    <w:link w:val="66"/>
    <w:unhideWhenUsed/>
    <w:qFormat/>
    <w:uiPriority w:val="35"/>
    <w:pPr>
      <w:outlineLvl w:val="1"/>
    </w:pPr>
    <w:rPr>
      <w:rFonts w:eastAsia="楷体" w:cstheme="majorBidi"/>
      <w:b/>
      <w:szCs w:val="20"/>
    </w:rPr>
  </w:style>
  <w:style w:type="paragraph" w:styleId="8">
    <w:name w:val="annotation text"/>
    <w:basedOn w:val="1"/>
    <w:link w:val="39"/>
    <w:unhideWhenUsed/>
    <w:qFormat/>
    <w:uiPriority w:val="99"/>
    <w:pPr>
      <w:jc w:val="left"/>
    </w:pPr>
  </w:style>
  <w:style w:type="paragraph" w:styleId="9">
    <w:name w:val="Body Text"/>
    <w:basedOn w:val="1"/>
    <w:link w:val="40"/>
    <w:qFormat/>
    <w:uiPriority w:val="0"/>
    <w:pPr>
      <w:spacing w:line="580" w:lineRule="exact"/>
    </w:pPr>
    <w:rPr>
      <w:rFonts w:cs="Times New Roman"/>
      <w:kern w:val="0"/>
      <w:szCs w:val="24"/>
      <w:lang w:val="zh-CN"/>
    </w:rPr>
  </w:style>
  <w:style w:type="paragraph" w:styleId="10">
    <w:name w:val="Body Text Indent"/>
    <w:basedOn w:val="1"/>
    <w:link w:val="41"/>
    <w:unhideWhenUsed/>
    <w:qFormat/>
    <w:uiPriority w:val="99"/>
    <w:pPr>
      <w:spacing w:after="120"/>
      <w:ind w:left="420" w:leftChars="200"/>
    </w:pPr>
  </w:style>
  <w:style w:type="paragraph" w:styleId="11">
    <w:name w:val="Block Text"/>
    <w:basedOn w:val="1"/>
    <w:qFormat/>
    <w:uiPriority w:val="0"/>
    <w:pPr>
      <w:suppressAutoHyphens/>
      <w:adjustRightInd/>
      <w:snapToGrid/>
      <w:spacing w:after="120" w:line="240" w:lineRule="auto"/>
      <w:ind w:left="1440" w:leftChars="700" w:right="1440" w:rightChars="700" w:firstLine="0" w:firstLineChars="0"/>
    </w:pPr>
    <w:rPr>
      <w:rFonts w:ascii="Calibri" w:hAnsi="Calibri" w:eastAsia="宋体" w:cs="Times New Roman"/>
      <w:sz w:val="21"/>
      <w:szCs w:val="24"/>
    </w:rPr>
  </w:style>
  <w:style w:type="paragraph" w:styleId="12">
    <w:name w:val="toc 3"/>
    <w:basedOn w:val="1"/>
    <w:next w:val="1"/>
    <w:unhideWhenUsed/>
    <w:qFormat/>
    <w:uiPriority w:val="39"/>
    <w:pPr>
      <w:ind w:left="840" w:leftChars="400"/>
    </w:pPr>
  </w:style>
  <w:style w:type="paragraph" w:styleId="13">
    <w:name w:val="Date"/>
    <w:basedOn w:val="1"/>
    <w:next w:val="1"/>
    <w:link w:val="130"/>
    <w:semiHidden/>
    <w:unhideWhenUsed/>
    <w:qFormat/>
    <w:uiPriority w:val="99"/>
    <w:pPr>
      <w:ind w:left="100" w:leftChars="2500"/>
    </w:pPr>
  </w:style>
  <w:style w:type="paragraph" w:styleId="14">
    <w:name w:val="endnote text"/>
    <w:basedOn w:val="1"/>
    <w:link w:val="42"/>
    <w:semiHidden/>
    <w:unhideWhenUsed/>
    <w:qFormat/>
    <w:uiPriority w:val="99"/>
    <w:pPr>
      <w:jc w:val="left"/>
    </w:pPr>
  </w:style>
  <w:style w:type="paragraph" w:styleId="15">
    <w:name w:val="Balloon Text"/>
    <w:basedOn w:val="1"/>
    <w:link w:val="43"/>
    <w:semiHidden/>
    <w:unhideWhenUsed/>
    <w:qFormat/>
    <w:uiPriority w:val="99"/>
    <w:rPr>
      <w:sz w:val="18"/>
      <w:szCs w:val="18"/>
    </w:rPr>
  </w:style>
  <w:style w:type="paragraph" w:styleId="16">
    <w:name w:val="footer"/>
    <w:basedOn w:val="1"/>
    <w:link w:val="44"/>
    <w:unhideWhenUsed/>
    <w:qFormat/>
    <w:uiPriority w:val="99"/>
    <w:pPr>
      <w:tabs>
        <w:tab w:val="center" w:pos="4153"/>
        <w:tab w:val="right" w:pos="8306"/>
      </w:tabs>
      <w:jc w:val="left"/>
    </w:pPr>
    <w:rPr>
      <w:sz w:val="18"/>
      <w:szCs w:val="18"/>
    </w:rPr>
  </w:style>
  <w:style w:type="paragraph" w:styleId="17">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pPr>
      <w:tabs>
        <w:tab w:val="right" w:leader="dot" w:pos="8296"/>
      </w:tabs>
      <w:ind w:firstLine="0" w:firstLineChars="0"/>
      <w:jc w:val="center"/>
    </w:pPr>
    <w:rPr>
      <w:rFonts w:eastAsia="黑体" w:cs="Times New Roman"/>
      <w:szCs w:val="32"/>
    </w:rPr>
  </w:style>
  <w:style w:type="paragraph" w:styleId="19">
    <w:name w:val="footnote text"/>
    <w:basedOn w:val="1"/>
    <w:link w:val="46"/>
    <w:semiHidden/>
    <w:unhideWhenUsed/>
    <w:qFormat/>
    <w:uiPriority w:val="99"/>
    <w:pPr>
      <w:jc w:val="left"/>
    </w:pPr>
    <w:rPr>
      <w:sz w:val="18"/>
      <w:szCs w:val="18"/>
    </w:rPr>
  </w:style>
  <w:style w:type="paragraph" w:styleId="20">
    <w:name w:val="index 9"/>
    <w:basedOn w:val="1"/>
    <w:next w:val="1"/>
    <w:qFormat/>
    <w:uiPriority w:val="0"/>
    <w:pPr>
      <w:suppressAutoHyphens/>
      <w:adjustRightInd/>
      <w:snapToGrid/>
      <w:spacing w:line="240" w:lineRule="auto"/>
      <w:ind w:left="3360" w:firstLine="0" w:firstLineChars="0"/>
      <w:jc w:val="left"/>
    </w:pPr>
    <w:rPr>
      <w:rFonts w:ascii="Calibri" w:hAnsi="Calibri" w:eastAsia="宋体" w:cs="Times New Roman"/>
      <w:sz w:val="21"/>
      <w:szCs w:val="20"/>
    </w:rPr>
  </w:style>
  <w:style w:type="paragraph" w:styleId="21">
    <w:name w:val="toc 2"/>
    <w:basedOn w:val="1"/>
    <w:next w:val="1"/>
    <w:unhideWhenUsed/>
    <w:qFormat/>
    <w:uiPriority w:val="39"/>
    <w:pPr>
      <w:tabs>
        <w:tab w:val="right" w:leader="dot" w:pos="8296"/>
      </w:tabs>
      <w:ind w:firstLine="280" w:firstLineChars="100"/>
    </w:pPr>
    <w:rPr>
      <w:rFonts w:eastAsia="楷体_GB2312" w:cs="Times New Roman"/>
      <w:sz w:val="28"/>
      <w:szCs w:val="21"/>
    </w:rPr>
  </w:style>
  <w:style w:type="paragraph" w:styleId="22">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3">
    <w:name w:val="annotation subject"/>
    <w:basedOn w:val="8"/>
    <w:next w:val="8"/>
    <w:link w:val="47"/>
    <w:semiHidden/>
    <w:unhideWhenUsed/>
    <w:qFormat/>
    <w:uiPriority w:val="99"/>
    <w:rPr>
      <w:b/>
      <w:bCs/>
    </w:rPr>
  </w:style>
  <w:style w:type="paragraph" w:styleId="24">
    <w:name w:val="Body Text First Indent"/>
    <w:basedOn w:val="9"/>
    <w:semiHidden/>
    <w:unhideWhenUsed/>
    <w:qFormat/>
    <w:uiPriority w:val="99"/>
    <w:pPr>
      <w:ind w:firstLine="420" w:firstLineChars="1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ndnote reference"/>
    <w:basedOn w:val="27"/>
    <w:semiHidden/>
    <w:unhideWhenUsed/>
    <w:qFormat/>
    <w:uiPriority w:val="99"/>
    <w:rPr>
      <w:vertAlign w:val="superscript"/>
    </w:rPr>
  </w:style>
  <w:style w:type="character" w:styleId="29">
    <w:name w:val="page number"/>
    <w:basedOn w:val="27"/>
    <w:qFormat/>
    <w:uiPriority w:val="0"/>
  </w:style>
  <w:style w:type="character" w:styleId="30">
    <w:name w:val="FollowedHyperlink"/>
    <w:basedOn w:val="27"/>
    <w:semiHidden/>
    <w:unhideWhenUsed/>
    <w:qFormat/>
    <w:uiPriority w:val="99"/>
    <w:rPr>
      <w:color w:val="954F72"/>
      <w:u w:val="single"/>
    </w:rPr>
  </w:style>
  <w:style w:type="character" w:styleId="31">
    <w:name w:val="Emphasis"/>
    <w:basedOn w:val="27"/>
    <w:qFormat/>
    <w:uiPriority w:val="20"/>
    <w:rPr>
      <w:i/>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unhideWhenUsed/>
    <w:qFormat/>
    <w:uiPriority w:val="99"/>
    <w:rPr>
      <w:sz w:val="21"/>
      <w:szCs w:val="21"/>
    </w:rPr>
  </w:style>
  <w:style w:type="character" w:styleId="34">
    <w:name w:val="footnote reference"/>
    <w:basedOn w:val="27"/>
    <w:semiHidden/>
    <w:unhideWhenUsed/>
    <w:qFormat/>
    <w:uiPriority w:val="99"/>
    <w:rPr>
      <w:vertAlign w:val="superscript"/>
    </w:rPr>
  </w:style>
  <w:style w:type="paragraph" w:customStyle="1" w:styleId="35">
    <w:name w:val="222"/>
    <w:basedOn w:val="1"/>
    <w:qFormat/>
    <w:uiPriority w:val="0"/>
    <w:pPr>
      <w:spacing w:line="640" w:lineRule="exact"/>
      <w:ind w:left="1350" w:leftChars="450" w:firstLine="640"/>
    </w:pPr>
    <w:rPr>
      <w:sz w:val="24"/>
    </w:rPr>
  </w:style>
  <w:style w:type="character" w:customStyle="1" w:styleId="36">
    <w:name w:val="标题 1 字符"/>
    <w:basedOn w:val="27"/>
    <w:link w:val="3"/>
    <w:qFormat/>
    <w:uiPriority w:val="9"/>
    <w:rPr>
      <w:rFonts w:ascii="Times New Roman" w:hAnsi="Times New Roman" w:eastAsia="黑体" w:cs="黑体"/>
      <w:b/>
      <w:bCs/>
      <w:kern w:val="44"/>
      <w:sz w:val="32"/>
      <w:szCs w:val="44"/>
    </w:rPr>
  </w:style>
  <w:style w:type="character" w:customStyle="1" w:styleId="37">
    <w:name w:val="标题 2 字符"/>
    <w:basedOn w:val="27"/>
    <w:link w:val="4"/>
    <w:qFormat/>
    <w:uiPriority w:val="9"/>
    <w:rPr>
      <w:rFonts w:ascii="Times New Roman" w:hAnsi="Times New Roman" w:eastAsia="楷体_GB2312" w:cs="黑体"/>
      <w:b/>
      <w:bCs/>
      <w:sz w:val="32"/>
      <w:szCs w:val="32"/>
    </w:rPr>
  </w:style>
  <w:style w:type="character" w:customStyle="1" w:styleId="38">
    <w:name w:val="标题 3 字符"/>
    <w:basedOn w:val="27"/>
    <w:link w:val="5"/>
    <w:qFormat/>
    <w:uiPriority w:val="9"/>
    <w:rPr>
      <w:rFonts w:ascii="Times New Roman" w:hAnsi="Times New Roman" w:eastAsia="仿宋_GB2312"/>
      <w:b/>
      <w:bCs/>
      <w:sz w:val="32"/>
      <w:szCs w:val="32"/>
    </w:rPr>
  </w:style>
  <w:style w:type="character" w:customStyle="1" w:styleId="39">
    <w:name w:val="批注文字 字符"/>
    <w:basedOn w:val="27"/>
    <w:link w:val="8"/>
    <w:qFormat/>
    <w:uiPriority w:val="99"/>
    <w:rPr>
      <w:rFonts w:ascii="Times New Roman" w:hAnsi="Times New Roman" w:eastAsia="仿宋_GB2312"/>
      <w:sz w:val="32"/>
    </w:rPr>
  </w:style>
  <w:style w:type="character" w:customStyle="1" w:styleId="40">
    <w:name w:val="正文文本 字符"/>
    <w:basedOn w:val="27"/>
    <w:link w:val="9"/>
    <w:qFormat/>
    <w:uiPriority w:val="0"/>
    <w:rPr>
      <w:rFonts w:ascii="Times New Roman" w:hAnsi="Times New Roman" w:eastAsia="仿宋_GB2312" w:cs="Times New Roman"/>
      <w:kern w:val="0"/>
      <w:sz w:val="32"/>
      <w:szCs w:val="24"/>
      <w:lang w:val="zh-CN"/>
    </w:rPr>
  </w:style>
  <w:style w:type="character" w:customStyle="1" w:styleId="41">
    <w:name w:val="正文文本缩进 字符"/>
    <w:basedOn w:val="27"/>
    <w:link w:val="10"/>
    <w:qFormat/>
    <w:uiPriority w:val="99"/>
    <w:rPr>
      <w:rFonts w:ascii="Times New Roman" w:hAnsi="Times New Roman" w:eastAsia="仿宋_GB2312"/>
      <w:sz w:val="32"/>
    </w:rPr>
  </w:style>
  <w:style w:type="character" w:customStyle="1" w:styleId="42">
    <w:name w:val="尾注文本 字符"/>
    <w:basedOn w:val="27"/>
    <w:link w:val="14"/>
    <w:semiHidden/>
    <w:qFormat/>
    <w:uiPriority w:val="99"/>
    <w:rPr>
      <w:rFonts w:ascii="Times New Roman" w:hAnsi="Times New Roman" w:eastAsia="仿宋_GB2312"/>
      <w:sz w:val="32"/>
    </w:rPr>
  </w:style>
  <w:style w:type="character" w:customStyle="1" w:styleId="43">
    <w:name w:val="批注框文本 字符"/>
    <w:basedOn w:val="27"/>
    <w:link w:val="15"/>
    <w:semiHidden/>
    <w:qFormat/>
    <w:uiPriority w:val="99"/>
    <w:rPr>
      <w:rFonts w:ascii="Times New Roman" w:hAnsi="Times New Roman" w:eastAsia="仿宋_GB2312"/>
      <w:sz w:val="18"/>
      <w:szCs w:val="18"/>
    </w:rPr>
  </w:style>
  <w:style w:type="character" w:customStyle="1" w:styleId="44">
    <w:name w:val="页脚 字符"/>
    <w:basedOn w:val="27"/>
    <w:link w:val="16"/>
    <w:qFormat/>
    <w:uiPriority w:val="99"/>
    <w:rPr>
      <w:rFonts w:ascii="Times New Roman" w:hAnsi="Times New Roman" w:eastAsia="仿宋_GB2312"/>
      <w:sz w:val="18"/>
      <w:szCs w:val="18"/>
    </w:rPr>
  </w:style>
  <w:style w:type="character" w:customStyle="1" w:styleId="45">
    <w:name w:val="页眉 字符"/>
    <w:basedOn w:val="27"/>
    <w:link w:val="17"/>
    <w:qFormat/>
    <w:uiPriority w:val="99"/>
    <w:rPr>
      <w:rFonts w:ascii="Times New Roman" w:hAnsi="Times New Roman" w:eastAsia="仿宋_GB2312"/>
      <w:sz w:val="18"/>
      <w:szCs w:val="18"/>
    </w:rPr>
  </w:style>
  <w:style w:type="character" w:customStyle="1" w:styleId="46">
    <w:name w:val="脚注文本 字符"/>
    <w:basedOn w:val="27"/>
    <w:link w:val="19"/>
    <w:semiHidden/>
    <w:qFormat/>
    <w:uiPriority w:val="99"/>
    <w:rPr>
      <w:rFonts w:ascii="Times New Roman" w:hAnsi="Times New Roman" w:eastAsia="仿宋_GB2312"/>
      <w:sz w:val="18"/>
      <w:szCs w:val="18"/>
    </w:rPr>
  </w:style>
  <w:style w:type="character" w:customStyle="1" w:styleId="47">
    <w:name w:val="批注主题 字符"/>
    <w:basedOn w:val="39"/>
    <w:link w:val="23"/>
    <w:semiHidden/>
    <w:qFormat/>
    <w:uiPriority w:val="99"/>
    <w:rPr>
      <w:rFonts w:ascii="Times New Roman" w:hAnsi="Times New Roman" w:eastAsia="仿宋_GB2312"/>
      <w:b/>
      <w:bCs/>
      <w:sz w:val="32"/>
    </w:rPr>
  </w:style>
  <w:style w:type="paragraph" w:customStyle="1" w:styleId="48">
    <w:name w:val="部格式"/>
    <w:basedOn w:val="1"/>
    <w:link w:val="49"/>
    <w:qFormat/>
    <w:uiPriority w:val="0"/>
  </w:style>
  <w:style w:type="character" w:customStyle="1" w:styleId="49">
    <w:name w:val="部格式 字符"/>
    <w:basedOn w:val="27"/>
    <w:link w:val="48"/>
    <w:qFormat/>
    <w:uiPriority w:val="0"/>
    <w:rPr>
      <w:rFonts w:ascii="Times New Roman" w:hAnsi="Times New Roman" w:eastAsia="仿宋_GB2312"/>
      <w:sz w:val="32"/>
    </w:rPr>
  </w:style>
  <w:style w:type="paragraph" w:styleId="50">
    <w:name w:val="List Paragraph"/>
    <w:basedOn w:val="1"/>
    <w:qFormat/>
    <w:uiPriority w:val="34"/>
    <w:pPr>
      <w:ind w:firstLine="420"/>
    </w:pPr>
  </w:style>
  <w:style w:type="paragraph" w:customStyle="1" w:styleId="51">
    <w:name w:val="表名-D"/>
    <w:basedOn w:val="1"/>
    <w:next w:val="1"/>
    <w:link w:val="52"/>
    <w:qFormat/>
    <w:uiPriority w:val="0"/>
    <w:pPr>
      <w:spacing w:line="240" w:lineRule="auto"/>
      <w:ind w:firstLine="0" w:firstLineChars="0"/>
      <w:jc w:val="center"/>
      <w:outlineLvl w:val="1"/>
    </w:pPr>
    <w:rPr>
      <w:rFonts w:eastAsia="黑体" w:cs="Times New Roman"/>
      <w:sz w:val="28"/>
      <w:szCs w:val="36"/>
      <w:lang w:val="zh-CN"/>
    </w:rPr>
  </w:style>
  <w:style w:type="character" w:customStyle="1" w:styleId="52">
    <w:name w:val="表名-D 字符"/>
    <w:link w:val="51"/>
    <w:qFormat/>
    <w:uiPriority w:val="0"/>
    <w:rPr>
      <w:rFonts w:ascii="Times New Roman" w:hAnsi="Times New Roman" w:eastAsia="黑体" w:cs="Times New Roman"/>
      <w:sz w:val="28"/>
      <w:szCs w:val="36"/>
      <w:lang w:val="zh-CN"/>
    </w:rPr>
  </w:style>
  <w:style w:type="paragraph" w:customStyle="1" w:styleId="53">
    <w:name w:val="表后附注-D"/>
    <w:basedOn w:val="1"/>
    <w:next w:val="1"/>
    <w:link w:val="54"/>
    <w:qFormat/>
    <w:uiPriority w:val="0"/>
    <w:pPr>
      <w:spacing w:line="240" w:lineRule="auto"/>
      <w:ind w:firstLine="0" w:firstLineChars="0"/>
      <w:jc w:val="center"/>
    </w:pPr>
    <w:rPr>
      <w:rFonts w:eastAsia="宋体" w:cs="Times New Roman"/>
      <w:kern w:val="0"/>
      <w:sz w:val="24"/>
      <w:szCs w:val="20"/>
      <w:lang w:val="zh-CN"/>
    </w:rPr>
  </w:style>
  <w:style w:type="character" w:customStyle="1" w:styleId="54">
    <w:name w:val="表后附注-D 字符"/>
    <w:link w:val="53"/>
    <w:qFormat/>
    <w:uiPriority w:val="0"/>
    <w:rPr>
      <w:rFonts w:ascii="Times New Roman" w:hAnsi="Times New Roman" w:eastAsia="宋体" w:cs="Times New Roman"/>
      <w:kern w:val="0"/>
      <w:sz w:val="24"/>
      <w:szCs w:val="20"/>
      <w:lang w:val="zh-CN"/>
    </w:rPr>
  </w:style>
  <w:style w:type="paragraph" w:customStyle="1" w:styleId="55">
    <w:name w:val="正文仿宋3号"/>
    <w:basedOn w:val="1"/>
    <w:link w:val="56"/>
    <w:qFormat/>
    <w:uiPriority w:val="0"/>
    <w:pPr>
      <w:ind w:firstLine="643"/>
    </w:pPr>
    <w:rPr>
      <w:rFonts w:cs="Times New Roman"/>
      <w:color w:val="000000"/>
      <w:szCs w:val="32"/>
    </w:rPr>
  </w:style>
  <w:style w:type="character" w:customStyle="1" w:styleId="56">
    <w:name w:val="正文仿宋3号 Char"/>
    <w:basedOn w:val="27"/>
    <w:link w:val="55"/>
    <w:qFormat/>
    <w:uiPriority w:val="0"/>
    <w:rPr>
      <w:rFonts w:ascii="Times New Roman" w:hAnsi="Times New Roman" w:eastAsia="仿宋_GB2312" w:cs="Times New Roman"/>
      <w:color w:val="000000"/>
      <w:sz w:val="32"/>
      <w:szCs w:val="32"/>
    </w:rPr>
  </w:style>
  <w:style w:type="paragraph" w:customStyle="1" w:styleId="57">
    <w:name w:val="图题"/>
    <w:basedOn w:val="7"/>
    <w:link w:val="58"/>
    <w:qFormat/>
    <w:uiPriority w:val="0"/>
    <w:pPr>
      <w:spacing w:after="50" w:afterLines="50" w:line="560" w:lineRule="exact"/>
      <w:jc w:val="center"/>
    </w:pPr>
    <w:rPr>
      <w:rFonts w:cs="黑体"/>
      <w:sz w:val="24"/>
      <w:szCs w:val="24"/>
    </w:rPr>
  </w:style>
  <w:style w:type="character" w:customStyle="1" w:styleId="58">
    <w:name w:val="图题 Char"/>
    <w:basedOn w:val="27"/>
    <w:link w:val="57"/>
    <w:qFormat/>
    <w:uiPriority w:val="0"/>
    <w:rPr>
      <w:rFonts w:ascii="Times New Roman" w:hAnsi="Times New Roman" w:eastAsia="楷体" w:cs="黑体"/>
      <w:b/>
      <w:sz w:val="24"/>
      <w:szCs w:val="24"/>
    </w:rPr>
  </w:style>
  <w:style w:type="paragraph" w:customStyle="1" w:styleId="59">
    <w:name w:val="二级标题"/>
    <w:basedOn w:val="1"/>
    <w:link w:val="60"/>
    <w:qFormat/>
    <w:uiPriority w:val="0"/>
    <w:pPr>
      <w:keepNext/>
      <w:widowControl/>
      <w:topLinePunct/>
      <w:spacing w:before="156" w:beforeLines="50"/>
      <w:ind w:firstLine="643"/>
      <w:outlineLvl w:val="1"/>
    </w:pPr>
    <w:rPr>
      <w:rFonts w:eastAsia="楷体_GB2312" w:cs="Times New Roman"/>
      <w:b/>
      <w:bCs/>
      <w:szCs w:val="30"/>
    </w:rPr>
  </w:style>
  <w:style w:type="character" w:customStyle="1" w:styleId="60">
    <w:name w:val="二级标题 Char"/>
    <w:basedOn w:val="27"/>
    <w:link w:val="59"/>
    <w:qFormat/>
    <w:uiPriority w:val="0"/>
    <w:rPr>
      <w:rFonts w:ascii="Times New Roman" w:hAnsi="Times New Roman" w:eastAsia="楷体_GB2312" w:cs="Times New Roman"/>
      <w:b/>
      <w:bCs/>
      <w:sz w:val="32"/>
      <w:szCs w:val="30"/>
    </w:rPr>
  </w:style>
  <w:style w:type="paragraph" w:customStyle="1" w:styleId="61">
    <w:name w:val="TOC 标题1"/>
    <w:basedOn w:val="3"/>
    <w:next w:val="1"/>
    <w:unhideWhenUsed/>
    <w:qFormat/>
    <w:uiPriority w:val="39"/>
    <w:pPr>
      <w:widowControl/>
      <w:jc w:val="left"/>
      <w:outlineLvl w:val="2"/>
    </w:pPr>
    <w:rPr>
      <w:rFonts w:eastAsia="仿宋_GB2312" w:cstheme="majorBidi"/>
      <w:bCs w:val="0"/>
      <w:kern w:val="0"/>
      <w:szCs w:val="32"/>
    </w:rPr>
  </w:style>
  <w:style w:type="character" w:customStyle="1" w:styleId="62">
    <w:name w:val="font51"/>
    <w:basedOn w:val="27"/>
    <w:qFormat/>
    <w:uiPriority w:val="0"/>
    <w:rPr>
      <w:rFonts w:hint="eastAsia" w:ascii="仿宋" w:hAnsi="仿宋" w:eastAsia="仿宋" w:cs="仿宋"/>
      <w:b/>
      <w:color w:val="FF0000"/>
      <w:sz w:val="30"/>
      <w:szCs w:val="30"/>
      <w:u w:val="none"/>
    </w:rPr>
  </w:style>
  <w:style w:type="character" w:customStyle="1" w:styleId="63">
    <w:name w:val="font21"/>
    <w:basedOn w:val="27"/>
    <w:qFormat/>
    <w:uiPriority w:val="0"/>
    <w:rPr>
      <w:rFonts w:hint="default" w:ascii="Times New Roman" w:hAnsi="Times New Roman" w:cs="Times New Roman"/>
      <w:b/>
      <w:color w:val="FF0000"/>
      <w:sz w:val="30"/>
      <w:szCs w:val="30"/>
      <w:u w:val="none"/>
    </w:rPr>
  </w:style>
  <w:style w:type="character" w:customStyle="1" w:styleId="64">
    <w:name w:val="font31"/>
    <w:basedOn w:val="27"/>
    <w:qFormat/>
    <w:uiPriority w:val="0"/>
    <w:rPr>
      <w:rFonts w:hint="default" w:ascii="Times New Roman" w:hAnsi="Times New Roman" w:cs="Times New Roman"/>
      <w:color w:val="000000"/>
      <w:sz w:val="21"/>
      <w:szCs w:val="21"/>
      <w:u w:val="none"/>
    </w:rPr>
  </w:style>
  <w:style w:type="character" w:customStyle="1" w:styleId="65">
    <w:name w:val="font01"/>
    <w:basedOn w:val="27"/>
    <w:qFormat/>
    <w:uiPriority w:val="0"/>
    <w:rPr>
      <w:rFonts w:hint="eastAsia" w:ascii="宋体" w:hAnsi="宋体" w:eastAsia="宋体" w:cs="宋体"/>
      <w:color w:val="000000"/>
      <w:sz w:val="21"/>
      <w:szCs w:val="21"/>
      <w:u w:val="none"/>
    </w:rPr>
  </w:style>
  <w:style w:type="character" w:customStyle="1" w:styleId="66">
    <w:name w:val="题注 字符"/>
    <w:link w:val="7"/>
    <w:qFormat/>
    <w:uiPriority w:val="35"/>
    <w:rPr>
      <w:rFonts w:ascii="Times New Roman" w:hAnsi="Times New Roman" w:eastAsia="楷体" w:cstheme="majorBidi"/>
      <w:b/>
      <w:sz w:val="32"/>
      <w:szCs w:val="20"/>
    </w:rPr>
  </w:style>
  <w:style w:type="paragraph" w:customStyle="1" w:styleId="67">
    <w:name w:val="表格"/>
    <w:basedOn w:val="1"/>
    <w:qFormat/>
    <w:uiPriority w:val="0"/>
    <w:pPr>
      <w:widowControl/>
      <w:tabs>
        <w:tab w:val="left" w:pos="575"/>
      </w:tabs>
      <w:spacing w:line="240" w:lineRule="atLeast"/>
      <w:ind w:firstLine="0" w:firstLineChars="0"/>
      <w:jc w:val="center"/>
    </w:pPr>
    <w:rPr>
      <w:rFonts w:cs="Times New Roman" w:eastAsiaTheme="majorEastAsia"/>
      <w:bCs/>
      <w:kern w:val="0"/>
      <w:sz w:val="21"/>
      <w:szCs w:val="18"/>
    </w:rPr>
  </w:style>
  <w:style w:type="paragraph" w:customStyle="1" w:styleId="68">
    <w:name w:val="表中文字"/>
    <w:basedOn w:val="1"/>
    <w:qFormat/>
    <w:uiPriority w:val="0"/>
    <w:pPr>
      <w:adjustRightInd/>
      <w:snapToGrid/>
      <w:spacing w:line="360" w:lineRule="auto"/>
      <w:jc w:val="center"/>
    </w:pPr>
    <w:rPr>
      <w:rFonts w:ascii="仿宋_GB2312" w:cs="Times New Roman"/>
      <w:color w:val="000000"/>
      <w:kern w:val="0"/>
      <w:sz w:val="21"/>
      <w:szCs w:val="21"/>
    </w:rPr>
  </w:style>
  <w:style w:type="character" w:customStyle="1" w:styleId="69">
    <w:name w:val="表头 Char"/>
    <w:link w:val="70"/>
    <w:qFormat/>
    <w:uiPriority w:val="0"/>
    <w:rPr>
      <w:rFonts w:ascii="Times New Roman" w:hAnsi="Times New Roman" w:eastAsia="黑体" w:cs="Times New Roman"/>
      <w:sz w:val="24"/>
    </w:rPr>
  </w:style>
  <w:style w:type="paragraph" w:customStyle="1" w:styleId="70">
    <w:name w:val="表头"/>
    <w:basedOn w:val="1"/>
    <w:link w:val="69"/>
    <w:qFormat/>
    <w:uiPriority w:val="0"/>
    <w:pPr>
      <w:adjustRightInd/>
      <w:snapToGrid/>
      <w:spacing w:before="50" w:beforeLines="50" w:line="240" w:lineRule="auto"/>
      <w:ind w:firstLine="0" w:firstLineChars="0"/>
      <w:jc w:val="center"/>
      <w:outlineLvl w:val="2"/>
    </w:pPr>
    <w:rPr>
      <w:rFonts w:eastAsia="黑体" w:cs="Times New Roman"/>
      <w:sz w:val="24"/>
    </w:rPr>
  </w:style>
  <w:style w:type="paragraph" w:customStyle="1" w:styleId="71">
    <w:name w:val="表格样式"/>
    <w:basedOn w:val="1"/>
    <w:qFormat/>
    <w:uiPriority w:val="0"/>
    <w:pPr>
      <w:spacing w:line="240" w:lineRule="auto"/>
      <w:ind w:firstLine="0" w:firstLineChars="0"/>
      <w:jc w:val="right"/>
    </w:pPr>
    <w:rPr>
      <w:rFonts w:eastAsia="黑体" w:cs="Times New Roman"/>
      <w:bCs/>
      <w:kern w:val="0"/>
      <w:sz w:val="24"/>
      <w:szCs w:val="24"/>
    </w:rPr>
  </w:style>
  <w:style w:type="paragraph" w:customStyle="1" w:styleId="72">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73">
    <w:name w:val="msonormal"/>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74">
    <w:name w:val="font5"/>
    <w:basedOn w:val="1"/>
    <w:qFormat/>
    <w:uiPriority w:val="0"/>
    <w:pPr>
      <w:widowControl/>
      <w:adjustRightInd/>
      <w:snapToGrid/>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75">
    <w:name w:val="font6"/>
    <w:basedOn w:val="1"/>
    <w:qFormat/>
    <w:uiPriority w:val="0"/>
    <w:pPr>
      <w:widowControl/>
      <w:adjustRightInd/>
      <w:snapToGrid/>
      <w:spacing w:before="100" w:beforeAutospacing="1" w:after="100" w:afterAutospacing="1" w:line="240" w:lineRule="auto"/>
      <w:ind w:firstLine="0" w:firstLineChars="0"/>
      <w:jc w:val="left"/>
    </w:pPr>
    <w:rPr>
      <w:rFonts w:eastAsia="宋体" w:cs="Times New Roman"/>
      <w:color w:val="000000"/>
      <w:kern w:val="0"/>
      <w:sz w:val="22"/>
    </w:rPr>
  </w:style>
  <w:style w:type="paragraph" w:customStyle="1" w:styleId="76">
    <w:name w:val="font7"/>
    <w:basedOn w:val="1"/>
    <w:qFormat/>
    <w:uiPriority w:val="0"/>
    <w:pPr>
      <w:widowControl/>
      <w:adjustRightInd/>
      <w:snapToGrid/>
      <w:spacing w:before="100" w:beforeAutospacing="1" w:after="100" w:afterAutospacing="1" w:line="240" w:lineRule="auto"/>
      <w:ind w:firstLine="0" w:firstLineChars="0"/>
      <w:jc w:val="left"/>
    </w:pPr>
    <w:rPr>
      <w:rFonts w:ascii="黑体" w:hAnsi="黑体" w:eastAsia="黑体" w:cs="宋体"/>
      <w:color w:val="000000"/>
      <w:kern w:val="0"/>
      <w:sz w:val="22"/>
    </w:rPr>
  </w:style>
  <w:style w:type="paragraph" w:customStyle="1" w:styleId="77">
    <w:name w:val="font8"/>
    <w:basedOn w:val="1"/>
    <w:qFormat/>
    <w:uiPriority w:val="0"/>
    <w:pPr>
      <w:widowControl/>
      <w:adjustRightInd/>
      <w:snapToGrid/>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78">
    <w:name w:val="font9"/>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79">
    <w:name w:val="xl6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80">
    <w:name w:val="xl6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81">
    <w:name w:val="xl7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82">
    <w:name w:val="xl7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83">
    <w:name w:val="xl7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85">
    <w:name w:val="xl7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87">
    <w:name w:val="xl7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88">
    <w:name w:val="xl7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FF0000"/>
      <w:kern w:val="0"/>
      <w:sz w:val="24"/>
      <w:szCs w:val="24"/>
    </w:rPr>
  </w:style>
  <w:style w:type="paragraph" w:customStyle="1" w:styleId="89">
    <w:name w:val="xl7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FF0000"/>
      <w:kern w:val="0"/>
      <w:sz w:val="24"/>
      <w:szCs w:val="24"/>
    </w:rPr>
  </w:style>
  <w:style w:type="paragraph" w:customStyle="1" w:styleId="90">
    <w:name w:val="xl7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FF0000"/>
      <w:kern w:val="0"/>
      <w:sz w:val="24"/>
      <w:szCs w:val="24"/>
    </w:rPr>
  </w:style>
  <w:style w:type="paragraph" w:customStyle="1" w:styleId="91">
    <w:name w:val="xl8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92">
    <w:name w:val="xl8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93">
    <w:name w:val="xl8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FF0000"/>
      <w:kern w:val="0"/>
      <w:sz w:val="24"/>
      <w:szCs w:val="24"/>
    </w:rPr>
  </w:style>
  <w:style w:type="paragraph" w:customStyle="1" w:styleId="94">
    <w:name w:val="xl8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FF0000"/>
      <w:kern w:val="0"/>
      <w:sz w:val="24"/>
      <w:szCs w:val="24"/>
    </w:rPr>
  </w:style>
  <w:style w:type="paragraph" w:customStyle="1" w:styleId="95">
    <w:name w:val="xl8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96">
    <w:name w:val="xl8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97">
    <w:name w:val="xl8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FF0000"/>
      <w:kern w:val="0"/>
      <w:sz w:val="24"/>
      <w:szCs w:val="24"/>
    </w:rPr>
  </w:style>
  <w:style w:type="paragraph" w:customStyle="1" w:styleId="98">
    <w:name w:val="xl8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kern w:val="0"/>
      <w:sz w:val="24"/>
      <w:szCs w:val="24"/>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101">
    <w:name w:val="xl90"/>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2">
    <w:name w:val="xl91"/>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3">
    <w:name w:val="xl92"/>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4">
    <w:name w:val="xl93"/>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5">
    <w:name w:val="xl94"/>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6">
    <w:name w:val="xl95"/>
    <w:basedOn w:val="1"/>
    <w:qFormat/>
    <w:uiPriority w:val="0"/>
    <w:pPr>
      <w:widowControl/>
      <w:pBdr>
        <w:top w:val="single" w:color="auto" w:sz="4" w:space="0"/>
        <w:left w:val="single" w:color="auto" w:sz="8"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7">
    <w:name w:val="xl96"/>
    <w:basedOn w:val="1"/>
    <w:qFormat/>
    <w:uiPriority w:val="0"/>
    <w:pPr>
      <w:widowControl/>
      <w:pBdr>
        <w:top w:val="single" w:color="auto" w:sz="4" w:space="0"/>
        <w:left w:val="single" w:color="auto" w:sz="8"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8">
    <w:name w:val="xl97"/>
    <w:basedOn w:val="1"/>
    <w:qFormat/>
    <w:uiPriority w:val="0"/>
    <w:pPr>
      <w:widowControl/>
      <w:pBdr>
        <w:top w:val="single" w:color="auto" w:sz="4" w:space="0"/>
        <w:left w:val="single" w:color="auto" w:sz="8"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09">
    <w:name w:val="xl98"/>
    <w:basedOn w:val="1"/>
    <w:qFormat/>
    <w:uiPriority w:val="0"/>
    <w:pPr>
      <w:widowControl/>
      <w:pBdr>
        <w:left w:val="single" w:color="auto" w:sz="8"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0">
    <w:name w:val="xl99"/>
    <w:basedOn w:val="1"/>
    <w:qFormat/>
    <w:uiPriority w:val="0"/>
    <w:pPr>
      <w:widowControl/>
      <w:pBdr>
        <w:left w:val="single" w:color="auto" w:sz="8"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textAlignment w:val="center"/>
    </w:pPr>
    <w:rPr>
      <w:rFonts w:ascii="黑体" w:hAnsi="黑体" w:eastAsia="黑体" w:cs="宋体"/>
      <w:color w:val="FF0000"/>
      <w:kern w:val="0"/>
      <w:sz w:val="24"/>
      <w:szCs w:val="24"/>
    </w:rPr>
  </w:style>
  <w:style w:type="paragraph" w:customStyle="1" w:styleId="112">
    <w:name w:val="xl101"/>
    <w:basedOn w:val="1"/>
    <w:qFormat/>
    <w:uiPriority w:val="0"/>
    <w:pPr>
      <w:widowControl/>
      <w:pBdr>
        <w:top w:val="single" w:color="auto" w:sz="4" w:space="0"/>
        <w:left w:val="single" w:color="auto" w:sz="4" w:space="0"/>
        <w:bottom w:val="single" w:color="auto" w:sz="8"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4">
    <w:name w:val="xl103"/>
    <w:basedOn w:val="1"/>
    <w:qFormat/>
    <w:uiPriority w:val="0"/>
    <w:pPr>
      <w:widowControl/>
      <w:pBdr>
        <w:top w:val="single" w:color="auto" w:sz="4" w:space="0"/>
        <w:left w:val="single" w:color="auto" w:sz="8" w:space="0"/>
        <w:bottom w:val="single" w:color="auto" w:sz="8"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5">
    <w:name w:val="xl104"/>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6">
    <w:name w:val="xl105"/>
    <w:basedOn w:val="1"/>
    <w:qFormat/>
    <w:uiPriority w:val="0"/>
    <w:pPr>
      <w:widowControl/>
      <w:pBdr>
        <w:top w:val="single" w:color="auto" w:sz="4" w:space="0"/>
        <w:left w:val="single" w:color="auto" w:sz="4" w:space="0"/>
        <w:bottom w:val="single" w:color="auto" w:sz="4" w:space="0"/>
      </w:pBdr>
      <w:shd w:val="clear" w:color="000000" w:fill="FFFF00"/>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7">
    <w:name w:val="xl106"/>
    <w:basedOn w:val="1"/>
    <w:qFormat/>
    <w:uiPriority w:val="0"/>
    <w:pPr>
      <w:widowControl/>
      <w:pBdr>
        <w:top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18">
    <w:name w:val="xl107"/>
    <w:basedOn w:val="1"/>
    <w:qFormat/>
    <w:uiPriority w:val="0"/>
    <w:pPr>
      <w:widowControl/>
      <w:pBdr>
        <w:top w:val="single" w:color="auto" w:sz="8"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119">
    <w:name w:val="xl108"/>
    <w:basedOn w:val="1"/>
    <w:qFormat/>
    <w:uiPriority w:val="0"/>
    <w:pPr>
      <w:widowControl/>
      <w:pBdr>
        <w:top w:val="single" w:color="auto" w:sz="8" w:space="0"/>
        <w:bottom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120">
    <w:name w:val="xl109"/>
    <w:basedOn w:val="1"/>
    <w:qFormat/>
    <w:uiPriority w:val="0"/>
    <w:pPr>
      <w:widowControl/>
      <w:pBdr>
        <w:top w:val="single" w:color="auto" w:sz="8" w:space="0"/>
        <w:bottom w:val="single" w:color="auto" w:sz="4" w:space="0"/>
        <w:right w:val="single" w:color="auto" w:sz="8"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121">
    <w:name w:val="xl110"/>
    <w:basedOn w:val="1"/>
    <w:qFormat/>
    <w:uiPriority w:val="0"/>
    <w:pPr>
      <w:widowControl/>
      <w:pBdr>
        <w:top w:val="single" w:color="auto" w:sz="4" w:space="0"/>
        <w:left w:val="single" w:color="auto" w:sz="4" w:space="0"/>
        <w:bottom w:val="single" w:color="auto" w:sz="4" w:space="0"/>
        <w:right w:val="single" w:color="auto" w:sz="8"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22">
    <w:name w:val="xl111"/>
    <w:basedOn w:val="1"/>
    <w:qFormat/>
    <w:uiPriority w:val="0"/>
    <w:pPr>
      <w:widowControl/>
      <w:pBdr>
        <w:top w:val="single" w:color="auto" w:sz="8" w:space="0"/>
        <w:left w:val="single" w:color="auto" w:sz="8"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23">
    <w:name w:val="xl112"/>
    <w:basedOn w:val="1"/>
    <w:qFormat/>
    <w:uiPriority w:val="0"/>
    <w:pPr>
      <w:widowControl/>
      <w:pBdr>
        <w:top w:val="single" w:color="auto" w:sz="8"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paragraph" w:customStyle="1" w:styleId="124">
    <w:name w:val="xl113"/>
    <w:basedOn w:val="1"/>
    <w:qFormat/>
    <w:uiPriority w:val="0"/>
    <w:pPr>
      <w:widowControl/>
      <w:pBdr>
        <w:top w:val="single" w:color="auto" w:sz="8"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125">
    <w:name w:val="xl11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126">
    <w:name w:val="xl11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FF0000"/>
      <w:kern w:val="0"/>
      <w:sz w:val="24"/>
      <w:szCs w:val="24"/>
    </w:rPr>
  </w:style>
  <w:style w:type="paragraph" w:customStyle="1" w:styleId="127">
    <w:name w:val="xl6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cs="Times New Roman"/>
      <w:color w:val="000000"/>
      <w:kern w:val="0"/>
      <w:sz w:val="24"/>
      <w:szCs w:val="24"/>
    </w:rPr>
  </w:style>
  <w:style w:type="paragraph" w:customStyle="1" w:styleId="128">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hAnsi="黑体" w:eastAsia="黑体" w:cs="宋体"/>
      <w:color w:val="000000"/>
      <w:kern w:val="0"/>
      <w:sz w:val="24"/>
      <w:szCs w:val="24"/>
    </w:rPr>
  </w:style>
  <w:style w:type="table" w:customStyle="1" w:styleId="129">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
    <w:name w:val="日期 字符"/>
    <w:basedOn w:val="27"/>
    <w:link w:val="13"/>
    <w:semiHidden/>
    <w:qFormat/>
    <w:uiPriority w:val="99"/>
    <w:rPr>
      <w:rFonts w:ascii="Times New Roman" w:hAnsi="Times New Roman" w:eastAsia="仿宋_GB2312"/>
      <w:sz w:val="32"/>
    </w:rPr>
  </w:style>
  <w:style w:type="paragraph" w:customStyle="1" w:styleId="131">
    <w:name w:val="修订2"/>
    <w:hidden/>
    <w:semiHidden/>
    <w:qFormat/>
    <w:uiPriority w:val="99"/>
    <w:rPr>
      <w:rFonts w:ascii="Times New Roman" w:hAnsi="Times New Roman" w:eastAsia="仿宋_GB2312" w:cstheme="minorBidi"/>
      <w:kern w:val="2"/>
      <w:sz w:val="32"/>
      <w:szCs w:val="22"/>
      <w:lang w:val="en-US" w:eastAsia="zh-CN" w:bidi="ar-SA"/>
    </w:rPr>
  </w:style>
  <w:style w:type="paragraph" w:customStyle="1" w:styleId="132">
    <w:name w:val="修订3"/>
    <w:hidden/>
    <w:semiHidden/>
    <w:qFormat/>
    <w:uiPriority w:val="99"/>
    <w:rPr>
      <w:rFonts w:ascii="Times New Roman" w:hAnsi="Times New Roman" w:eastAsia="仿宋_GB2312" w:cstheme="minorBidi"/>
      <w:kern w:val="2"/>
      <w:sz w:val="32"/>
      <w:szCs w:val="22"/>
      <w:lang w:val="en-US" w:eastAsia="zh-CN" w:bidi="ar-SA"/>
    </w:rPr>
  </w:style>
  <w:style w:type="paragraph" w:customStyle="1" w:styleId="133">
    <w:name w:val="修订4"/>
    <w:hidden/>
    <w:semiHidden/>
    <w:qFormat/>
    <w:uiPriority w:val="99"/>
    <w:rPr>
      <w:rFonts w:ascii="Times New Roman" w:hAnsi="Times New Roman" w:eastAsia="仿宋_GB2312" w:cstheme="minorBidi"/>
      <w:kern w:val="2"/>
      <w:sz w:val="32"/>
      <w:szCs w:val="22"/>
      <w:lang w:val="en-US" w:eastAsia="zh-CN" w:bidi="ar-SA"/>
    </w:rPr>
  </w:style>
  <w:style w:type="character" w:customStyle="1" w:styleId="134">
    <w:name w:val="content-right_8zs40"/>
    <w:basedOn w:val="27"/>
    <w:qFormat/>
    <w:uiPriority w:val="0"/>
  </w:style>
  <w:style w:type="paragraph" w:customStyle="1" w:styleId="135">
    <w:name w:val="Char"/>
    <w:basedOn w:val="1"/>
    <w:semiHidden/>
    <w:qFormat/>
    <w:uiPriority w:val="0"/>
    <w:pPr>
      <w:adjustRightInd/>
      <w:snapToGrid/>
      <w:spacing w:line="240" w:lineRule="auto"/>
      <w:ind w:firstLine="0" w:firstLineChars="0"/>
    </w:pPr>
    <w:rPr>
      <w:rFonts w:eastAsia="宋体" w:cs="Times New Roman"/>
      <w:sz w:val="21"/>
      <w:szCs w:val="24"/>
    </w:rPr>
  </w:style>
  <w:style w:type="paragraph" w:customStyle="1" w:styleId="136">
    <w:name w:val="修订5"/>
    <w:hidden/>
    <w:semiHidden/>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25</Pages>
  <Words>11305</Words>
  <Characters>12115</Characters>
  <Lines>89</Lines>
  <Paragraphs>25</Paragraphs>
  <TotalTime>25</TotalTime>
  <ScaleCrop>false</ScaleCrop>
  <LinksUpToDate>false</LinksUpToDate>
  <CharactersWithSpaces>12116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2023-04-04T07:48:00Z</dcterms:created>
  <dc:creator>刘畅</dc:creator>
  <cp:lastModifiedBy>段光耀</cp:lastModifiedBy>
  <cp:lastPrinted>2023-03-31T01:42:00Z</cp:lastPrinted>
  <dcterms:modified xsi:type="dcterms:W3CDTF">2023-04-06T10:32:38Z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3C77A44944B64FC8B8DF4F66B99092AF</vt:lpwstr>
  </property>
</Properties>
</file>