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pStyle w:val="15"/>
        <w:numPr>
          <w:ilvl w:val="0"/>
          <w:numId w:val="0"/>
        </w:numPr>
        <w:spacing w:line="560" w:lineRule="exact"/>
        <w:ind w:left="0" w:firstLine="880" w:firstLineChars="200"/>
        <w:jc w:val="both"/>
        <w:rPr>
          <w:rFonts w:hint="eastAsia" w:ascii="方正小标宋简体" w:eastAsia="方正小标宋简体"/>
          <w:sz w:val="44"/>
          <w:szCs w:val="44"/>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北京市重点产业知识产权运营基金</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rPr>
        <w:t>管理办法</w:t>
      </w:r>
      <w:r>
        <w:rPr>
          <w:rFonts w:hint="eastAsia" w:ascii="方正小标宋简体" w:eastAsia="方正小标宋简体"/>
          <w:sz w:val="44"/>
          <w:szCs w:val="44"/>
          <w:lang w:eastAsia="zh-CN"/>
        </w:rPr>
        <w:t>（修订稿）</w:t>
      </w:r>
    </w:p>
    <w:p>
      <w:pPr>
        <w:pStyle w:val="15"/>
        <w:numPr>
          <w:ilvl w:val="0"/>
          <w:numId w:val="0"/>
        </w:numPr>
        <w:spacing w:line="560" w:lineRule="exact"/>
        <w:jc w:val="center"/>
        <w:rPr>
          <w:rFonts w:hint="eastAsia" w:ascii="仿宋_GB2312" w:eastAsia="仿宋_GB2312"/>
          <w:sz w:val="32"/>
          <w:szCs w:val="32"/>
          <w:lang w:eastAsia="zh-CN"/>
        </w:rPr>
      </w:pPr>
      <w:r>
        <w:rPr>
          <w:rFonts w:hint="eastAsia" w:ascii="仿宋_GB2312" w:eastAsia="仿宋_GB2312"/>
          <w:sz w:val="32"/>
          <w:szCs w:val="32"/>
          <w:lang w:eastAsia="zh-CN"/>
        </w:rPr>
        <w:t>（公开征求意见稿）</w:t>
      </w:r>
    </w:p>
    <w:p>
      <w:pPr>
        <w:spacing w:line="520" w:lineRule="exact"/>
        <w:jc w:val="center"/>
        <w:rPr>
          <w:rFonts w:hint="eastAsia" w:ascii="黑体" w:eastAsia="黑体"/>
          <w:sz w:val="32"/>
          <w:szCs w:val="32"/>
          <w:lang w:eastAsia="zh-CN"/>
        </w:rPr>
      </w:pPr>
    </w:p>
    <w:p>
      <w:pPr>
        <w:pStyle w:val="15"/>
        <w:numPr>
          <w:ilvl w:val="0"/>
          <w:numId w:val="1"/>
        </w:numPr>
        <w:spacing w:line="520" w:lineRule="exact"/>
        <w:ind w:firstLineChars="0"/>
        <w:jc w:val="center"/>
        <w:rPr>
          <w:rFonts w:ascii="黑体" w:eastAsia="黑体"/>
          <w:sz w:val="32"/>
          <w:szCs w:val="32"/>
        </w:rPr>
      </w:pPr>
      <w:r>
        <w:rPr>
          <w:rFonts w:hint="eastAsia" w:ascii="黑体" w:eastAsia="黑体"/>
          <w:sz w:val="32"/>
          <w:szCs w:val="32"/>
        </w:rPr>
        <w:t>总则</w:t>
      </w:r>
    </w:p>
    <w:p>
      <w:pPr>
        <w:pStyle w:val="15"/>
        <w:numPr>
          <w:ilvl w:val="0"/>
          <w:numId w:val="0"/>
        </w:numPr>
        <w:spacing w:line="560" w:lineRule="exact"/>
        <w:ind w:left="0" w:firstLine="640" w:firstLineChars="200"/>
        <w:jc w:val="both"/>
        <w:rPr>
          <w:rFonts w:ascii="仿宋_GB2312" w:eastAsia="仿宋_GB2312"/>
          <w:sz w:val="32"/>
          <w:szCs w:val="32"/>
        </w:rPr>
      </w:pPr>
      <w:r>
        <w:rPr>
          <w:rFonts w:hint="eastAsia" w:ascii="仿宋_GB2312" w:eastAsia="仿宋_GB2312"/>
          <w:sz w:val="32"/>
          <w:szCs w:val="32"/>
          <w:lang w:eastAsia="zh-CN"/>
        </w:rPr>
        <w:t>第一条</w:t>
      </w:r>
      <w:r>
        <w:rPr>
          <w:rFonts w:hint="eastAsia" w:ascii="仿宋_GB2312" w:eastAsia="仿宋_GB2312"/>
          <w:sz w:val="32"/>
          <w:szCs w:val="32"/>
          <w:lang w:val="en-US" w:eastAsia="zh-CN"/>
        </w:rPr>
        <w:t xml:space="preserve"> </w:t>
      </w:r>
      <w:r>
        <w:rPr>
          <w:rFonts w:hint="eastAsia" w:ascii="仿宋_GB2312" w:eastAsia="仿宋_GB2312"/>
          <w:sz w:val="32"/>
          <w:szCs w:val="32"/>
        </w:rPr>
        <w:t>根据</w:t>
      </w:r>
      <w:r>
        <w:rPr>
          <w:rFonts w:hint="eastAsia" w:ascii="仿宋_GB2312" w:hAnsi="Times New Roman" w:eastAsia="仿宋_GB2312" w:cs="仿宋_GB2312"/>
          <w:sz w:val="32"/>
          <w:szCs w:val="32"/>
        </w:rPr>
        <w:t>财政部、国家知识产权局</w:t>
      </w:r>
      <w:r>
        <w:rPr>
          <w:rFonts w:hint="eastAsia" w:ascii="仿宋_GB2312" w:eastAsia="仿宋_GB2312"/>
          <w:sz w:val="32"/>
          <w:szCs w:val="32"/>
        </w:rPr>
        <w:t>《关于做好2015年以市场化方式促进知识产权运营服务工作的通知》</w:t>
      </w:r>
      <w:r>
        <w:rPr>
          <w:rFonts w:hint="eastAsia" w:ascii="仿宋_GB2312" w:eastAsia="仿宋_GB2312"/>
          <w:sz w:val="32"/>
          <w:szCs w:val="32"/>
          <w:lang w:eastAsia="zh-CN"/>
        </w:rPr>
        <w:t>、《北京市人民政府办公厅印发</w:t>
      </w:r>
      <w:r>
        <w:rPr>
          <w:rFonts w:hint="eastAsia" w:ascii="仿宋_GB2312" w:hAnsi="仿宋_GB2312" w:eastAsia="仿宋_GB2312" w:cs="仿宋_GB2312"/>
          <w:sz w:val="32"/>
          <w:szCs w:val="32"/>
          <w:lang w:eastAsia="zh-CN"/>
        </w:rPr>
        <w:t>〈</w:t>
      </w:r>
      <w:r>
        <w:rPr>
          <w:rFonts w:hint="eastAsia" w:ascii="仿宋_GB2312" w:eastAsia="仿宋_GB2312"/>
          <w:sz w:val="32"/>
          <w:szCs w:val="32"/>
          <w:lang w:eastAsia="zh-CN"/>
        </w:rPr>
        <w:t>关于加强市级政府投资基金管理的若干意见</w:t>
      </w:r>
      <w:r>
        <w:rPr>
          <w:rFonts w:hint="eastAsia" w:ascii="仿宋_GB2312" w:hAnsi="仿宋_GB2312" w:eastAsia="仿宋_GB2312" w:cs="仿宋_GB2312"/>
          <w:sz w:val="32"/>
          <w:szCs w:val="32"/>
          <w:lang w:eastAsia="zh-CN"/>
        </w:rPr>
        <w:t>〉</w:t>
      </w:r>
      <w:r>
        <w:rPr>
          <w:rFonts w:hint="eastAsia" w:ascii="仿宋_GB2312" w:eastAsia="仿宋_GB2312"/>
          <w:sz w:val="32"/>
          <w:szCs w:val="32"/>
          <w:lang w:eastAsia="zh-CN"/>
        </w:rPr>
        <w:t>的通知》（京政办字</w:t>
      </w:r>
      <w:r>
        <w:rPr>
          <w:rFonts w:hint="eastAsia" w:ascii="仿宋_GB2312" w:eastAsia="仿宋_GB2312"/>
          <w:sz w:val="32"/>
        </w:rPr>
        <w:t>〔20</w:t>
      </w:r>
      <w:r>
        <w:rPr>
          <w:rFonts w:hint="eastAsia" w:ascii="仿宋_GB2312" w:eastAsia="仿宋_GB2312"/>
          <w:sz w:val="32"/>
          <w:lang w:val="en-US" w:eastAsia="zh-CN"/>
        </w:rPr>
        <w:t>21</w:t>
      </w:r>
      <w:r>
        <w:rPr>
          <w:rFonts w:hint="eastAsia" w:ascii="仿宋_GB2312" w:eastAsia="仿宋_GB2312"/>
          <w:sz w:val="32"/>
        </w:rPr>
        <w:t>〕</w:t>
      </w:r>
      <w:r>
        <w:rPr>
          <w:rFonts w:hint="eastAsia" w:ascii="仿宋_GB2312" w:eastAsia="仿宋_GB2312"/>
          <w:sz w:val="32"/>
          <w:szCs w:val="32"/>
          <w:lang w:eastAsia="zh-CN"/>
        </w:rPr>
        <w:t>8号）、</w:t>
      </w:r>
      <w:r>
        <w:rPr>
          <w:rFonts w:hint="eastAsia" w:ascii="仿宋_GB2312" w:eastAsia="仿宋_GB2312"/>
          <w:sz w:val="32"/>
          <w:szCs w:val="32"/>
        </w:rPr>
        <w:t>《北京市财政局关于印发&lt;北京市市级政府投资基金管理办法&gt;的通知》（</w:t>
      </w:r>
      <w:r>
        <w:rPr>
          <w:rFonts w:hint="eastAsia" w:ascii="仿宋_GB2312" w:eastAsia="仿宋_GB2312"/>
          <w:sz w:val="32"/>
        </w:rPr>
        <w:t>京财</w:t>
      </w:r>
      <w:r>
        <w:rPr>
          <w:rFonts w:hint="eastAsia" w:ascii="仿宋_GB2312" w:eastAsia="仿宋_GB2312"/>
          <w:sz w:val="32"/>
          <w:lang w:eastAsia="zh-CN"/>
        </w:rPr>
        <w:t>金融</w:t>
      </w:r>
      <w:r>
        <w:rPr>
          <w:rFonts w:hint="eastAsia" w:ascii="仿宋_GB2312" w:eastAsia="仿宋_GB2312"/>
          <w:sz w:val="32"/>
        </w:rPr>
        <w:t>〔20</w:t>
      </w:r>
      <w:r>
        <w:rPr>
          <w:rFonts w:hint="eastAsia" w:ascii="仿宋_GB2312" w:eastAsia="仿宋_GB2312"/>
          <w:sz w:val="32"/>
          <w:lang w:val="en-US" w:eastAsia="zh-CN"/>
        </w:rPr>
        <w:t>21</w:t>
      </w:r>
      <w:r>
        <w:rPr>
          <w:rFonts w:hint="eastAsia" w:ascii="仿宋_GB2312" w:eastAsia="仿宋_GB2312"/>
          <w:sz w:val="32"/>
        </w:rPr>
        <w:t>〕</w:t>
      </w:r>
      <w:r>
        <w:rPr>
          <w:rFonts w:hint="eastAsia" w:ascii="仿宋_GB2312" w:eastAsia="仿宋_GB2312"/>
          <w:sz w:val="32"/>
          <w:lang w:val="en-US" w:eastAsia="zh-CN"/>
        </w:rPr>
        <w:t>1991</w:t>
      </w:r>
      <w:r>
        <w:rPr>
          <w:rFonts w:hint="eastAsia" w:ascii="仿宋_GB2312" w:eastAsia="仿宋_GB2312"/>
          <w:sz w:val="32"/>
        </w:rPr>
        <w:t>号</w:t>
      </w:r>
      <w:r>
        <w:rPr>
          <w:rFonts w:hint="eastAsia" w:ascii="仿宋_GB2312" w:eastAsia="仿宋_GB2312"/>
          <w:sz w:val="32"/>
          <w:szCs w:val="32"/>
        </w:rPr>
        <w:t>）,为引导各类社会资金共同促进北京市战略性新兴产业发展，提升首都创新活力和创新效率，提高知识产权运营能力，规范北京市重点产业知识产权运营基金（以下简称“基金”）的管理，按照市政府批准的《北京市重点产业知识产权运营基金实施方案》及有关法律、法规，结合工作实际，制定本办法。</w:t>
      </w:r>
    </w:p>
    <w:p>
      <w:pPr>
        <w:pStyle w:val="15"/>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eastAsia="zh-CN"/>
        </w:rPr>
        <w:t>第二条</w:t>
      </w:r>
      <w:r>
        <w:rPr>
          <w:rFonts w:hint="eastAsia" w:ascii="仿宋_GB2312" w:eastAsia="仿宋_GB2312"/>
          <w:sz w:val="32"/>
          <w:szCs w:val="32"/>
          <w:lang w:val="en-US" w:eastAsia="zh-CN"/>
        </w:rPr>
        <w:t xml:space="preserve"> </w:t>
      </w:r>
      <w:r>
        <w:rPr>
          <w:rFonts w:hint="eastAsia" w:ascii="仿宋_GB2312" w:eastAsia="仿宋_GB2312"/>
          <w:sz w:val="32"/>
          <w:szCs w:val="32"/>
        </w:rPr>
        <w:t>本办法所称北京市重点产业知识产权运营基金，是指市政府通过预算安排，与社会资本共同出资设立，主要采用股权投资方式支持</w:t>
      </w:r>
      <w:r>
        <w:rPr>
          <w:rFonts w:hint="eastAsia" w:ascii="仿宋_GB2312" w:eastAsia="仿宋_GB2312" w:cs="仿宋_GB2312"/>
          <w:sz w:val="32"/>
          <w:szCs w:val="32"/>
        </w:rPr>
        <w:t>北京市战略性新兴产业知识产权运营的资金。</w:t>
      </w:r>
    </w:p>
    <w:p>
      <w:pPr>
        <w:pStyle w:val="15"/>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eastAsia="zh-CN"/>
        </w:rPr>
        <w:t>第三条</w:t>
      </w:r>
      <w:r>
        <w:rPr>
          <w:rFonts w:hint="eastAsia" w:ascii="仿宋_GB2312" w:eastAsia="仿宋_GB2312"/>
          <w:sz w:val="32"/>
          <w:szCs w:val="32"/>
          <w:lang w:val="en-US" w:eastAsia="zh-CN"/>
        </w:rPr>
        <w:t xml:space="preserve"> </w:t>
      </w:r>
      <w:r>
        <w:rPr>
          <w:rFonts w:hint="eastAsia" w:ascii="仿宋_GB2312" w:eastAsia="仿宋_GB2312"/>
          <w:sz w:val="32"/>
          <w:szCs w:val="32"/>
        </w:rPr>
        <w:t>基金按照“政府引导、市场运作、</w:t>
      </w:r>
      <w:r>
        <w:rPr>
          <w:rFonts w:hint="eastAsia" w:ascii="仿宋_GB2312" w:eastAsia="仿宋_GB2312"/>
          <w:sz w:val="32"/>
          <w:szCs w:val="32"/>
          <w:lang w:eastAsia="zh-CN"/>
        </w:rPr>
        <w:t>科学决策</w:t>
      </w:r>
      <w:r>
        <w:rPr>
          <w:rFonts w:hint="eastAsia" w:ascii="仿宋_GB2312" w:eastAsia="仿宋_GB2312"/>
          <w:sz w:val="32"/>
          <w:szCs w:val="32"/>
        </w:rPr>
        <w:t>、</w:t>
      </w:r>
      <w:r>
        <w:rPr>
          <w:rFonts w:hint="eastAsia" w:ascii="仿宋_GB2312" w:eastAsia="仿宋_GB2312"/>
          <w:sz w:val="32"/>
          <w:szCs w:val="32"/>
          <w:lang w:eastAsia="zh-CN"/>
        </w:rPr>
        <w:t>防范风险</w:t>
      </w:r>
      <w:r>
        <w:rPr>
          <w:rFonts w:hint="eastAsia" w:ascii="仿宋_GB2312" w:eastAsia="仿宋_GB2312"/>
          <w:sz w:val="32"/>
          <w:szCs w:val="32"/>
        </w:rPr>
        <w:t>”的原则进行投资运作。</w:t>
      </w:r>
    </w:p>
    <w:p>
      <w:pPr>
        <w:pStyle w:val="15"/>
        <w:keepLines w:val="0"/>
        <w:pageBreakBefore w:val="0"/>
        <w:widowControl w:val="0"/>
        <w:numPr>
          <w:ilvl w:val="0"/>
          <w:numId w:val="1"/>
        </w:numPr>
        <w:kinsoku/>
        <w:wordWrap/>
        <w:overflowPunct/>
        <w:topLinePunct w:val="0"/>
        <w:autoSpaceDE/>
        <w:autoSpaceDN/>
        <w:bidi w:val="0"/>
        <w:adjustRightInd/>
        <w:snapToGrid/>
        <w:spacing w:line="560" w:lineRule="exact"/>
        <w:ind w:firstLineChars="0"/>
        <w:jc w:val="center"/>
        <w:textAlignment w:val="auto"/>
        <w:rPr>
          <w:rFonts w:ascii="黑体" w:eastAsia="黑体"/>
          <w:sz w:val="32"/>
          <w:szCs w:val="32"/>
        </w:rPr>
      </w:pPr>
      <w:r>
        <w:rPr>
          <w:rFonts w:hint="eastAsia" w:ascii="黑体" w:eastAsia="黑体"/>
          <w:sz w:val="32"/>
          <w:szCs w:val="32"/>
        </w:rPr>
        <w:t>基金的设立</w:t>
      </w:r>
    </w:p>
    <w:p>
      <w:pPr>
        <w:pStyle w:val="15"/>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eastAsia="zh-CN"/>
        </w:rPr>
        <w:t>第四条</w:t>
      </w:r>
      <w:r>
        <w:rPr>
          <w:rFonts w:hint="eastAsia" w:ascii="仿宋_GB2312" w:eastAsia="仿宋_GB2312"/>
          <w:sz w:val="32"/>
          <w:szCs w:val="32"/>
          <w:lang w:val="en-US" w:eastAsia="zh-CN"/>
        </w:rPr>
        <w:t xml:space="preserve"> </w:t>
      </w:r>
      <w:r>
        <w:rPr>
          <w:rFonts w:hint="eastAsia" w:ascii="仿宋_GB2312" w:eastAsia="仿宋_GB2312"/>
          <w:sz w:val="32"/>
          <w:szCs w:val="32"/>
        </w:rPr>
        <w:t>基金由市知识产权局、市财政局上报市政府批准设立。基金资金主要来源于中央和市级财政资金，以及社会资本。</w:t>
      </w:r>
    </w:p>
    <w:p>
      <w:pPr>
        <w:pStyle w:val="15"/>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eastAsia="zh-CN"/>
        </w:rPr>
        <w:t>第五条</w:t>
      </w:r>
      <w:r>
        <w:rPr>
          <w:rFonts w:hint="eastAsia" w:ascii="仿宋_GB2312" w:eastAsia="仿宋_GB2312"/>
          <w:sz w:val="32"/>
          <w:szCs w:val="32"/>
          <w:lang w:val="en-US" w:eastAsia="zh-CN"/>
        </w:rPr>
        <w:t xml:space="preserve"> </w:t>
      </w:r>
      <w:r>
        <w:rPr>
          <w:rFonts w:hint="eastAsia" w:ascii="仿宋_GB2312" w:eastAsia="仿宋_GB2312"/>
          <w:sz w:val="32"/>
          <w:szCs w:val="32"/>
        </w:rPr>
        <w:t>基金采取有限合伙制形式设立，且应在北京市注册成立，基金各出资方应当按照现行法律法规，制定基金有限合伙协议。</w:t>
      </w:r>
    </w:p>
    <w:p>
      <w:pPr>
        <w:pStyle w:val="15"/>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eastAsia="zh-CN"/>
        </w:rPr>
        <w:t>第六条</w:t>
      </w:r>
      <w:r>
        <w:rPr>
          <w:rFonts w:hint="eastAsia" w:ascii="仿宋_GB2312" w:eastAsia="仿宋_GB2312"/>
          <w:sz w:val="32"/>
          <w:szCs w:val="32"/>
          <w:lang w:val="en-US" w:eastAsia="zh-CN"/>
        </w:rPr>
        <w:t xml:space="preserve"> </w:t>
      </w:r>
      <w:r>
        <w:rPr>
          <w:rFonts w:hint="eastAsia" w:ascii="仿宋_GB2312" w:eastAsia="仿宋_GB2312"/>
          <w:sz w:val="32"/>
          <w:szCs w:val="32"/>
        </w:rPr>
        <w:t>基金存续期为</w:t>
      </w:r>
      <w:r>
        <w:rPr>
          <w:rFonts w:hint="eastAsia" w:ascii="仿宋_GB2312" w:eastAsia="仿宋_GB2312"/>
          <w:sz w:val="32"/>
          <w:szCs w:val="32"/>
          <w:lang w:val="en-US" w:eastAsia="zh-CN"/>
        </w:rPr>
        <w:t>8</w:t>
      </w:r>
      <w:r>
        <w:rPr>
          <w:rFonts w:hint="eastAsia" w:ascii="仿宋_GB2312" w:eastAsia="仿宋_GB2312"/>
          <w:sz w:val="32"/>
          <w:szCs w:val="32"/>
        </w:rPr>
        <w:t>年，其中投资期</w:t>
      </w:r>
      <w:r>
        <w:rPr>
          <w:rFonts w:hint="eastAsia" w:ascii="仿宋_GB2312" w:eastAsia="仿宋_GB2312"/>
          <w:sz w:val="32"/>
          <w:szCs w:val="32"/>
          <w:lang w:val="en-US" w:eastAsia="zh-CN"/>
        </w:rPr>
        <w:t>5</w:t>
      </w:r>
      <w:r>
        <w:rPr>
          <w:rFonts w:hint="eastAsia" w:ascii="仿宋_GB2312" w:eastAsia="仿宋_GB2312"/>
          <w:sz w:val="32"/>
          <w:szCs w:val="32"/>
        </w:rPr>
        <w:t>年，退出期</w:t>
      </w:r>
      <w:r>
        <w:rPr>
          <w:rFonts w:hint="eastAsia" w:ascii="仿宋_GB2312" w:eastAsia="仿宋_GB2312"/>
          <w:sz w:val="32"/>
          <w:szCs w:val="32"/>
          <w:lang w:val="en-US" w:eastAsia="zh-CN"/>
        </w:rPr>
        <w:t>3</w:t>
      </w:r>
      <w:r>
        <w:rPr>
          <w:rFonts w:hint="eastAsia" w:ascii="仿宋_GB2312" w:eastAsia="仿宋_GB2312"/>
          <w:sz w:val="32"/>
          <w:szCs w:val="32"/>
        </w:rPr>
        <w:t>年。</w:t>
      </w:r>
    </w:p>
    <w:p>
      <w:pPr>
        <w:pStyle w:val="15"/>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eastAsia="zh-CN"/>
        </w:rPr>
        <w:t>第七条</w:t>
      </w:r>
      <w:r>
        <w:rPr>
          <w:rFonts w:hint="eastAsia" w:ascii="仿宋_GB2312" w:eastAsia="仿宋_GB2312"/>
          <w:sz w:val="32"/>
          <w:szCs w:val="32"/>
          <w:lang w:val="en-US" w:eastAsia="zh-CN"/>
        </w:rPr>
        <w:t xml:space="preserve"> </w:t>
      </w:r>
      <w:r>
        <w:rPr>
          <w:rFonts w:hint="eastAsia" w:ascii="仿宋_GB2312" w:eastAsia="仿宋_GB2312"/>
          <w:sz w:val="32"/>
          <w:szCs w:val="32"/>
        </w:rPr>
        <w:t>基金聚焦北京市战略性新兴产业知识产权运营，首期基金重点关注移动互联网通信技术领域以及生物医药领域。</w:t>
      </w:r>
    </w:p>
    <w:p>
      <w:pPr>
        <w:pStyle w:val="15"/>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eastAsia="zh-CN"/>
        </w:rPr>
        <w:t>第八条</w:t>
      </w:r>
      <w:r>
        <w:rPr>
          <w:rFonts w:hint="eastAsia" w:ascii="仿宋_GB2312" w:eastAsia="仿宋_GB2312"/>
          <w:sz w:val="32"/>
          <w:szCs w:val="32"/>
          <w:lang w:val="en-US" w:eastAsia="zh-CN"/>
        </w:rPr>
        <w:t xml:space="preserve"> </w:t>
      </w:r>
      <w:r>
        <w:rPr>
          <w:rFonts w:hint="eastAsia" w:ascii="仿宋_GB2312" w:eastAsia="仿宋_GB2312"/>
          <w:sz w:val="32"/>
          <w:szCs w:val="32"/>
        </w:rPr>
        <w:t>基金可以与上下级财政部门设立的相同目标的基金合作，共同投资特定产业或企业。</w:t>
      </w:r>
    </w:p>
    <w:p>
      <w:pPr>
        <w:pStyle w:val="15"/>
        <w:keepLines w:val="0"/>
        <w:pageBreakBefore w:val="0"/>
        <w:widowControl w:val="0"/>
        <w:numPr>
          <w:ilvl w:val="0"/>
          <w:numId w:val="1"/>
        </w:numPr>
        <w:kinsoku/>
        <w:wordWrap/>
        <w:overflowPunct/>
        <w:topLinePunct w:val="0"/>
        <w:autoSpaceDE/>
        <w:autoSpaceDN/>
        <w:bidi w:val="0"/>
        <w:adjustRightInd/>
        <w:snapToGrid/>
        <w:spacing w:line="560" w:lineRule="exact"/>
        <w:ind w:firstLineChars="0"/>
        <w:jc w:val="center"/>
        <w:textAlignment w:val="auto"/>
        <w:rPr>
          <w:rFonts w:ascii="黑体" w:eastAsia="黑体"/>
          <w:sz w:val="32"/>
          <w:szCs w:val="32"/>
        </w:rPr>
      </w:pPr>
      <w:r>
        <w:rPr>
          <w:rFonts w:hint="eastAsia" w:ascii="黑体" w:eastAsia="黑体"/>
          <w:sz w:val="32"/>
          <w:szCs w:val="32"/>
        </w:rPr>
        <w:t>基金管理</w:t>
      </w:r>
    </w:p>
    <w:p>
      <w:pPr>
        <w:pStyle w:val="15"/>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eastAsia="zh-CN"/>
        </w:rPr>
        <w:t>第九条</w:t>
      </w:r>
      <w:r>
        <w:rPr>
          <w:rFonts w:hint="eastAsia" w:ascii="仿宋_GB2312" w:eastAsia="仿宋_GB2312"/>
          <w:sz w:val="32"/>
          <w:szCs w:val="32"/>
          <w:lang w:val="en-US" w:eastAsia="zh-CN"/>
        </w:rPr>
        <w:t xml:space="preserve"> </w:t>
      </w:r>
      <w:r>
        <w:rPr>
          <w:rFonts w:hint="eastAsia" w:ascii="仿宋_GB2312" w:eastAsia="仿宋_GB2312"/>
          <w:sz w:val="32"/>
          <w:szCs w:val="32"/>
        </w:rPr>
        <w:t>北京市政府投资引导基金代表市政府作为基金出资人，负责基金市级政府出资的筹集和履行出资职责；定期对基金的政策目标、政策效果，管理情况及资产情况等进行考核评价。</w:t>
      </w:r>
    </w:p>
    <w:p>
      <w:pPr>
        <w:pStyle w:val="15"/>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eastAsia="zh-CN"/>
        </w:rPr>
        <w:t>第十条</w:t>
      </w:r>
      <w:r>
        <w:rPr>
          <w:rFonts w:hint="eastAsia" w:ascii="仿宋_GB2312" w:eastAsia="仿宋_GB2312"/>
          <w:sz w:val="32"/>
          <w:szCs w:val="32"/>
          <w:lang w:val="en-US" w:eastAsia="zh-CN"/>
        </w:rPr>
        <w:t xml:space="preserve"> </w:t>
      </w:r>
      <w:r>
        <w:rPr>
          <w:rFonts w:hint="eastAsia" w:ascii="仿宋_GB2312" w:eastAsia="仿宋_GB2312"/>
          <w:sz w:val="32"/>
          <w:szCs w:val="32"/>
        </w:rPr>
        <w:t>市知识产权局根据基金相关重要法律文件的约定对基金进行业务监管和考核，重点监督基金投资方向，一般不参与基金日常管理事务；配合市财政局做好基金绩效评价等工作。</w:t>
      </w:r>
    </w:p>
    <w:p>
      <w:pPr>
        <w:pStyle w:val="15"/>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eastAsia="zh-CN"/>
        </w:rPr>
        <w:t>第十一条</w:t>
      </w:r>
      <w:r>
        <w:rPr>
          <w:rFonts w:hint="eastAsia" w:ascii="仿宋_GB2312" w:eastAsia="仿宋_GB2312"/>
          <w:sz w:val="32"/>
          <w:szCs w:val="32"/>
          <w:lang w:val="en-US" w:eastAsia="zh-CN"/>
        </w:rPr>
        <w:t xml:space="preserve"> </w:t>
      </w:r>
      <w:r>
        <w:rPr>
          <w:rFonts w:hint="eastAsia" w:ascii="仿宋_GB2312" w:eastAsia="仿宋_GB2312"/>
          <w:sz w:val="32"/>
          <w:szCs w:val="32"/>
        </w:rPr>
        <w:t>基金代持机构根据委托代持管理协议，代为持有对基金的市级政府出资，参与基金内部治理，促进政策目标实现，保障出资权益；接受市政府相关部门的监督和考核评价；定期向市财政局、市知识产权局报送基金使用情况。</w:t>
      </w:r>
    </w:p>
    <w:p>
      <w:pPr>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第十二条</w:t>
      </w:r>
      <w:r>
        <w:rPr>
          <w:rFonts w:hint="eastAsia" w:ascii="仿宋_GB2312" w:eastAsia="仿宋_GB2312"/>
          <w:sz w:val="32"/>
          <w:szCs w:val="32"/>
          <w:lang w:val="en-US" w:eastAsia="zh-CN"/>
        </w:rPr>
        <w:t xml:space="preserve"> </w:t>
      </w:r>
      <w:r>
        <w:rPr>
          <w:rFonts w:hint="eastAsia" w:ascii="仿宋_GB2312" w:eastAsia="仿宋_GB2312"/>
          <w:sz w:val="32"/>
          <w:szCs w:val="32"/>
        </w:rPr>
        <w:t>基金管理机构负责政府投资基金的具体运作与管理，落实政府投资基金的政策目标，做好风险防范，接受市政府相关部门的监督管理和考核评价；对基金的运营情况进行统计分析和评价，定期向基金代持机构、市财政局、市知识产权局报送基金的运营情况及进展情况；按相关规定及法律文件规定的程序确定基金托管银行。</w:t>
      </w:r>
    </w:p>
    <w:p>
      <w:pPr>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第十三条</w:t>
      </w:r>
      <w:r>
        <w:rPr>
          <w:rFonts w:hint="eastAsia" w:ascii="仿宋_GB2312" w:eastAsia="仿宋_GB2312"/>
          <w:sz w:val="32"/>
          <w:szCs w:val="32"/>
          <w:lang w:val="en-US" w:eastAsia="zh-CN"/>
        </w:rPr>
        <w:t xml:space="preserve"> </w:t>
      </w:r>
      <w:r>
        <w:rPr>
          <w:rFonts w:hint="eastAsia" w:ascii="仿宋_GB2312" w:eastAsia="仿宋_GB2312"/>
          <w:sz w:val="32"/>
          <w:szCs w:val="32"/>
        </w:rPr>
        <w:t>托管银行在每季度结束后10日内向市财政局、市知识产权局、基金管理机构报送资金托管报告，并在每个会计年度结束后一个月内报送上一年度的基金托管报告</w:t>
      </w:r>
      <w:r>
        <w:rPr>
          <w:rFonts w:hint="eastAsia" w:ascii="仿宋_GB2312" w:eastAsia="仿宋_GB2312"/>
          <w:sz w:val="32"/>
          <w:szCs w:val="32"/>
          <w:lang w:eastAsia="zh-CN"/>
        </w:rPr>
        <w:t>；</w:t>
      </w:r>
      <w:r>
        <w:rPr>
          <w:rFonts w:hint="eastAsia" w:ascii="仿宋_GB2312" w:eastAsia="仿宋_GB2312"/>
          <w:sz w:val="32"/>
          <w:szCs w:val="32"/>
        </w:rPr>
        <w:t>随时报告基金资金出现的异常流动现象。</w:t>
      </w:r>
    </w:p>
    <w:p>
      <w:pPr>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第十四条</w:t>
      </w:r>
      <w:r>
        <w:rPr>
          <w:rFonts w:hint="eastAsia" w:ascii="仿宋_GB2312" w:eastAsia="仿宋_GB2312"/>
          <w:sz w:val="32"/>
          <w:szCs w:val="32"/>
          <w:lang w:val="en-US" w:eastAsia="zh-CN"/>
        </w:rPr>
        <w:t xml:space="preserve"> 基金代持机构和基金管理机构应妥善保管基金投资记录、会计凭证和年度财务会计报告及其他基金业务相关资料。基金会计凭证、年度财务会计报告等会计档案按照《会计档案管理办法》规定执行，投资记录及其他基金业务相关资料的保存期限自基金清算终止之日起不得少于 15年。基金代持机构应对基金单独记账核算。</w:t>
      </w:r>
    </w:p>
    <w:p>
      <w:pPr>
        <w:pStyle w:val="15"/>
        <w:keepLines w:val="0"/>
        <w:pageBreakBefore w:val="0"/>
        <w:widowControl w:val="0"/>
        <w:numPr>
          <w:ilvl w:val="0"/>
          <w:numId w:val="1"/>
        </w:numPr>
        <w:kinsoku/>
        <w:wordWrap/>
        <w:overflowPunct/>
        <w:topLinePunct w:val="0"/>
        <w:autoSpaceDE/>
        <w:autoSpaceDN/>
        <w:bidi w:val="0"/>
        <w:adjustRightInd/>
        <w:snapToGrid/>
        <w:spacing w:line="560" w:lineRule="exact"/>
        <w:ind w:firstLineChars="0"/>
        <w:jc w:val="center"/>
        <w:textAlignment w:val="auto"/>
        <w:rPr>
          <w:rFonts w:ascii="黑体" w:eastAsia="黑体"/>
          <w:sz w:val="32"/>
          <w:szCs w:val="32"/>
        </w:rPr>
      </w:pPr>
      <w:r>
        <w:rPr>
          <w:rFonts w:hint="eastAsia" w:ascii="黑体" w:eastAsia="黑体"/>
          <w:sz w:val="32"/>
          <w:szCs w:val="32"/>
        </w:rPr>
        <w:t>基金使用</w:t>
      </w:r>
    </w:p>
    <w:p>
      <w:pPr>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第十</w:t>
      </w:r>
      <w:r>
        <w:rPr>
          <w:rFonts w:hint="eastAsia" w:ascii="仿宋_GB2312" w:eastAsia="仿宋_GB2312"/>
          <w:sz w:val="32"/>
          <w:szCs w:val="32"/>
          <w:lang w:eastAsia="zh-CN"/>
        </w:rPr>
        <w:t>五</w:t>
      </w:r>
      <w:r>
        <w:rPr>
          <w:rFonts w:hint="eastAsia" w:ascii="仿宋_GB2312" w:eastAsia="仿宋_GB2312"/>
          <w:sz w:val="32"/>
          <w:szCs w:val="32"/>
        </w:rPr>
        <w:t>条</w:t>
      </w:r>
      <w:r>
        <w:rPr>
          <w:rFonts w:hint="eastAsia" w:ascii="仿宋_GB2312" w:eastAsia="仿宋_GB2312"/>
          <w:sz w:val="32"/>
          <w:szCs w:val="32"/>
          <w:lang w:val="en-US" w:eastAsia="zh-CN"/>
        </w:rPr>
        <w:t xml:space="preserve"> </w:t>
      </w:r>
      <w:r>
        <w:rPr>
          <w:rFonts w:hint="eastAsia" w:ascii="仿宋_GB2312" w:eastAsia="仿宋_GB2312"/>
          <w:sz w:val="32"/>
          <w:szCs w:val="32"/>
        </w:rPr>
        <w:t>按照“利益共享”、“风险共担”的原则，基金根据本办法第七条规定的产业领域方向，投资于现有的核心知识产权和具有行业前景与技术趋势的前沿技术，投资对象范围包括：</w:t>
      </w:r>
    </w:p>
    <w:p>
      <w:pPr>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（一）以知识产权为核心的无形资产；</w:t>
      </w:r>
    </w:p>
    <w:p>
      <w:pPr>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（二）拥有核心技术，以知识产权为核心资产的创新型企业；</w:t>
      </w:r>
    </w:p>
    <w:p>
      <w:pPr>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（三）符合投资条件的知识产权运营服务机构或者细分领域的知识产权运营基金。</w:t>
      </w:r>
    </w:p>
    <w:p>
      <w:pPr>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第十</w:t>
      </w:r>
      <w:r>
        <w:rPr>
          <w:rFonts w:hint="eastAsia" w:ascii="仿宋_GB2312" w:eastAsia="仿宋_GB2312"/>
          <w:sz w:val="32"/>
          <w:szCs w:val="32"/>
          <w:lang w:eastAsia="zh-CN"/>
        </w:rPr>
        <w:t>六</w:t>
      </w:r>
      <w:r>
        <w:rPr>
          <w:rFonts w:hint="eastAsia" w:ascii="仿宋_GB2312" w:eastAsia="仿宋_GB2312"/>
          <w:sz w:val="32"/>
          <w:szCs w:val="32"/>
        </w:rPr>
        <w:t>条</w:t>
      </w:r>
      <w:r>
        <w:rPr>
          <w:rFonts w:hint="eastAsia" w:ascii="仿宋_GB2312" w:eastAsia="仿宋_GB2312"/>
          <w:sz w:val="32"/>
          <w:szCs w:val="32"/>
          <w:lang w:val="en-US" w:eastAsia="zh-CN"/>
        </w:rPr>
        <w:t xml:space="preserve"> </w:t>
      </w:r>
      <w:r>
        <w:rPr>
          <w:rFonts w:hint="eastAsia" w:ascii="仿宋_GB2312" w:eastAsia="仿宋_GB2312"/>
          <w:sz w:val="32"/>
          <w:szCs w:val="32"/>
        </w:rPr>
        <w:t>基金对单个项目或企业的投资原则上不超过被投资项目或企业总股本的30%，且不超过基金认缴出资总额的20%。</w:t>
      </w:r>
    </w:p>
    <w:p>
      <w:pPr>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第十</w:t>
      </w:r>
      <w:r>
        <w:rPr>
          <w:rFonts w:hint="eastAsia" w:ascii="仿宋_GB2312" w:eastAsia="仿宋_GB2312"/>
          <w:sz w:val="32"/>
          <w:szCs w:val="32"/>
          <w:lang w:eastAsia="zh-CN"/>
        </w:rPr>
        <w:t>七</w:t>
      </w:r>
      <w:r>
        <w:rPr>
          <w:rFonts w:hint="eastAsia" w:ascii="仿宋_GB2312" w:eastAsia="仿宋_GB2312"/>
          <w:sz w:val="32"/>
          <w:szCs w:val="32"/>
        </w:rPr>
        <w:t>条</w:t>
      </w:r>
      <w:r>
        <w:rPr>
          <w:rFonts w:hint="eastAsia" w:ascii="仿宋_GB2312" w:eastAsia="仿宋_GB2312"/>
          <w:sz w:val="32"/>
          <w:szCs w:val="32"/>
          <w:lang w:val="en-US" w:eastAsia="zh-CN"/>
        </w:rPr>
        <w:t xml:space="preserve"> </w:t>
      </w:r>
      <w:r>
        <w:rPr>
          <w:rFonts w:hint="eastAsia" w:ascii="仿宋_GB2312" w:eastAsia="仿宋_GB2312"/>
          <w:sz w:val="32"/>
          <w:szCs w:val="32"/>
        </w:rPr>
        <w:t>基金不得从事以下业务：</w:t>
      </w:r>
    </w:p>
    <w:p>
      <w:pPr>
        <w:pStyle w:val="15"/>
        <w:keepLines w:val="0"/>
        <w:pageBreakBefore w:val="0"/>
        <w:widowControl w:val="0"/>
        <w:numPr>
          <w:ilvl w:val="0"/>
          <w:numId w:val="2"/>
        </w:numPr>
        <w:kinsoku/>
        <w:wordWrap/>
        <w:overflowPunct/>
        <w:topLinePunct w:val="0"/>
        <w:autoSpaceDE/>
        <w:autoSpaceDN/>
        <w:bidi w:val="0"/>
        <w:adjustRightInd/>
        <w:snapToGrid/>
        <w:spacing w:line="560" w:lineRule="exact"/>
        <w:ind w:left="0" w:firstLine="640"/>
        <w:jc w:val="both"/>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从事融资担保以外的担保、抵押、委托贷款等业务；</w:t>
      </w:r>
    </w:p>
    <w:p>
      <w:pPr>
        <w:pStyle w:val="15"/>
        <w:keepLines w:val="0"/>
        <w:pageBreakBefore w:val="0"/>
        <w:widowControl w:val="0"/>
        <w:numPr>
          <w:ilvl w:val="0"/>
          <w:numId w:val="2"/>
        </w:numPr>
        <w:kinsoku/>
        <w:wordWrap/>
        <w:overflowPunct/>
        <w:topLinePunct w:val="0"/>
        <w:autoSpaceDE/>
        <w:autoSpaceDN/>
        <w:bidi w:val="0"/>
        <w:adjustRightInd/>
        <w:snapToGrid/>
        <w:spacing w:line="560" w:lineRule="exact"/>
        <w:ind w:left="0" w:firstLine="640"/>
        <w:jc w:val="both"/>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投资二级市场股票、期货、房地产、证券投资基金、评级AAA以下的企业债、信托产品、非保本型理财产品、保险计划及其他金融衍生品；</w:t>
      </w:r>
    </w:p>
    <w:p>
      <w:pPr>
        <w:pStyle w:val="15"/>
        <w:keepLines w:val="0"/>
        <w:pageBreakBefore w:val="0"/>
        <w:widowControl w:val="0"/>
        <w:numPr>
          <w:ilvl w:val="0"/>
          <w:numId w:val="2"/>
        </w:numPr>
        <w:kinsoku/>
        <w:wordWrap/>
        <w:overflowPunct/>
        <w:topLinePunct w:val="0"/>
        <w:autoSpaceDE/>
        <w:autoSpaceDN/>
        <w:bidi w:val="0"/>
        <w:adjustRightInd/>
        <w:snapToGrid/>
        <w:spacing w:line="560" w:lineRule="exact"/>
        <w:ind w:left="0" w:firstLine="640"/>
        <w:jc w:val="both"/>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向任何第三方提供赞助、捐赠</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rPr>
        <w:t>经批准的公益性捐赠除外</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rPr>
        <w:t>；</w:t>
      </w:r>
    </w:p>
    <w:p>
      <w:pPr>
        <w:pStyle w:val="15"/>
        <w:keepLines w:val="0"/>
        <w:pageBreakBefore w:val="0"/>
        <w:widowControl w:val="0"/>
        <w:numPr>
          <w:ilvl w:val="0"/>
          <w:numId w:val="2"/>
        </w:numPr>
        <w:kinsoku/>
        <w:wordWrap/>
        <w:overflowPunct/>
        <w:topLinePunct w:val="0"/>
        <w:autoSpaceDE/>
        <w:autoSpaceDN/>
        <w:bidi w:val="0"/>
        <w:adjustRightInd/>
        <w:snapToGrid/>
        <w:spacing w:line="560" w:lineRule="exact"/>
        <w:ind w:left="0" w:firstLine="640"/>
        <w:jc w:val="both"/>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吸收或变相吸收存款，或向第三方提供贷款和资金拆借；</w:t>
      </w:r>
    </w:p>
    <w:p>
      <w:pPr>
        <w:pStyle w:val="15"/>
        <w:keepLines w:val="0"/>
        <w:pageBreakBefore w:val="0"/>
        <w:widowControl w:val="0"/>
        <w:numPr>
          <w:ilvl w:val="0"/>
          <w:numId w:val="2"/>
        </w:numPr>
        <w:kinsoku/>
        <w:wordWrap/>
        <w:overflowPunct/>
        <w:topLinePunct w:val="0"/>
        <w:autoSpaceDE/>
        <w:autoSpaceDN/>
        <w:bidi w:val="0"/>
        <w:adjustRightInd/>
        <w:snapToGrid/>
        <w:spacing w:line="560" w:lineRule="exact"/>
        <w:ind w:left="0" w:firstLine="640"/>
        <w:jc w:val="both"/>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进行承担无限连带责任的对外投资；</w:t>
      </w:r>
    </w:p>
    <w:p>
      <w:pPr>
        <w:pStyle w:val="15"/>
        <w:keepLines w:val="0"/>
        <w:pageBreakBefore w:val="0"/>
        <w:widowControl w:val="0"/>
        <w:numPr>
          <w:ilvl w:val="0"/>
          <w:numId w:val="2"/>
        </w:numPr>
        <w:kinsoku/>
        <w:wordWrap/>
        <w:overflowPunct/>
        <w:topLinePunct w:val="0"/>
        <w:autoSpaceDE/>
        <w:autoSpaceDN/>
        <w:bidi w:val="0"/>
        <w:adjustRightInd/>
        <w:snapToGrid/>
        <w:spacing w:line="560" w:lineRule="exact"/>
        <w:ind w:left="0" w:firstLine="640"/>
        <w:jc w:val="both"/>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发行信托或集合理财产品募集资金；</w:t>
      </w:r>
    </w:p>
    <w:p>
      <w:pPr>
        <w:pStyle w:val="15"/>
        <w:keepLines w:val="0"/>
        <w:pageBreakBefore w:val="0"/>
        <w:widowControl w:val="0"/>
        <w:numPr>
          <w:ilvl w:val="0"/>
          <w:numId w:val="2"/>
        </w:numPr>
        <w:kinsoku/>
        <w:wordWrap/>
        <w:overflowPunct/>
        <w:topLinePunct w:val="0"/>
        <w:autoSpaceDE/>
        <w:autoSpaceDN/>
        <w:bidi w:val="0"/>
        <w:adjustRightInd/>
        <w:snapToGrid/>
        <w:spacing w:line="560" w:lineRule="exact"/>
        <w:ind w:left="0" w:firstLine="640"/>
        <w:jc w:val="both"/>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投资本市产业政策禁止或限制类行业；</w:t>
      </w:r>
    </w:p>
    <w:p>
      <w:pPr>
        <w:pStyle w:val="15"/>
        <w:keepLines w:val="0"/>
        <w:pageBreakBefore w:val="0"/>
        <w:widowControl w:val="0"/>
        <w:numPr>
          <w:ilvl w:val="0"/>
          <w:numId w:val="2"/>
        </w:numPr>
        <w:kinsoku/>
        <w:wordWrap/>
        <w:overflowPunct/>
        <w:topLinePunct w:val="0"/>
        <w:autoSpaceDE/>
        <w:autoSpaceDN/>
        <w:bidi w:val="0"/>
        <w:adjustRightInd/>
        <w:snapToGrid/>
        <w:spacing w:line="560" w:lineRule="exact"/>
        <w:ind w:left="0" w:firstLine="640"/>
        <w:jc w:val="both"/>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国家法律法规禁止从事的其他业务。</w:t>
      </w:r>
    </w:p>
    <w:p>
      <w:pPr>
        <w:pStyle w:val="15"/>
        <w:keepNext/>
        <w:keepLines w:val="0"/>
        <w:pageBreakBefore w:val="0"/>
        <w:widowControl w:val="0"/>
        <w:numPr>
          <w:ilvl w:val="0"/>
          <w:numId w:val="1"/>
        </w:numPr>
        <w:kinsoku/>
        <w:wordWrap/>
        <w:overflowPunct/>
        <w:topLinePunct w:val="0"/>
        <w:autoSpaceDE/>
        <w:autoSpaceDN/>
        <w:bidi w:val="0"/>
        <w:adjustRightInd/>
        <w:snapToGrid/>
        <w:spacing w:line="560" w:lineRule="exact"/>
        <w:ind w:firstLineChars="0"/>
        <w:jc w:val="center"/>
        <w:textAlignment w:val="auto"/>
        <w:rPr>
          <w:rFonts w:ascii="黑体" w:eastAsia="黑体"/>
          <w:sz w:val="32"/>
          <w:szCs w:val="32"/>
        </w:rPr>
      </w:pPr>
      <w:r>
        <w:rPr>
          <w:rFonts w:hint="eastAsia" w:ascii="黑体" w:eastAsia="黑体"/>
          <w:sz w:val="32"/>
          <w:szCs w:val="32"/>
        </w:rPr>
        <w:t>风险控制</w:t>
      </w:r>
    </w:p>
    <w:p>
      <w:pPr>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第十</w:t>
      </w:r>
      <w:r>
        <w:rPr>
          <w:rFonts w:hint="eastAsia" w:ascii="仿宋_GB2312" w:eastAsia="仿宋_GB2312"/>
          <w:sz w:val="32"/>
          <w:szCs w:val="32"/>
          <w:lang w:eastAsia="zh-CN"/>
        </w:rPr>
        <w:t>八</w:t>
      </w:r>
      <w:r>
        <w:rPr>
          <w:rFonts w:hint="eastAsia" w:ascii="仿宋_GB2312" w:eastAsia="仿宋_GB2312"/>
          <w:sz w:val="32"/>
          <w:szCs w:val="32"/>
        </w:rPr>
        <w:t>条</w:t>
      </w:r>
      <w:r>
        <w:rPr>
          <w:rFonts w:hint="eastAsia" w:ascii="仿宋_GB2312" w:eastAsia="仿宋_GB2312"/>
          <w:sz w:val="32"/>
          <w:szCs w:val="32"/>
          <w:lang w:val="en-US" w:eastAsia="zh-CN"/>
        </w:rPr>
        <w:t xml:space="preserve"> </w:t>
      </w:r>
      <w:r>
        <w:rPr>
          <w:rFonts w:hint="eastAsia" w:ascii="仿宋_GB2312" w:eastAsia="仿宋_GB2312"/>
          <w:sz w:val="32"/>
          <w:szCs w:val="32"/>
        </w:rPr>
        <w:t>基金及其管理机构应当建立完善的财产分离制度，基金财产与管理机构财产之间、不同子基金财产之间、基金财产和其他财产之间要实行独立运作，分别核算。</w:t>
      </w:r>
    </w:p>
    <w:p>
      <w:pPr>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第十</w:t>
      </w:r>
      <w:r>
        <w:rPr>
          <w:rFonts w:hint="eastAsia" w:ascii="仿宋_GB2312" w:eastAsia="仿宋_GB2312"/>
          <w:sz w:val="32"/>
          <w:szCs w:val="32"/>
          <w:lang w:eastAsia="zh-CN"/>
        </w:rPr>
        <w:t>九</w:t>
      </w:r>
      <w:r>
        <w:rPr>
          <w:rFonts w:hint="eastAsia" w:ascii="仿宋_GB2312" w:eastAsia="仿宋_GB2312"/>
          <w:sz w:val="32"/>
          <w:szCs w:val="32"/>
        </w:rPr>
        <w:t>条</w:t>
      </w:r>
      <w:r>
        <w:rPr>
          <w:rFonts w:hint="eastAsia" w:ascii="仿宋_GB2312" w:eastAsia="仿宋_GB2312"/>
          <w:sz w:val="32"/>
          <w:szCs w:val="32"/>
          <w:lang w:val="en-US" w:eastAsia="zh-CN"/>
        </w:rPr>
        <w:t xml:space="preserve"> </w:t>
      </w:r>
      <w:r>
        <w:rPr>
          <w:rFonts w:hint="eastAsia" w:ascii="仿宋_GB2312" w:eastAsia="仿宋_GB2312"/>
          <w:sz w:val="32"/>
          <w:szCs w:val="32"/>
        </w:rPr>
        <w:t>代持机构有下列情形之一的，市财政局有权撤销代持机构的政府资金受托管理资格：</w:t>
      </w:r>
    </w:p>
    <w:p>
      <w:pPr>
        <w:pStyle w:val="15"/>
        <w:keepLines w:val="0"/>
        <w:pageBreakBefore w:val="0"/>
        <w:widowControl w:val="0"/>
        <w:numPr>
          <w:ilvl w:val="0"/>
          <w:numId w:val="3"/>
        </w:numPr>
        <w:kinsoku/>
        <w:wordWrap/>
        <w:overflowPunct/>
        <w:topLinePunct w:val="0"/>
        <w:autoSpaceDE/>
        <w:autoSpaceDN/>
        <w:bidi w:val="0"/>
        <w:adjustRightInd/>
        <w:snapToGrid/>
        <w:spacing w:line="560" w:lineRule="exact"/>
        <w:ind w:left="0" w:firstLine="640"/>
        <w:jc w:val="both"/>
        <w:textAlignment w:val="auto"/>
        <w:rPr>
          <w:rFonts w:ascii="仿宋_GB2312" w:hAnsi="Calibri" w:eastAsia="仿宋_GB2312" w:cs="Times New Roman"/>
          <w:sz w:val="32"/>
          <w:szCs w:val="32"/>
        </w:rPr>
      </w:pPr>
      <w:r>
        <w:rPr>
          <w:rFonts w:hint="eastAsia" w:ascii="仿宋_GB2312" w:eastAsia="仿宋_GB2312"/>
          <w:sz w:val="32"/>
          <w:szCs w:val="32"/>
        </w:rPr>
        <w:t>代持机构</w:t>
      </w:r>
      <w:r>
        <w:rPr>
          <w:rFonts w:hint="eastAsia" w:ascii="仿宋_GB2312" w:hAnsi="Calibri" w:eastAsia="仿宋_GB2312" w:cs="Times New Roman"/>
          <w:sz w:val="32"/>
          <w:szCs w:val="32"/>
        </w:rPr>
        <w:t>解散、依法被撤销、破产或者由接管人接管其资产。</w:t>
      </w:r>
    </w:p>
    <w:p>
      <w:pPr>
        <w:pStyle w:val="15"/>
        <w:keepLines w:val="0"/>
        <w:pageBreakBefore w:val="0"/>
        <w:widowControl w:val="0"/>
        <w:numPr>
          <w:ilvl w:val="0"/>
          <w:numId w:val="3"/>
        </w:numPr>
        <w:kinsoku/>
        <w:wordWrap/>
        <w:overflowPunct/>
        <w:topLinePunct w:val="0"/>
        <w:autoSpaceDE/>
        <w:autoSpaceDN/>
        <w:bidi w:val="0"/>
        <w:adjustRightInd/>
        <w:snapToGrid/>
        <w:spacing w:line="560" w:lineRule="exact"/>
        <w:ind w:left="0" w:firstLine="640"/>
        <w:jc w:val="both"/>
        <w:textAlignment w:val="auto"/>
        <w:rPr>
          <w:rFonts w:ascii="仿宋_GB2312" w:hAnsi="Calibri" w:eastAsia="仿宋_GB2312" w:cs="Times New Roman"/>
          <w:sz w:val="32"/>
          <w:szCs w:val="32"/>
        </w:rPr>
      </w:pPr>
      <w:r>
        <w:rPr>
          <w:rFonts w:hint="eastAsia" w:ascii="仿宋_GB2312" w:eastAsia="仿宋_GB2312"/>
          <w:sz w:val="32"/>
          <w:szCs w:val="32"/>
        </w:rPr>
        <w:t>代持机构</w:t>
      </w:r>
      <w:r>
        <w:rPr>
          <w:rFonts w:hint="eastAsia" w:ascii="仿宋_GB2312" w:hAnsi="Calibri" w:eastAsia="仿宋_GB2312" w:cs="Times New Roman"/>
          <w:sz w:val="32"/>
          <w:szCs w:val="32"/>
        </w:rPr>
        <w:t>营私舞弊，违规操作，不履行委托协议的，或者严重失职，造成基金投资经营不善或重大损失。</w:t>
      </w:r>
    </w:p>
    <w:p>
      <w:pPr>
        <w:pStyle w:val="15"/>
        <w:keepLines w:val="0"/>
        <w:pageBreakBefore w:val="0"/>
        <w:widowControl w:val="0"/>
        <w:numPr>
          <w:ilvl w:val="0"/>
          <w:numId w:val="3"/>
        </w:numPr>
        <w:kinsoku/>
        <w:wordWrap/>
        <w:overflowPunct/>
        <w:topLinePunct w:val="0"/>
        <w:autoSpaceDE/>
        <w:autoSpaceDN/>
        <w:bidi w:val="0"/>
        <w:adjustRightInd/>
        <w:snapToGrid/>
        <w:spacing w:line="560" w:lineRule="exact"/>
        <w:ind w:left="0" w:firstLine="640"/>
        <w:jc w:val="both"/>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基金投资项目连续三年出现损失，且</w:t>
      </w:r>
      <w:r>
        <w:rPr>
          <w:rFonts w:hint="eastAsia" w:ascii="仿宋_GB2312" w:eastAsia="仿宋_GB2312"/>
          <w:sz w:val="32"/>
          <w:szCs w:val="32"/>
        </w:rPr>
        <w:t>市财政局</w:t>
      </w:r>
      <w:r>
        <w:rPr>
          <w:rFonts w:hint="eastAsia" w:ascii="仿宋_GB2312" w:hAnsi="Calibri" w:eastAsia="仿宋_GB2312" w:cs="Times New Roman"/>
          <w:sz w:val="32"/>
          <w:szCs w:val="32"/>
        </w:rPr>
        <w:t>不予认可的。</w:t>
      </w:r>
    </w:p>
    <w:p>
      <w:pPr>
        <w:pStyle w:val="15"/>
        <w:keepLines w:val="0"/>
        <w:pageBreakBefore w:val="0"/>
        <w:widowControl w:val="0"/>
        <w:numPr>
          <w:ilvl w:val="0"/>
          <w:numId w:val="3"/>
        </w:numPr>
        <w:kinsoku/>
        <w:wordWrap/>
        <w:overflowPunct/>
        <w:topLinePunct w:val="0"/>
        <w:autoSpaceDE/>
        <w:autoSpaceDN/>
        <w:bidi w:val="0"/>
        <w:adjustRightInd/>
        <w:snapToGrid/>
        <w:spacing w:line="560" w:lineRule="exact"/>
        <w:ind w:left="0" w:firstLine="640"/>
        <w:jc w:val="both"/>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在市财政局和市知识产权局开展的代持机构绩效考核评价工作中考核成绩不合格的。</w:t>
      </w:r>
    </w:p>
    <w:p>
      <w:pPr>
        <w:pStyle w:val="15"/>
        <w:keepLines w:val="0"/>
        <w:pageBreakBefore w:val="0"/>
        <w:widowControl w:val="0"/>
        <w:numPr>
          <w:ilvl w:val="0"/>
          <w:numId w:val="3"/>
        </w:numPr>
        <w:kinsoku/>
        <w:wordWrap/>
        <w:overflowPunct/>
        <w:topLinePunct w:val="0"/>
        <w:autoSpaceDE/>
        <w:autoSpaceDN/>
        <w:bidi w:val="0"/>
        <w:adjustRightInd/>
        <w:snapToGrid/>
        <w:spacing w:line="560" w:lineRule="exact"/>
        <w:ind w:left="0" w:firstLine="640"/>
        <w:jc w:val="both"/>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其他不利于基金投资运营管理的情形。</w:t>
      </w:r>
    </w:p>
    <w:p>
      <w:pPr>
        <w:pStyle w:val="15"/>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rPr>
        <w:t>第</w:t>
      </w:r>
      <w:r>
        <w:rPr>
          <w:rFonts w:hint="eastAsia" w:ascii="仿宋_GB2312" w:hAnsi="Calibri" w:eastAsia="仿宋_GB2312" w:cs="Times New Roman"/>
          <w:sz w:val="32"/>
          <w:szCs w:val="32"/>
          <w:lang w:eastAsia="zh-CN"/>
        </w:rPr>
        <w:t>二</w:t>
      </w:r>
      <w:r>
        <w:rPr>
          <w:rFonts w:hint="eastAsia" w:ascii="仿宋_GB2312" w:hAnsi="Calibri" w:eastAsia="仿宋_GB2312" w:cs="Times New Roman"/>
          <w:sz w:val="32"/>
          <w:szCs w:val="32"/>
        </w:rPr>
        <w:t>十条</w:t>
      </w:r>
      <w:r>
        <w:rPr>
          <w:rFonts w:hint="eastAsia" w:ascii="仿宋_GB2312" w:hAnsi="Calibri" w:eastAsia="仿宋_GB2312" w:cs="Times New Roman"/>
          <w:sz w:val="32"/>
          <w:szCs w:val="32"/>
          <w:lang w:val="en-US" w:eastAsia="zh-CN"/>
        </w:rPr>
        <w:t xml:space="preserve"> </w:t>
      </w:r>
      <w:r>
        <w:rPr>
          <w:rFonts w:hint="eastAsia" w:ascii="仿宋_GB2312" w:hAnsi="Calibri" w:eastAsia="仿宋_GB2312" w:cs="Times New Roman"/>
          <w:sz w:val="32"/>
          <w:szCs w:val="32"/>
        </w:rPr>
        <w:t>基金管理机构应当遵照国家及北京市有关财政预算和财务管理制度等规定，建立健全内部控制和外部监管制度，建立投资决策和风险约束机制，加强对投资项目的风险管理，切实防范基金运作过程中可能出现的风险。按照市知识产权局业务监管制度，定期汇报基金运作进展，一旦发现可能给基金投资造成损失的重大变化,应及时向市知识产权局汇报，并采取必要措施。</w:t>
      </w:r>
    </w:p>
    <w:p>
      <w:pPr>
        <w:pStyle w:val="15"/>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rPr>
        <w:t>第二十</w:t>
      </w:r>
      <w:r>
        <w:rPr>
          <w:rFonts w:hint="eastAsia" w:ascii="仿宋_GB2312" w:hAnsi="Calibri" w:eastAsia="仿宋_GB2312" w:cs="Times New Roman"/>
          <w:sz w:val="32"/>
          <w:szCs w:val="32"/>
          <w:lang w:eastAsia="zh-CN"/>
        </w:rPr>
        <w:t>一</w:t>
      </w:r>
      <w:r>
        <w:rPr>
          <w:rFonts w:hint="eastAsia" w:ascii="仿宋_GB2312" w:hAnsi="Calibri" w:eastAsia="仿宋_GB2312" w:cs="Times New Roman"/>
          <w:sz w:val="32"/>
          <w:szCs w:val="32"/>
        </w:rPr>
        <w:t>条</w:t>
      </w:r>
      <w:r>
        <w:rPr>
          <w:rFonts w:hint="eastAsia" w:ascii="仿宋_GB2312" w:hAnsi="Calibri" w:eastAsia="仿宋_GB2312" w:cs="Times New Roman"/>
          <w:sz w:val="32"/>
          <w:szCs w:val="32"/>
          <w:lang w:val="en-US" w:eastAsia="zh-CN"/>
        </w:rPr>
        <w:t xml:space="preserve"> </w:t>
      </w:r>
      <w:r>
        <w:rPr>
          <w:rFonts w:hint="eastAsia" w:ascii="仿宋_GB2312" w:hAnsi="Calibri" w:eastAsia="仿宋_GB2312" w:cs="Times New Roman"/>
          <w:sz w:val="32"/>
          <w:szCs w:val="32"/>
        </w:rPr>
        <w:t>市财政局通过建立基金定期报告制度、基金绩效评价制度、基金信息登记制度等加强对基金的有效监管。基金应当按照市财政局和市知识产权局制定的报告制度报告有关事项，接受财政、审计部门对基金运行情况的监督、审计，按照预算管理制度的要求公开基金的有关信息，实现基金运作的规范化、透明化。</w:t>
      </w:r>
    </w:p>
    <w:p>
      <w:pPr>
        <w:pStyle w:val="15"/>
        <w:keepLines w:val="0"/>
        <w:pageBreakBefore w:val="0"/>
        <w:widowControl w:val="0"/>
        <w:numPr>
          <w:ilvl w:val="0"/>
          <w:numId w:val="1"/>
        </w:numPr>
        <w:kinsoku/>
        <w:wordWrap/>
        <w:overflowPunct/>
        <w:topLinePunct w:val="0"/>
        <w:autoSpaceDE/>
        <w:autoSpaceDN/>
        <w:bidi w:val="0"/>
        <w:adjustRightInd/>
        <w:snapToGrid/>
        <w:spacing w:line="560" w:lineRule="exact"/>
        <w:ind w:firstLineChars="0"/>
        <w:jc w:val="center"/>
        <w:textAlignment w:val="auto"/>
        <w:rPr>
          <w:rFonts w:ascii="黑体" w:eastAsia="黑体"/>
          <w:sz w:val="32"/>
          <w:szCs w:val="32"/>
        </w:rPr>
      </w:pPr>
      <w:r>
        <w:rPr>
          <w:rFonts w:hint="eastAsia" w:ascii="黑体" w:eastAsia="黑体"/>
          <w:sz w:val="32"/>
          <w:szCs w:val="32"/>
        </w:rPr>
        <w:t>基金的管理费和收益</w:t>
      </w:r>
    </w:p>
    <w:p>
      <w:pPr>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val="en" w:eastAsia="zh-CN"/>
        </w:rPr>
      </w:pPr>
      <w:r>
        <w:rPr>
          <w:rFonts w:hint="eastAsia" w:ascii="仿宋_GB2312" w:eastAsia="仿宋_GB2312"/>
          <w:sz w:val="32"/>
          <w:szCs w:val="32"/>
        </w:rPr>
        <w:t>第二十</w:t>
      </w:r>
      <w:r>
        <w:rPr>
          <w:rFonts w:hint="eastAsia" w:ascii="仿宋_GB2312" w:eastAsia="仿宋_GB2312"/>
          <w:sz w:val="32"/>
          <w:szCs w:val="32"/>
          <w:lang w:eastAsia="zh-CN"/>
        </w:rPr>
        <w:t>二</w:t>
      </w:r>
      <w:r>
        <w:rPr>
          <w:rFonts w:hint="eastAsia" w:ascii="仿宋_GB2312" w:eastAsia="仿宋_GB2312"/>
          <w:sz w:val="32"/>
          <w:szCs w:val="32"/>
        </w:rPr>
        <w:t>条</w:t>
      </w:r>
      <w:r>
        <w:rPr>
          <w:rFonts w:hint="eastAsia" w:ascii="仿宋_GB2312" w:eastAsia="仿宋_GB2312"/>
          <w:sz w:val="32"/>
          <w:szCs w:val="32"/>
          <w:lang w:val="en-US" w:eastAsia="zh-CN"/>
        </w:rPr>
        <w:t xml:space="preserve"> </w:t>
      </w:r>
      <w:r>
        <w:rPr>
          <w:rFonts w:hint="eastAsia" w:ascii="仿宋_GB2312" w:eastAsia="仿宋_GB2312"/>
          <w:sz w:val="32"/>
          <w:szCs w:val="32"/>
        </w:rPr>
        <w:t>基金管理费用从基金中列支，用于基金日常管理和聘请相关中介机构等工作。</w:t>
      </w:r>
      <w:r>
        <w:rPr>
          <w:rFonts w:hint="eastAsia" w:ascii="仿宋_GB2312" w:eastAsia="仿宋_GB2312"/>
          <w:sz w:val="32"/>
          <w:szCs w:val="32"/>
          <w:lang w:eastAsia="zh-CN"/>
        </w:rPr>
        <w:t>基金中市财政出资部分的管理费采取按比例计提、一次性清算方式执行，并应符合以下要求：</w:t>
      </w:r>
    </w:p>
    <w:p>
      <w:pPr>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（一）若政府投资基金采取直接投资方式，管理费用不超过基金</w:t>
      </w:r>
      <w:r>
        <w:rPr>
          <w:rFonts w:hint="eastAsia" w:ascii="仿宋_GB2312" w:eastAsia="仿宋_GB2312"/>
          <w:sz w:val="32"/>
          <w:szCs w:val="32"/>
          <w:lang w:eastAsia="zh-CN"/>
        </w:rPr>
        <w:t>实际投出本金</w:t>
      </w:r>
      <w:r>
        <w:rPr>
          <w:rFonts w:hint="eastAsia" w:ascii="仿宋_GB2312" w:eastAsia="仿宋_GB2312"/>
          <w:sz w:val="32"/>
          <w:szCs w:val="32"/>
        </w:rPr>
        <w:t>的</w:t>
      </w:r>
      <w:r>
        <w:rPr>
          <w:rFonts w:hint="eastAsia" w:ascii="仿宋_GB2312" w:eastAsia="仿宋_GB2312"/>
          <w:sz w:val="32"/>
          <w:szCs w:val="32"/>
          <w:lang w:val="en-US" w:eastAsia="zh-CN"/>
        </w:rPr>
        <w:t>1.5</w:t>
      </w:r>
      <w:r>
        <w:rPr>
          <w:rFonts w:hint="eastAsia" w:ascii="仿宋_GB2312" w:eastAsia="仿宋_GB2312"/>
          <w:sz w:val="32"/>
          <w:szCs w:val="32"/>
        </w:rPr>
        <w:t>%</w:t>
      </w:r>
      <w:r>
        <w:rPr>
          <w:rFonts w:hint="eastAsia" w:ascii="仿宋_GB2312" w:eastAsia="仿宋_GB2312"/>
          <w:sz w:val="32"/>
          <w:szCs w:val="32"/>
          <w:lang w:val="en-US" w:eastAsia="zh-CN"/>
        </w:rPr>
        <w:t>/年</w:t>
      </w:r>
      <w:r>
        <w:rPr>
          <w:rFonts w:hint="eastAsia" w:ascii="仿宋_GB2312" w:eastAsia="仿宋_GB2312"/>
          <w:sz w:val="32"/>
          <w:szCs w:val="32"/>
        </w:rPr>
        <w:t>；</w:t>
      </w:r>
    </w:p>
    <w:p>
      <w:pPr>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（二）若政府投资基金采取母子基金方式，母基金管理费用不超过基金</w:t>
      </w:r>
      <w:r>
        <w:rPr>
          <w:rFonts w:hint="eastAsia" w:ascii="仿宋_GB2312" w:eastAsia="仿宋_GB2312"/>
          <w:sz w:val="32"/>
          <w:szCs w:val="32"/>
          <w:lang w:eastAsia="zh-CN"/>
        </w:rPr>
        <w:t>实际投出本金的</w:t>
      </w:r>
      <w:r>
        <w:rPr>
          <w:rFonts w:hint="eastAsia" w:ascii="仿宋_GB2312" w:eastAsia="仿宋_GB2312"/>
          <w:sz w:val="32"/>
          <w:szCs w:val="32"/>
        </w:rPr>
        <w:t>0.5%</w:t>
      </w:r>
      <w:r>
        <w:rPr>
          <w:rFonts w:hint="eastAsia" w:ascii="仿宋_GB2312" w:eastAsia="仿宋_GB2312"/>
          <w:sz w:val="32"/>
          <w:szCs w:val="32"/>
          <w:lang w:val="en-US" w:eastAsia="zh-CN"/>
        </w:rPr>
        <w:t>/年</w:t>
      </w:r>
      <w:r>
        <w:rPr>
          <w:rFonts w:hint="eastAsia" w:ascii="仿宋_GB2312" w:eastAsia="仿宋_GB2312"/>
          <w:sz w:val="32"/>
          <w:szCs w:val="32"/>
        </w:rPr>
        <w:t>；子基金管理费用不超过基金</w:t>
      </w:r>
      <w:r>
        <w:rPr>
          <w:rFonts w:hint="eastAsia" w:ascii="仿宋_GB2312" w:eastAsia="仿宋_GB2312"/>
          <w:sz w:val="32"/>
          <w:szCs w:val="32"/>
          <w:lang w:eastAsia="zh-CN"/>
        </w:rPr>
        <w:t>实际投出本金的</w:t>
      </w:r>
      <w:r>
        <w:rPr>
          <w:rFonts w:hint="eastAsia" w:ascii="仿宋_GB2312" w:eastAsia="仿宋_GB2312"/>
          <w:sz w:val="32"/>
          <w:szCs w:val="32"/>
        </w:rPr>
        <w:t>2%</w:t>
      </w:r>
      <w:r>
        <w:rPr>
          <w:rFonts w:hint="eastAsia" w:ascii="仿宋_GB2312" w:eastAsia="仿宋_GB2312"/>
          <w:sz w:val="32"/>
          <w:szCs w:val="32"/>
          <w:lang w:val="en-US" w:eastAsia="zh-CN"/>
        </w:rPr>
        <w:t>/年</w:t>
      </w:r>
      <w:r>
        <w:rPr>
          <w:rFonts w:hint="eastAsia" w:ascii="仿宋_GB2312" w:eastAsia="仿宋_GB2312"/>
          <w:sz w:val="32"/>
          <w:szCs w:val="32"/>
        </w:rPr>
        <w:t>。</w:t>
      </w:r>
    </w:p>
    <w:p>
      <w:pPr>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（三）从项目或子基金中退出的本金，不再计提管理费用。</w:t>
      </w:r>
    </w:p>
    <w:p>
      <w:pPr>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（四）政府投资基金超出初始存续期后，不再支付管理费用。</w:t>
      </w:r>
    </w:p>
    <w:p>
      <w:pPr>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sz w:val="32"/>
          <w:szCs w:val="32"/>
          <w:highlight w:val="none"/>
          <w:lang w:eastAsia="zh-CN"/>
        </w:rPr>
      </w:pPr>
      <w:r>
        <w:rPr>
          <w:rFonts w:hint="eastAsia" w:ascii="仿宋_GB2312" w:eastAsia="仿宋_GB2312"/>
          <w:sz w:val="32"/>
          <w:szCs w:val="32"/>
          <w:highlight w:val="none"/>
          <w:lang w:eastAsia="zh-CN"/>
        </w:rPr>
        <w:t>（五）每年度基金管理费计提比例不得超过应计提额的</w:t>
      </w:r>
      <w:r>
        <w:rPr>
          <w:rFonts w:hint="eastAsia" w:ascii="仿宋_GB2312" w:eastAsia="仿宋_GB2312"/>
          <w:sz w:val="32"/>
          <w:szCs w:val="32"/>
          <w:highlight w:val="none"/>
          <w:lang w:val="en-US" w:eastAsia="zh-CN"/>
        </w:rPr>
        <w:t>80%，剩余部分中5%与绩效评价挂钩，15%待基金按计划全部退出并完成清算后，再一次性计提。未能按计划完成退出的，应扣减该部分基金管理费用。</w:t>
      </w:r>
    </w:p>
    <w:p>
      <w:pPr>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第二十</w:t>
      </w:r>
      <w:r>
        <w:rPr>
          <w:rFonts w:hint="eastAsia" w:ascii="仿宋_GB2312" w:eastAsia="仿宋_GB2312"/>
          <w:sz w:val="32"/>
          <w:szCs w:val="32"/>
          <w:lang w:eastAsia="zh-CN"/>
        </w:rPr>
        <w:t>三</w:t>
      </w:r>
      <w:r>
        <w:rPr>
          <w:rFonts w:hint="eastAsia" w:ascii="仿宋_GB2312" w:eastAsia="仿宋_GB2312"/>
          <w:sz w:val="32"/>
          <w:szCs w:val="32"/>
        </w:rPr>
        <w:t>条</w:t>
      </w:r>
      <w:r>
        <w:rPr>
          <w:rFonts w:hint="eastAsia" w:ascii="仿宋_GB2312" w:eastAsia="仿宋_GB2312"/>
          <w:sz w:val="32"/>
          <w:szCs w:val="32"/>
          <w:lang w:val="en-US" w:eastAsia="zh-CN"/>
        </w:rPr>
        <w:t xml:space="preserve"> </w:t>
      </w:r>
      <w:r>
        <w:rPr>
          <w:rFonts w:hint="eastAsia" w:ascii="仿宋_GB2312" w:eastAsia="仿宋_GB2312"/>
          <w:sz w:val="32"/>
          <w:szCs w:val="32"/>
        </w:rPr>
        <w:t>除对基金管理机构支付管理费外，在基金年化收益率超过约定基准收益率时，可对</w:t>
      </w:r>
      <w:r>
        <w:rPr>
          <w:rFonts w:hint="eastAsia" w:ascii="仿宋_GB2312" w:eastAsia="仿宋_GB2312"/>
          <w:sz w:val="32"/>
          <w:szCs w:val="32"/>
          <w:lang w:eastAsia="zh-CN"/>
        </w:rPr>
        <w:t>子资金或</w:t>
      </w:r>
      <w:r>
        <w:rPr>
          <w:rFonts w:hint="eastAsia" w:ascii="仿宋_GB2312" w:eastAsia="仿宋_GB2312"/>
          <w:sz w:val="32"/>
          <w:szCs w:val="32"/>
        </w:rPr>
        <w:t>基金管理机构进行收益奖励。</w:t>
      </w:r>
      <w:r>
        <w:rPr>
          <w:rFonts w:hint="eastAsia" w:ascii="仿宋_GB2312" w:eastAsia="仿宋_GB2312"/>
          <w:sz w:val="32"/>
          <w:szCs w:val="32"/>
          <w:lang w:eastAsia="zh-CN"/>
        </w:rPr>
        <w:t>在确保市级财政性资金获取基准收益的前提下，</w:t>
      </w:r>
      <w:r>
        <w:rPr>
          <w:rFonts w:hint="eastAsia" w:ascii="仿宋_GB2312" w:eastAsia="仿宋_GB2312"/>
          <w:sz w:val="32"/>
          <w:szCs w:val="32"/>
        </w:rPr>
        <w:t>奖励比例一般不超过</w:t>
      </w:r>
      <w:r>
        <w:rPr>
          <w:rFonts w:hint="eastAsia" w:ascii="仿宋_GB2312" w:eastAsia="仿宋_GB2312"/>
          <w:sz w:val="32"/>
          <w:szCs w:val="32"/>
          <w:lang w:eastAsia="zh-CN"/>
        </w:rPr>
        <w:t>市级财政性资金投资</w:t>
      </w:r>
      <w:r>
        <w:rPr>
          <w:rFonts w:hint="eastAsia" w:ascii="仿宋_GB2312" w:eastAsia="仿宋_GB2312"/>
          <w:sz w:val="32"/>
          <w:szCs w:val="32"/>
        </w:rPr>
        <w:t>收益的20%。具体</w:t>
      </w:r>
      <w:r>
        <w:rPr>
          <w:rFonts w:hint="eastAsia" w:ascii="仿宋_GB2312" w:eastAsia="仿宋_GB2312"/>
          <w:sz w:val="32"/>
          <w:szCs w:val="32"/>
          <w:lang w:eastAsia="zh-CN"/>
        </w:rPr>
        <w:t>奖励</w:t>
      </w:r>
      <w:r>
        <w:rPr>
          <w:rFonts w:hint="eastAsia" w:ascii="仿宋_GB2312" w:eastAsia="仿宋_GB2312"/>
          <w:sz w:val="32"/>
          <w:szCs w:val="32"/>
        </w:rPr>
        <w:t>比例</w:t>
      </w:r>
      <w:r>
        <w:rPr>
          <w:rFonts w:hint="eastAsia" w:ascii="仿宋_GB2312" w:eastAsia="仿宋_GB2312"/>
          <w:sz w:val="32"/>
          <w:szCs w:val="32"/>
          <w:lang w:eastAsia="zh-CN"/>
        </w:rPr>
        <w:t>经市政府批准后</w:t>
      </w:r>
      <w:r>
        <w:rPr>
          <w:rFonts w:hint="eastAsia" w:ascii="仿宋_GB2312" w:eastAsia="仿宋_GB2312"/>
          <w:sz w:val="32"/>
          <w:szCs w:val="32"/>
        </w:rPr>
        <w:t>在基金相关重要法律文件中进行约定。</w:t>
      </w:r>
    </w:p>
    <w:p>
      <w:pPr>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Times New Roman"/>
          <w:sz w:val="32"/>
          <w:szCs w:val="32"/>
        </w:rPr>
      </w:pPr>
      <w:r>
        <w:rPr>
          <w:rFonts w:hint="eastAsia" w:ascii="黑体" w:hAnsi="黑体" w:eastAsia="黑体"/>
          <w:sz w:val="32"/>
          <w:szCs w:val="32"/>
        </w:rPr>
        <w:t>第七章  基金的终止和退出</w:t>
      </w:r>
    </w:p>
    <w:p>
      <w:pPr>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第二十</w:t>
      </w:r>
      <w:r>
        <w:rPr>
          <w:rFonts w:hint="eastAsia" w:ascii="仿宋_GB2312" w:eastAsia="仿宋_GB2312"/>
          <w:sz w:val="32"/>
          <w:szCs w:val="32"/>
          <w:lang w:eastAsia="zh-CN"/>
        </w:rPr>
        <w:t>四</w:t>
      </w:r>
      <w:r>
        <w:rPr>
          <w:rFonts w:hint="eastAsia" w:ascii="仿宋_GB2312" w:eastAsia="仿宋_GB2312"/>
          <w:sz w:val="32"/>
          <w:szCs w:val="32"/>
        </w:rPr>
        <w:t>条</w:t>
      </w:r>
      <w:r>
        <w:rPr>
          <w:rFonts w:hint="eastAsia" w:ascii="仿宋_GB2312" w:eastAsia="仿宋_GB2312"/>
          <w:sz w:val="32"/>
          <w:szCs w:val="32"/>
          <w:lang w:val="en-US" w:eastAsia="zh-CN"/>
        </w:rPr>
        <w:t xml:space="preserve"> </w:t>
      </w:r>
      <w:r>
        <w:rPr>
          <w:rFonts w:hint="eastAsia" w:ascii="仿宋_GB2312" w:eastAsia="仿宋_GB2312"/>
          <w:sz w:val="32"/>
          <w:szCs w:val="32"/>
        </w:rPr>
        <w:t>基金一般应当在存续期届满、各出资人共同决议终止或基金合伙协议规定的其他终止事项发生后终止并进行清算。</w:t>
      </w:r>
    </w:p>
    <w:p>
      <w:pPr>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rPr>
        <w:t>第二十</w:t>
      </w:r>
      <w:r>
        <w:rPr>
          <w:rFonts w:hint="eastAsia" w:ascii="仿宋_GB2312" w:eastAsia="仿宋_GB2312"/>
          <w:sz w:val="32"/>
          <w:szCs w:val="32"/>
          <w:lang w:eastAsia="zh-CN"/>
        </w:rPr>
        <w:t>五</w:t>
      </w:r>
      <w:r>
        <w:rPr>
          <w:rFonts w:hint="eastAsia" w:ascii="仿宋_GB2312" w:eastAsia="仿宋_GB2312"/>
          <w:sz w:val="32"/>
          <w:szCs w:val="32"/>
        </w:rPr>
        <w:t>条</w:t>
      </w:r>
      <w:r>
        <w:rPr>
          <w:rFonts w:hint="eastAsia" w:ascii="仿宋_GB2312" w:eastAsia="仿宋_GB2312"/>
          <w:sz w:val="32"/>
          <w:szCs w:val="32"/>
          <w:lang w:val="en-US" w:eastAsia="zh-CN"/>
        </w:rPr>
        <w:t xml:space="preserve"> </w:t>
      </w:r>
      <w:r>
        <w:rPr>
          <w:rFonts w:hint="eastAsia" w:ascii="仿宋_GB2312" w:eastAsia="仿宋_GB2312"/>
          <w:sz w:val="32"/>
          <w:szCs w:val="32"/>
        </w:rPr>
        <w:t>基金中的政府出资部分一般应在基金存续期满后按照基金合伙协议约定的条件退出；基金合伙协议中没有约定的，应聘请具备资质的资产评估机构对出资权益进行评估，作为确定政府出资退出基金的价格依据。存续期未满如达到预期目标，可通过股权份额回购或转让等方式适</w:t>
      </w:r>
      <w:r>
        <w:rPr>
          <w:rFonts w:hint="eastAsia" w:ascii="仿宋_GB2312" w:eastAsia="仿宋_GB2312"/>
          <w:sz w:val="32"/>
          <w:szCs w:val="32"/>
          <w:lang w:val="en-US" w:eastAsia="zh-CN"/>
        </w:rPr>
        <w:t>时退出。</w:t>
      </w:r>
    </w:p>
    <w:p>
      <w:pPr>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第二十六条 基金终止后，应及时组织清算。对归属于政府的投资收益、利息、收回的本金等，按照市财政局国库管理制度有关规定及时足额上缴国库。</w:t>
      </w:r>
    </w:p>
    <w:p>
      <w:pPr>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第二十七条 有下列情况之一的，财政资金可无需其他出资人同意选择提前退出：</w:t>
      </w:r>
    </w:p>
    <w:p>
      <w:pPr>
        <w:pStyle w:val="15"/>
        <w:keepLines w:val="0"/>
        <w:pageBreakBefore w:val="0"/>
        <w:widowControl w:val="0"/>
        <w:numPr>
          <w:ilvl w:val="0"/>
          <w:numId w:val="4"/>
        </w:numPr>
        <w:kinsoku/>
        <w:wordWrap/>
        <w:overflowPunct/>
        <w:topLinePunct w:val="0"/>
        <w:autoSpaceDE/>
        <w:autoSpaceDN/>
        <w:bidi w:val="0"/>
        <w:adjustRightInd/>
        <w:snapToGrid/>
        <w:spacing w:line="560" w:lineRule="exact"/>
        <w:ind w:left="0" w:firstLine="640"/>
        <w:jc w:val="both"/>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基金方案确认后超过一年，未按规定程序和时间要求完成设立手续的；</w:t>
      </w:r>
    </w:p>
    <w:p>
      <w:pPr>
        <w:pStyle w:val="15"/>
        <w:keepLines w:val="0"/>
        <w:pageBreakBefore w:val="0"/>
        <w:widowControl w:val="0"/>
        <w:numPr>
          <w:ilvl w:val="0"/>
          <w:numId w:val="4"/>
        </w:numPr>
        <w:kinsoku/>
        <w:wordWrap/>
        <w:overflowPunct/>
        <w:topLinePunct w:val="0"/>
        <w:autoSpaceDE/>
        <w:autoSpaceDN/>
        <w:bidi w:val="0"/>
        <w:adjustRightInd/>
        <w:snapToGrid/>
        <w:spacing w:line="560" w:lineRule="exact"/>
        <w:ind w:left="0" w:firstLine="640"/>
        <w:jc w:val="both"/>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财政出资拨付基金账户一年以上，基金未开展投资业务的；</w:t>
      </w:r>
    </w:p>
    <w:p>
      <w:pPr>
        <w:pStyle w:val="15"/>
        <w:keepLines w:val="0"/>
        <w:pageBreakBefore w:val="0"/>
        <w:widowControl w:val="0"/>
        <w:numPr>
          <w:ilvl w:val="0"/>
          <w:numId w:val="4"/>
        </w:numPr>
        <w:kinsoku/>
        <w:wordWrap/>
        <w:overflowPunct/>
        <w:topLinePunct w:val="0"/>
        <w:autoSpaceDE/>
        <w:autoSpaceDN/>
        <w:bidi w:val="0"/>
        <w:adjustRightInd/>
        <w:snapToGrid/>
        <w:spacing w:line="560" w:lineRule="exact"/>
        <w:ind w:left="0" w:firstLine="640"/>
        <w:jc w:val="both"/>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基金投资领域和方向不符合政策目标的；</w:t>
      </w:r>
    </w:p>
    <w:p>
      <w:pPr>
        <w:pStyle w:val="15"/>
        <w:keepLines w:val="0"/>
        <w:pageBreakBefore w:val="0"/>
        <w:widowControl w:val="0"/>
        <w:numPr>
          <w:ilvl w:val="0"/>
          <w:numId w:val="4"/>
        </w:numPr>
        <w:kinsoku/>
        <w:wordWrap/>
        <w:overflowPunct/>
        <w:topLinePunct w:val="0"/>
        <w:autoSpaceDE/>
        <w:autoSpaceDN/>
        <w:bidi w:val="0"/>
        <w:adjustRightInd/>
        <w:snapToGrid/>
        <w:spacing w:line="560" w:lineRule="exact"/>
        <w:ind w:left="0" w:firstLine="640"/>
        <w:jc w:val="both"/>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基金未按</w:t>
      </w:r>
      <w:r>
        <w:rPr>
          <w:rFonts w:hint="eastAsia" w:ascii="仿宋_GB2312" w:eastAsia="仿宋_GB2312"/>
          <w:sz w:val="32"/>
          <w:szCs w:val="32"/>
        </w:rPr>
        <w:t>基金</w:t>
      </w:r>
      <w:r>
        <w:rPr>
          <w:rFonts w:hint="eastAsia" w:ascii="仿宋_GB2312" w:hAnsi="Calibri" w:eastAsia="仿宋_GB2312" w:cs="Times New Roman"/>
          <w:sz w:val="32"/>
          <w:szCs w:val="32"/>
        </w:rPr>
        <w:t>合伙协议约定投资的；</w:t>
      </w:r>
    </w:p>
    <w:p>
      <w:pPr>
        <w:pStyle w:val="15"/>
        <w:keepLines w:val="0"/>
        <w:pageBreakBefore w:val="0"/>
        <w:widowControl w:val="0"/>
        <w:numPr>
          <w:ilvl w:val="0"/>
          <w:numId w:val="4"/>
        </w:numPr>
        <w:kinsoku/>
        <w:wordWrap/>
        <w:overflowPunct/>
        <w:topLinePunct w:val="0"/>
        <w:autoSpaceDE/>
        <w:autoSpaceDN/>
        <w:bidi w:val="0"/>
        <w:adjustRightInd/>
        <w:snapToGrid/>
        <w:spacing w:line="560" w:lineRule="exact"/>
        <w:ind w:left="0" w:firstLine="640"/>
        <w:jc w:val="both"/>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其他不符合</w:t>
      </w:r>
      <w:r>
        <w:rPr>
          <w:rFonts w:hint="eastAsia" w:ascii="仿宋_GB2312" w:eastAsia="仿宋_GB2312"/>
          <w:sz w:val="32"/>
          <w:szCs w:val="32"/>
        </w:rPr>
        <w:t>基金</w:t>
      </w:r>
      <w:r>
        <w:rPr>
          <w:rFonts w:hint="eastAsia" w:ascii="仿宋_GB2312" w:hAnsi="Calibri" w:eastAsia="仿宋_GB2312" w:cs="Times New Roman"/>
          <w:sz w:val="32"/>
          <w:szCs w:val="32"/>
        </w:rPr>
        <w:t>合伙协议约定情形的。</w:t>
      </w:r>
    </w:p>
    <w:p>
      <w:pPr>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eastAsia="黑体"/>
          <w:sz w:val="32"/>
          <w:szCs w:val="32"/>
        </w:rPr>
      </w:pPr>
      <w:r>
        <w:rPr>
          <w:rFonts w:hint="eastAsia" w:ascii="黑体" w:eastAsia="黑体"/>
          <w:sz w:val="32"/>
          <w:szCs w:val="32"/>
        </w:rPr>
        <w:t>第八章  附则</w:t>
      </w:r>
    </w:p>
    <w:p>
      <w:pPr>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第二十八条 本办法由市知识产权局、市财政局负责解释。</w:t>
      </w:r>
    </w:p>
    <w:p>
      <w:pPr>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val="en-US" w:eastAsia="zh-CN"/>
        </w:rPr>
        <w:t>第二十九条 本办法自印发之日起实施。本办法发布前已经按相关法律法规以法律合同形式约定的事项，可继续执行至合同期满。本办法发布后，基金相关新合同的拟定以及后续管理应按照本办法规定执行。基金所立合同或章程如有未明事项，应以本办法要求为准。</w:t>
      </w:r>
    </w:p>
    <w:sectPr>
      <w:footerReference r:id="rId3" w:type="default"/>
      <w:pgSz w:w="11906" w:h="16838"/>
      <w:pgMar w:top="2098" w:right="1709" w:bottom="1985" w:left="1797"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85469"/>
      <w:docPartObj>
        <w:docPartGallery w:val="autotext"/>
      </w:docPartObj>
    </w:sdtPr>
    <w:sdtEndPr>
      <w:rPr>
        <w:rFonts w:hint="eastAsia" w:ascii="仿宋_GB2312" w:eastAsia="仿宋_GB2312"/>
        <w:sz w:val="28"/>
        <w:szCs w:val="28"/>
      </w:rPr>
    </w:sdtEndPr>
    <w:sdtContent>
      <w:p>
        <w:pPr>
          <w:pStyle w:val="5"/>
          <w:jc w:val="center"/>
        </w:pPr>
        <w:r>
          <w:rPr>
            <w:rFonts w:hint="eastAsia" w:ascii="仿宋_GB2312" w:eastAsia="仿宋_GB2312"/>
            <w:sz w:val="28"/>
            <w:szCs w:val="28"/>
          </w:rPr>
          <w:t xml:space="preserve"> </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2</w:t>
        </w:r>
        <w:r>
          <w:rPr>
            <w:rFonts w:hint="eastAsia" w:ascii="仿宋_GB2312" w:eastAsia="仿宋_GB2312"/>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633BA1"/>
    <w:multiLevelType w:val="multilevel"/>
    <w:tmpl w:val="23633BA1"/>
    <w:lvl w:ilvl="0" w:tentative="0">
      <w:start w:val="1"/>
      <w:numFmt w:val="chineseCountingThousand"/>
      <w:lvlText w:val="第%1章"/>
      <w:lvlJc w:val="left"/>
      <w:pPr>
        <w:ind w:left="562"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55AD1971"/>
    <w:multiLevelType w:val="multilevel"/>
    <w:tmpl w:val="55AD1971"/>
    <w:lvl w:ilvl="0" w:tentative="0">
      <w:start w:val="1"/>
      <w:numFmt w:val="japaneseCounting"/>
      <w:lvlText w:val="（%1）"/>
      <w:lvlJc w:val="left"/>
      <w:pPr>
        <w:ind w:left="2422" w:hanging="720"/>
      </w:pPr>
      <w:rPr>
        <w:lang w:val="en-U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74AC2D37"/>
    <w:multiLevelType w:val="multilevel"/>
    <w:tmpl w:val="74AC2D37"/>
    <w:lvl w:ilvl="0" w:tentative="0">
      <w:start w:val="1"/>
      <w:numFmt w:val="japaneseCounting"/>
      <w:lvlText w:val="（%1）"/>
      <w:lvlJc w:val="left"/>
      <w:pPr>
        <w:ind w:left="720" w:hanging="720"/>
      </w:pPr>
      <w:rPr>
        <w:lang w:val="en-U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7D4D5243"/>
    <w:multiLevelType w:val="multilevel"/>
    <w:tmpl w:val="7D4D5243"/>
    <w:lvl w:ilvl="0" w:tentative="0">
      <w:start w:val="1"/>
      <w:numFmt w:val="japaneseCounting"/>
      <w:lvlText w:val="（%1）"/>
      <w:lvlJc w:val="left"/>
      <w:pPr>
        <w:ind w:left="720" w:hanging="720"/>
      </w:pPr>
      <w:rPr>
        <w:lang w:val="en-U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313"/>
    <w:rsid w:val="00007C4D"/>
    <w:rsid w:val="00021432"/>
    <w:rsid w:val="00050E73"/>
    <w:rsid w:val="00076245"/>
    <w:rsid w:val="00076702"/>
    <w:rsid w:val="000A7B59"/>
    <w:rsid w:val="000E5D1C"/>
    <w:rsid w:val="000F4C6E"/>
    <w:rsid w:val="0012506B"/>
    <w:rsid w:val="00125D40"/>
    <w:rsid w:val="00127F50"/>
    <w:rsid w:val="001468C6"/>
    <w:rsid w:val="00157352"/>
    <w:rsid w:val="00165001"/>
    <w:rsid w:val="001938A9"/>
    <w:rsid w:val="001A543F"/>
    <w:rsid w:val="001A65F0"/>
    <w:rsid w:val="00205E87"/>
    <w:rsid w:val="00222EFE"/>
    <w:rsid w:val="00226EA3"/>
    <w:rsid w:val="0026227B"/>
    <w:rsid w:val="00266101"/>
    <w:rsid w:val="00277EE4"/>
    <w:rsid w:val="002B08CC"/>
    <w:rsid w:val="003043A1"/>
    <w:rsid w:val="00334BFF"/>
    <w:rsid w:val="00397F4E"/>
    <w:rsid w:val="003A088E"/>
    <w:rsid w:val="003C151E"/>
    <w:rsid w:val="003C2D1C"/>
    <w:rsid w:val="003D7ECD"/>
    <w:rsid w:val="003E26C9"/>
    <w:rsid w:val="003E4143"/>
    <w:rsid w:val="00420BDD"/>
    <w:rsid w:val="00424DF1"/>
    <w:rsid w:val="00437ACE"/>
    <w:rsid w:val="00440DF2"/>
    <w:rsid w:val="004441C4"/>
    <w:rsid w:val="00487DC7"/>
    <w:rsid w:val="00487F84"/>
    <w:rsid w:val="0049237B"/>
    <w:rsid w:val="004E3472"/>
    <w:rsid w:val="004E38D5"/>
    <w:rsid w:val="0050769E"/>
    <w:rsid w:val="00513B01"/>
    <w:rsid w:val="00535E86"/>
    <w:rsid w:val="005641AE"/>
    <w:rsid w:val="0056467F"/>
    <w:rsid w:val="00564ED0"/>
    <w:rsid w:val="00577A9C"/>
    <w:rsid w:val="005B54E4"/>
    <w:rsid w:val="005C7F36"/>
    <w:rsid w:val="005D73DD"/>
    <w:rsid w:val="005E5A55"/>
    <w:rsid w:val="00607374"/>
    <w:rsid w:val="00625DE9"/>
    <w:rsid w:val="00655354"/>
    <w:rsid w:val="00672FE8"/>
    <w:rsid w:val="006C1800"/>
    <w:rsid w:val="006F22E4"/>
    <w:rsid w:val="00700AF7"/>
    <w:rsid w:val="00727A9B"/>
    <w:rsid w:val="0074181B"/>
    <w:rsid w:val="00773D7A"/>
    <w:rsid w:val="00781D72"/>
    <w:rsid w:val="007832B4"/>
    <w:rsid w:val="007A7A65"/>
    <w:rsid w:val="007E19D4"/>
    <w:rsid w:val="007F6BB6"/>
    <w:rsid w:val="00801305"/>
    <w:rsid w:val="0083542B"/>
    <w:rsid w:val="00880EF6"/>
    <w:rsid w:val="008B7342"/>
    <w:rsid w:val="008D2806"/>
    <w:rsid w:val="008E6617"/>
    <w:rsid w:val="008F567C"/>
    <w:rsid w:val="00903A04"/>
    <w:rsid w:val="00916014"/>
    <w:rsid w:val="00933DBC"/>
    <w:rsid w:val="009374C0"/>
    <w:rsid w:val="00954A73"/>
    <w:rsid w:val="00993751"/>
    <w:rsid w:val="009D01A3"/>
    <w:rsid w:val="00A26AB9"/>
    <w:rsid w:val="00A30869"/>
    <w:rsid w:val="00A50689"/>
    <w:rsid w:val="00A53B04"/>
    <w:rsid w:val="00A61D72"/>
    <w:rsid w:val="00A80A4F"/>
    <w:rsid w:val="00AB7AF0"/>
    <w:rsid w:val="00AE54DD"/>
    <w:rsid w:val="00B20E80"/>
    <w:rsid w:val="00B27497"/>
    <w:rsid w:val="00B35313"/>
    <w:rsid w:val="00B418E4"/>
    <w:rsid w:val="00B457B0"/>
    <w:rsid w:val="00B53F17"/>
    <w:rsid w:val="00B60131"/>
    <w:rsid w:val="00B6690D"/>
    <w:rsid w:val="00B828C8"/>
    <w:rsid w:val="00BA0AB8"/>
    <w:rsid w:val="00BE175A"/>
    <w:rsid w:val="00BF559A"/>
    <w:rsid w:val="00C0601A"/>
    <w:rsid w:val="00C27E80"/>
    <w:rsid w:val="00C45B8F"/>
    <w:rsid w:val="00C6006C"/>
    <w:rsid w:val="00C64A45"/>
    <w:rsid w:val="00C825FE"/>
    <w:rsid w:val="00C854F7"/>
    <w:rsid w:val="00CA500F"/>
    <w:rsid w:val="00CA6C9E"/>
    <w:rsid w:val="00CD03DA"/>
    <w:rsid w:val="00D01ED6"/>
    <w:rsid w:val="00D22382"/>
    <w:rsid w:val="00D32546"/>
    <w:rsid w:val="00D44636"/>
    <w:rsid w:val="00D45EF7"/>
    <w:rsid w:val="00D90FD7"/>
    <w:rsid w:val="00DA1AE5"/>
    <w:rsid w:val="00DC34E9"/>
    <w:rsid w:val="00DF690A"/>
    <w:rsid w:val="00E00BC6"/>
    <w:rsid w:val="00E11C64"/>
    <w:rsid w:val="00E2309B"/>
    <w:rsid w:val="00E4717D"/>
    <w:rsid w:val="00E5338B"/>
    <w:rsid w:val="00E611D5"/>
    <w:rsid w:val="00E6435A"/>
    <w:rsid w:val="00E6735B"/>
    <w:rsid w:val="00E82E38"/>
    <w:rsid w:val="00E918D2"/>
    <w:rsid w:val="00E92422"/>
    <w:rsid w:val="00EA2E5F"/>
    <w:rsid w:val="00EC77C0"/>
    <w:rsid w:val="00ED575F"/>
    <w:rsid w:val="00F13676"/>
    <w:rsid w:val="00F20200"/>
    <w:rsid w:val="00F713B9"/>
    <w:rsid w:val="00F80B7B"/>
    <w:rsid w:val="00FA37A6"/>
    <w:rsid w:val="00FD0493"/>
    <w:rsid w:val="00FD77C8"/>
    <w:rsid w:val="00FE717F"/>
    <w:rsid w:val="0FFEAEDF"/>
    <w:rsid w:val="1B775989"/>
    <w:rsid w:val="1FFFD76D"/>
    <w:rsid w:val="2FFB805E"/>
    <w:rsid w:val="369746A0"/>
    <w:rsid w:val="37DCF9DC"/>
    <w:rsid w:val="3AFDABC3"/>
    <w:rsid w:val="3FEF0B5E"/>
    <w:rsid w:val="3FF75969"/>
    <w:rsid w:val="3FFE5264"/>
    <w:rsid w:val="496C6DD4"/>
    <w:rsid w:val="4ED8D416"/>
    <w:rsid w:val="57E877B4"/>
    <w:rsid w:val="5FFFE024"/>
    <w:rsid w:val="66EF6943"/>
    <w:rsid w:val="67F79174"/>
    <w:rsid w:val="6D7D890E"/>
    <w:rsid w:val="6E65EEE0"/>
    <w:rsid w:val="6E9F6C82"/>
    <w:rsid w:val="6EA1D01D"/>
    <w:rsid w:val="6EF77000"/>
    <w:rsid w:val="6F7EA89B"/>
    <w:rsid w:val="6FE9AE5D"/>
    <w:rsid w:val="6FFBEDBA"/>
    <w:rsid w:val="71BF33B4"/>
    <w:rsid w:val="735623BA"/>
    <w:rsid w:val="799A4200"/>
    <w:rsid w:val="7BF7C43A"/>
    <w:rsid w:val="7E6B18B6"/>
    <w:rsid w:val="7EBF8101"/>
    <w:rsid w:val="7EDA57B0"/>
    <w:rsid w:val="7F3EFEED"/>
    <w:rsid w:val="7F8AA244"/>
    <w:rsid w:val="7FF77B9C"/>
    <w:rsid w:val="9BFA962B"/>
    <w:rsid w:val="B1EDA2CE"/>
    <w:rsid w:val="B7DD0F7D"/>
    <w:rsid w:val="BBFA6064"/>
    <w:rsid w:val="BD7DF3F3"/>
    <w:rsid w:val="BD9D34E6"/>
    <w:rsid w:val="BDF73E67"/>
    <w:rsid w:val="BFBFABAF"/>
    <w:rsid w:val="BFF76B0A"/>
    <w:rsid w:val="CFFF9D5F"/>
    <w:rsid w:val="DBFB6C1E"/>
    <w:rsid w:val="DCBF1C40"/>
    <w:rsid w:val="DEE64E04"/>
    <w:rsid w:val="DFE9444F"/>
    <w:rsid w:val="DFEF1160"/>
    <w:rsid w:val="E17C749D"/>
    <w:rsid w:val="E56775B6"/>
    <w:rsid w:val="E5FF1E57"/>
    <w:rsid w:val="E9BBF42C"/>
    <w:rsid w:val="EB937687"/>
    <w:rsid w:val="EBF756E6"/>
    <w:rsid w:val="ED9EE7E3"/>
    <w:rsid w:val="EE4318E9"/>
    <w:rsid w:val="EEEBA8D6"/>
    <w:rsid w:val="F6C3999A"/>
    <w:rsid w:val="F6DF41E0"/>
    <w:rsid w:val="F6F4848A"/>
    <w:rsid w:val="F7C3542A"/>
    <w:rsid w:val="F7CD8474"/>
    <w:rsid w:val="F7EF1F53"/>
    <w:rsid w:val="F7FF04AF"/>
    <w:rsid w:val="F9E51DCB"/>
    <w:rsid w:val="FCFFB031"/>
    <w:rsid w:val="FCFFF063"/>
    <w:rsid w:val="FE37134E"/>
    <w:rsid w:val="FE7FC008"/>
    <w:rsid w:val="FEBD6B57"/>
    <w:rsid w:val="FEF6B9BD"/>
    <w:rsid w:val="FEFEF1F4"/>
    <w:rsid w:val="FFC79ADD"/>
    <w:rsid w:val="FFEF8B65"/>
    <w:rsid w:val="FFFDAC24"/>
    <w:rsid w:val="FFFE24E9"/>
    <w:rsid w:val="FFFFB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customStyle="1" w:styleId="11">
    <w:name w:val="页眉 Char"/>
    <w:basedOn w:val="9"/>
    <w:link w:val="6"/>
    <w:semiHidden/>
    <w:qFormat/>
    <w:uiPriority w:val="99"/>
    <w:rPr>
      <w:sz w:val="18"/>
      <w:szCs w:val="18"/>
    </w:rPr>
  </w:style>
  <w:style w:type="character" w:customStyle="1" w:styleId="12">
    <w:name w:val="页脚 Char"/>
    <w:basedOn w:val="9"/>
    <w:link w:val="5"/>
    <w:qFormat/>
    <w:uiPriority w:val="99"/>
    <w:rPr>
      <w:sz w:val="18"/>
      <w:szCs w:val="18"/>
    </w:rPr>
  </w:style>
  <w:style w:type="character" w:customStyle="1" w:styleId="13">
    <w:name w:val="批注框文本 Char"/>
    <w:basedOn w:val="9"/>
    <w:link w:val="4"/>
    <w:semiHidden/>
    <w:qFormat/>
    <w:uiPriority w:val="99"/>
    <w:rPr>
      <w:sz w:val="18"/>
      <w:szCs w:val="18"/>
    </w:rPr>
  </w:style>
  <w:style w:type="character" w:customStyle="1" w:styleId="14">
    <w:name w:val="日期 Char"/>
    <w:basedOn w:val="9"/>
    <w:link w:val="3"/>
    <w:semiHidden/>
    <w:qFormat/>
    <w:uiPriority w:val="99"/>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452</Words>
  <Characters>2583</Characters>
  <Lines>21</Lines>
  <Paragraphs>6</Paragraphs>
  <TotalTime>1</TotalTime>
  <ScaleCrop>false</ScaleCrop>
  <LinksUpToDate>false</LinksUpToDate>
  <CharactersWithSpaces>3029</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2018-02-06T18:51:00Z</dcterms:created>
  <dc:creator>hp</dc:creator>
  <cp:lastModifiedBy>user</cp:lastModifiedBy>
  <cp:lastPrinted>2018-02-16T18:10:00Z</cp:lastPrinted>
  <dcterms:modified xsi:type="dcterms:W3CDTF">2023-02-13T14:27:03Z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