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kern w:val="36"/>
          <w:sz w:val="32"/>
          <w:szCs w:val="32"/>
          <w:lang w:val="en-US" w:eastAsia="zh-CN"/>
        </w:rPr>
      </w:pPr>
      <w:bookmarkStart w:id="0" w:name="_GoBack"/>
      <w:bookmarkEnd w:id="0"/>
      <w:r>
        <w:rPr>
          <w:rFonts w:hint="eastAsia" w:ascii="方正黑体_GBK" w:hAnsi="方正黑体_GBK" w:eastAsia="方正黑体_GBK" w:cs="方正黑体_GBK"/>
          <w:kern w:val="36"/>
          <w:sz w:val="32"/>
          <w:szCs w:val="32"/>
          <w:lang w:eastAsia="zh-CN"/>
        </w:rPr>
        <w:t>附件</w:t>
      </w:r>
      <w:r>
        <w:rPr>
          <w:rFonts w:hint="eastAsia" w:ascii="方正黑体_GBK" w:hAnsi="方正黑体_GBK" w:eastAsia="方正黑体_GBK" w:cs="方正黑体_GBK"/>
          <w:kern w:val="36"/>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Songti SC Regular" w:eastAsia="方正小标宋简体" w:cs="Songti SC Regular"/>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Songti SC Regular" w:eastAsia="方正小标宋简体" w:cs="Songti SC Regular"/>
          <w:bCs/>
          <w:color w:val="auto"/>
          <w:sz w:val="44"/>
          <w:szCs w:val="44"/>
          <w:highlight w:val="none"/>
        </w:rPr>
      </w:pPr>
      <w:r>
        <w:rPr>
          <w:rFonts w:hint="eastAsia" w:ascii="方正小标宋简体" w:hAnsi="Songti SC Regular" w:eastAsia="方正小标宋简体" w:cs="Songti SC Regular"/>
          <w:bCs/>
          <w:color w:val="auto"/>
          <w:sz w:val="44"/>
          <w:szCs w:val="44"/>
          <w:highlight w:val="none"/>
        </w:rPr>
        <w:t>关于</w:t>
      </w:r>
      <w:r>
        <w:rPr>
          <w:rFonts w:hint="eastAsia" w:ascii="方正小标宋简体" w:hAnsi="Songti SC Regular" w:eastAsia="方正小标宋简体" w:cs="Songti SC Regular"/>
          <w:bCs/>
          <w:color w:val="auto"/>
          <w:sz w:val="44"/>
          <w:szCs w:val="44"/>
          <w:highlight w:val="none"/>
          <w:lang w:eastAsia="zh-CN"/>
        </w:rPr>
        <w:t>进一步规范</w:t>
      </w:r>
      <w:r>
        <w:rPr>
          <w:rFonts w:hint="eastAsia" w:ascii="方正小标宋简体" w:hAnsi="Songti SC Regular" w:eastAsia="方正小标宋简体" w:cs="Songti SC Regular"/>
          <w:bCs/>
          <w:color w:val="auto"/>
          <w:sz w:val="44"/>
          <w:szCs w:val="44"/>
          <w:highlight w:val="none"/>
        </w:rPr>
        <w:t>国有土地上</w:t>
      </w:r>
      <w:r>
        <w:rPr>
          <w:rFonts w:hint="eastAsia" w:ascii="方正小标宋简体" w:hAnsi="Songti SC Regular" w:eastAsia="方正小标宋简体" w:cs="Songti SC Regular"/>
          <w:bCs/>
          <w:color w:val="auto"/>
          <w:sz w:val="44"/>
          <w:szCs w:val="44"/>
          <w:highlight w:val="none"/>
          <w:lang w:eastAsia="zh-CN"/>
        </w:rPr>
        <w:t>非住宅</w:t>
      </w:r>
      <w:r>
        <w:rPr>
          <w:rFonts w:hint="eastAsia" w:ascii="方正小标宋简体" w:hAnsi="Songti SC Regular" w:eastAsia="方正小标宋简体" w:cs="Songti SC Regular"/>
          <w:bCs/>
          <w:color w:val="auto"/>
          <w:sz w:val="44"/>
          <w:szCs w:val="44"/>
          <w:highlight w:val="none"/>
        </w:rPr>
        <w:t>房屋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Songti SC Regular" w:eastAsia="方正小标宋简体" w:cs="Songti SC Regular"/>
          <w:bCs/>
          <w:color w:val="auto"/>
          <w:sz w:val="44"/>
          <w:szCs w:val="44"/>
          <w:highlight w:val="none"/>
          <w:lang w:eastAsia="zh-CN"/>
        </w:rPr>
      </w:pPr>
      <w:r>
        <w:rPr>
          <w:rFonts w:hint="eastAsia" w:ascii="方正小标宋简体" w:hAnsi="Songti SC Regular" w:eastAsia="方正小标宋简体" w:cs="Songti SC Regular"/>
          <w:bCs/>
          <w:color w:val="auto"/>
          <w:sz w:val="44"/>
          <w:szCs w:val="44"/>
          <w:highlight w:val="none"/>
        </w:rPr>
        <w:t>征收评估</w:t>
      </w:r>
      <w:r>
        <w:rPr>
          <w:rFonts w:hint="eastAsia" w:ascii="方正小标宋简体" w:hAnsi="Songti SC Regular" w:eastAsia="方正小标宋简体" w:cs="Songti SC Regular"/>
          <w:bCs/>
          <w:color w:val="auto"/>
          <w:sz w:val="44"/>
          <w:szCs w:val="44"/>
          <w:highlight w:val="none"/>
          <w:lang w:eastAsia="zh-CN"/>
        </w:rPr>
        <w:t>与补偿工作</w:t>
      </w:r>
      <w:r>
        <w:rPr>
          <w:rFonts w:hint="eastAsia" w:ascii="方正小标宋简体" w:hAnsi="Songti SC Regular" w:eastAsia="方正小标宋简体" w:cs="Songti SC Regular"/>
          <w:bCs/>
          <w:color w:val="auto"/>
          <w:sz w:val="44"/>
          <w:szCs w:val="44"/>
          <w:highlight w:val="none"/>
          <w:lang w:eastAsia="zh-Hans"/>
        </w:rPr>
        <w:t>的通知</w:t>
      </w:r>
      <w:r>
        <w:rPr>
          <w:rFonts w:hint="eastAsia" w:ascii="方正小标宋简体" w:hAnsi="Songti SC Regular" w:eastAsia="方正小标宋简体" w:cs="Songti SC Regular"/>
          <w:bCs/>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Han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为进一步做好</w:t>
      </w:r>
      <w:r>
        <w:rPr>
          <w:rFonts w:hint="eastAsia" w:ascii="仿宋_GB2312" w:hAnsi="仿宋_GB2312" w:eastAsia="仿宋_GB2312" w:cs="仿宋_GB2312"/>
          <w:color w:val="auto"/>
          <w:sz w:val="32"/>
          <w:szCs w:val="32"/>
          <w:highlight w:val="none"/>
          <w:lang w:eastAsia="zh-CN"/>
        </w:rPr>
        <w:t>本市</w:t>
      </w:r>
      <w:r>
        <w:rPr>
          <w:rFonts w:hint="eastAsia" w:ascii="仿宋_GB2312" w:hAnsi="仿宋_GB2312" w:eastAsia="仿宋_GB2312" w:cs="仿宋_GB2312"/>
          <w:color w:val="auto"/>
          <w:sz w:val="32"/>
          <w:szCs w:val="32"/>
          <w:highlight w:val="none"/>
          <w:lang w:eastAsia="zh-Hans"/>
        </w:rPr>
        <w:t>国有土地上非住宅房屋征收评估</w:t>
      </w:r>
      <w:r>
        <w:rPr>
          <w:rFonts w:hint="eastAsia" w:ascii="仿宋_GB2312" w:hAnsi="仿宋_GB2312" w:eastAsia="仿宋_GB2312" w:cs="仿宋_GB2312"/>
          <w:color w:val="auto"/>
          <w:sz w:val="32"/>
          <w:szCs w:val="32"/>
          <w:highlight w:val="none"/>
          <w:lang w:eastAsia="zh-CN"/>
        </w:rPr>
        <w:t>与补偿</w:t>
      </w:r>
      <w:r>
        <w:rPr>
          <w:rFonts w:hint="eastAsia" w:ascii="仿宋_GB2312" w:hAnsi="仿宋_GB2312" w:eastAsia="仿宋_GB2312" w:cs="仿宋_GB2312"/>
          <w:color w:val="auto"/>
          <w:sz w:val="32"/>
          <w:szCs w:val="32"/>
          <w:highlight w:val="none"/>
          <w:lang w:eastAsia="zh-Hans"/>
        </w:rPr>
        <w:t>工作，</w:t>
      </w:r>
      <w:r>
        <w:rPr>
          <w:rFonts w:hint="eastAsia" w:ascii="仿宋_GB2312" w:hAnsi="仿宋_GB2312" w:eastAsia="仿宋_GB2312" w:cs="仿宋_GB2312"/>
          <w:color w:val="auto"/>
          <w:sz w:val="32"/>
          <w:szCs w:val="32"/>
          <w:highlight w:val="none"/>
          <w:lang w:eastAsia="zh-CN"/>
        </w:rPr>
        <w:t>规范非住宅房屋用途认定、评估方法适用等情形，做到公平合理补偿，</w:t>
      </w:r>
      <w:r>
        <w:rPr>
          <w:rFonts w:hint="eastAsia" w:ascii="仿宋_GB2312" w:hAnsi="仿宋_GB2312" w:eastAsia="仿宋_GB2312" w:cs="仿宋_GB2312"/>
          <w:color w:val="auto"/>
          <w:sz w:val="32"/>
          <w:szCs w:val="32"/>
          <w:highlight w:val="none"/>
          <w:lang w:eastAsia="zh-Hans"/>
        </w:rPr>
        <w:t>依据《国有土地上房屋征收与补偿条例》《国有土地上房屋征收评估办法》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房地产估价规范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《北京市国有土地上房屋征收评估暂行办法》</w:t>
      </w:r>
      <w:r>
        <w:rPr>
          <w:rFonts w:hint="default" w:ascii="仿宋_GB2312" w:hAnsi="仿宋_GB2312" w:eastAsia="仿宋_GB2312" w:cs="仿宋_GB2312"/>
          <w:color w:val="auto"/>
          <w:sz w:val="32"/>
          <w:szCs w:val="32"/>
          <w:highlight w:val="none"/>
          <w:lang w:eastAsia="zh-Hans"/>
        </w:rPr>
        <w:t>《北京市人民政府关于更新出让国有建设用地使用权基准地价的通知》</w:t>
      </w:r>
      <w:r>
        <w:rPr>
          <w:rFonts w:hint="eastAsia" w:ascii="仿宋_GB2312" w:hAnsi="仿宋_GB2312" w:eastAsia="仿宋_GB2312" w:cs="仿宋_GB2312"/>
          <w:color w:val="auto"/>
          <w:sz w:val="32"/>
          <w:szCs w:val="32"/>
          <w:highlight w:val="none"/>
          <w:lang w:eastAsia="zh-Hans"/>
        </w:rPr>
        <w:t>等规定，结合本市实际，</w:t>
      </w:r>
      <w:r>
        <w:rPr>
          <w:rFonts w:hint="eastAsia" w:ascii="仿宋_GB2312" w:hAnsi="仿宋_GB2312" w:eastAsia="仿宋_GB2312" w:cs="仿宋_GB2312"/>
          <w:color w:val="auto"/>
          <w:sz w:val="32"/>
          <w:szCs w:val="32"/>
          <w:highlight w:val="none"/>
          <w:lang w:eastAsia="zh-CN"/>
        </w:rPr>
        <w:t>现将有关事项</w:t>
      </w:r>
      <w:r>
        <w:rPr>
          <w:rFonts w:hint="eastAsia" w:ascii="仿宋_GB2312" w:hAnsi="仿宋_GB2312" w:eastAsia="仿宋_GB2312" w:cs="仿宋_GB2312"/>
          <w:color w:val="auto"/>
          <w:sz w:val="32"/>
          <w:szCs w:val="32"/>
          <w:highlight w:val="none"/>
          <w:lang w:eastAsia="zh-Hans"/>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非住宅房屋</w:t>
      </w:r>
      <w:r>
        <w:rPr>
          <w:rFonts w:hint="eastAsia" w:ascii="仿宋_GB2312" w:hAnsi="仿宋_GB2312" w:eastAsia="仿宋_GB2312" w:cs="仿宋_GB2312"/>
          <w:color w:val="auto"/>
          <w:sz w:val="32"/>
          <w:szCs w:val="32"/>
          <w:highlight w:val="none"/>
          <w:lang w:eastAsia="zh-CN"/>
        </w:rPr>
        <w:t>对应</w:t>
      </w:r>
      <w:r>
        <w:rPr>
          <w:rFonts w:hint="eastAsia" w:ascii="仿宋_GB2312" w:hAnsi="仿宋_GB2312" w:eastAsia="仿宋_GB2312" w:cs="仿宋_GB2312"/>
          <w:color w:val="auto"/>
          <w:sz w:val="32"/>
          <w:szCs w:val="32"/>
          <w:highlight w:val="none"/>
        </w:rPr>
        <w:t>本市</w:t>
      </w:r>
      <w:r>
        <w:rPr>
          <w:rFonts w:hint="eastAsia" w:ascii="仿宋_GB2312" w:hAnsi="仿宋_GB2312" w:eastAsia="仿宋_GB2312" w:cs="仿宋_GB2312"/>
          <w:color w:val="auto"/>
          <w:sz w:val="32"/>
          <w:szCs w:val="32"/>
          <w:highlight w:val="none"/>
          <w:lang w:eastAsia="zh-Hans"/>
        </w:rPr>
        <w:t>基准地价土地用途</w:t>
      </w:r>
      <w:r>
        <w:rPr>
          <w:rFonts w:hint="eastAsia" w:ascii="仿宋_GB2312" w:hAnsi="仿宋_GB2312" w:eastAsia="仿宋_GB2312" w:cs="仿宋_GB2312"/>
          <w:color w:val="auto"/>
          <w:sz w:val="32"/>
          <w:szCs w:val="32"/>
          <w:highlight w:val="none"/>
          <w:lang w:val="en-US" w:eastAsia="zh-CN"/>
        </w:rPr>
        <w:t>分为商业、办公</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工业</w:t>
      </w:r>
      <w:r>
        <w:rPr>
          <w:rFonts w:hint="eastAsia" w:ascii="仿宋_GB2312" w:hAnsi="仿宋_GB2312" w:eastAsia="仿宋_GB2312" w:cs="仿宋_GB2312"/>
          <w:color w:val="auto"/>
          <w:sz w:val="32"/>
          <w:szCs w:val="32"/>
          <w:highlight w:val="none"/>
          <w:lang w:val="en-US" w:eastAsia="zh-Hans"/>
        </w:rPr>
        <w:t>和公共服务类</w:t>
      </w:r>
      <w:r>
        <w:rPr>
          <w:rFonts w:hint="eastAsia" w:ascii="仿宋_GB2312" w:hAnsi="仿宋_GB2312" w:eastAsia="仿宋_GB2312" w:cs="仿宋_GB2312"/>
          <w:color w:val="auto"/>
          <w:sz w:val="32"/>
          <w:szCs w:val="32"/>
          <w:highlight w:val="none"/>
          <w:lang w:val="en-US" w:eastAsia="zh-CN"/>
        </w:rPr>
        <w:t>，评估时</w:t>
      </w:r>
      <w:r>
        <w:rPr>
          <w:rFonts w:hint="eastAsia" w:ascii="仿宋_GB2312" w:hAnsi="仿宋_GB2312" w:eastAsia="仿宋_GB2312" w:cs="仿宋_GB2312"/>
          <w:color w:val="auto"/>
          <w:sz w:val="32"/>
          <w:szCs w:val="32"/>
          <w:highlight w:val="none"/>
          <w:lang w:eastAsia="zh-Hans"/>
        </w:rPr>
        <w:t>应</w:t>
      </w:r>
      <w:r>
        <w:rPr>
          <w:rFonts w:hint="eastAsia" w:ascii="仿宋_GB2312" w:hAnsi="仿宋_GB2312" w:eastAsia="仿宋_GB2312" w:cs="仿宋_GB2312"/>
          <w:color w:val="auto"/>
          <w:sz w:val="32"/>
          <w:szCs w:val="32"/>
          <w:highlight w:val="none"/>
          <w:lang w:eastAsia="zh-CN"/>
        </w:rPr>
        <w:t>参照</w:t>
      </w:r>
      <w:r>
        <w:rPr>
          <w:rFonts w:hint="eastAsia" w:ascii="仿宋_GB2312" w:hAnsi="仿宋_GB2312" w:eastAsia="仿宋_GB2312" w:cs="仿宋_GB2312"/>
          <w:color w:val="auto"/>
          <w:sz w:val="32"/>
          <w:szCs w:val="32"/>
          <w:highlight w:val="none"/>
          <w:lang w:eastAsia="zh-Hans"/>
        </w:rPr>
        <w:t>基准地价土地用途二级分类对应的非住宅房屋</w:t>
      </w:r>
      <w:r>
        <w:rPr>
          <w:rFonts w:ascii="仿宋_GB2312" w:hAnsi="仿宋_GB2312" w:eastAsia="仿宋_GB2312" w:cs="仿宋_GB2312"/>
          <w:color w:val="auto"/>
          <w:sz w:val="32"/>
          <w:szCs w:val="32"/>
          <w:highlight w:val="none"/>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lang w:eastAsia="zh-Hans"/>
        </w:rPr>
      </w:pPr>
      <w:r>
        <w:rPr>
          <w:rFonts w:hint="eastAsia" w:ascii="仿宋_GB2312" w:hAnsi="宋体" w:eastAsia="仿宋_GB2312"/>
          <w:color w:val="auto"/>
          <w:sz w:val="32"/>
          <w:szCs w:val="32"/>
          <w:highlight w:val="none"/>
          <w:lang w:eastAsia="zh-CN"/>
        </w:rPr>
        <w:t>二、</w:t>
      </w:r>
      <w:r>
        <w:rPr>
          <w:rFonts w:hint="eastAsia" w:ascii="仿宋_GB2312" w:hAnsi="宋体" w:eastAsia="仿宋_GB2312"/>
          <w:color w:val="auto"/>
          <w:sz w:val="32"/>
          <w:szCs w:val="32"/>
          <w:highlight w:val="none"/>
        </w:rPr>
        <w:t>对已经登记的非住宅房屋用途调整的认定、处理</w:t>
      </w:r>
      <w:r>
        <w:rPr>
          <w:rFonts w:hint="eastAsia" w:ascii="仿宋_GB2312" w:hAnsi="宋体" w:eastAsia="仿宋_GB2312"/>
          <w:color w:val="auto"/>
          <w:sz w:val="32"/>
          <w:szCs w:val="32"/>
          <w:highlight w:val="none"/>
          <w:lang w:eastAsia="zh-CN"/>
        </w:rPr>
        <w:t>和</w:t>
      </w:r>
      <w:r>
        <w:rPr>
          <w:rFonts w:hint="eastAsia" w:ascii="仿宋_GB2312" w:hAnsi="宋体" w:eastAsia="仿宋_GB2312"/>
          <w:color w:val="auto"/>
          <w:sz w:val="32"/>
          <w:szCs w:val="32"/>
          <w:highlight w:val="none"/>
        </w:rPr>
        <w:t>对未经登记的非住宅房屋的认定、处理，</w:t>
      </w:r>
      <w:r>
        <w:rPr>
          <w:rFonts w:hint="eastAsia" w:ascii="仿宋_GB2312" w:hAnsi="宋体" w:eastAsia="仿宋_GB2312"/>
          <w:color w:val="auto"/>
          <w:sz w:val="32"/>
          <w:szCs w:val="32"/>
          <w:highlight w:val="none"/>
          <w:lang w:val="en-US" w:eastAsia="zh-CN"/>
        </w:rPr>
        <w:t>应</w:t>
      </w:r>
      <w:r>
        <w:rPr>
          <w:rFonts w:ascii="仿宋_GB2312" w:hAnsi="宋体" w:eastAsia="仿宋_GB2312"/>
          <w:color w:val="auto"/>
          <w:sz w:val="32"/>
          <w:szCs w:val="32"/>
          <w:highlight w:val="none"/>
          <w:lang w:eastAsia="zh-Hans"/>
        </w:rPr>
        <w:t>由区人民</w:t>
      </w:r>
      <w:r>
        <w:rPr>
          <w:rFonts w:hint="eastAsia" w:ascii="仿宋_GB2312" w:hAnsi="宋体" w:eastAsia="仿宋_GB2312"/>
          <w:color w:val="auto"/>
          <w:sz w:val="32"/>
          <w:szCs w:val="32"/>
          <w:highlight w:val="none"/>
          <w:lang w:eastAsia="zh-Hans"/>
        </w:rPr>
        <w:t>政府</w:t>
      </w:r>
      <w:r>
        <w:rPr>
          <w:rFonts w:ascii="仿宋_GB2312" w:hAnsi="宋体" w:eastAsia="仿宋_GB2312"/>
          <w:color w:val="auto"/>
          <w:sz w:val="32"/>
          <w:szCs w:val="32"/>
          <w:highlight w:val="none"/>
          <w:lang w:eastAsia="zh-Hans"/>
        </w:rPr>
        <w:t>作出。</w:t>
      </w:r>
      <w:r>
        <w:rPr>
          <w:rFonts w:hint="eastAsia" w:ascii="仿宋_GB2312" w:hAnsi="宋体" w:eastAsia="仿宋_GB2312"/>
          <w:color w:val="auto"/>
          <w:sz w:val="32"/>
          <w:szCs w:val="32"/>
          <w:highlight w:val="none"/>
          <w:lang w:eastAsia="zh-CN"/>
        </w:rPr>
        <w:t>房地产价格评估机构依据认定、处理结果进行评估</w:t>
      </w:r>
      <w:r>
        <w:rPr>
          <w:rFonts w:hint="default" w:ascii="仿宋_GB2312" w:hAnsi="仿宋_GB2312" w:eastAsia="仿宋_GB2312" w:cs="仿宋_GB2312"/>
          <w:color w:val="auto"/>
          <w:sz w:val="32"/>
          <w:szCs w:val="32"/>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对已经登记的非住宅房屋</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改变原用途</w:t>
      </w:r>
      <w:r>
        <w:rPr>
          <w:rFonts w:hint="eastAsia" w:ascii="仿宋_GB2312" w:hAnsi="仿宋_GB2312" w:eastAsia="仿宋_GB2312" w:cs="仿宋_GB2312"/>
          <w:color w:val="auto"/>
          <w:sz w:val="32"/>
          <w:szCs w:val="32"/>
          <w:highlight w:val="none"/>
          <w:lang w:val="en-US" w:eastAsia="zh-CN"/>
        </w:rPr>
        <w:t>符合当时市级政策</w:t>
      </w:r>
      <w:r>
        <w:rPr>
          <w:rFonts w:hint="eastAsia" w:ascii="仿宋_GB2312" w:hAnsi="仿宋_GB2312" w:eastAsia="仿宋_GB2312" w:cs="仿宋_GB2312"/>
          <w:color w:val="auto"/>
          <w:sz w:val="32"/>
          <w:szCs w:val="32"/>
          <w:highlight w:val="none"/>
          <w:lang w:val="en-US" w:eastAsia="zh-Hans"/>
        </w:rPr>
        <w:t>的</w:t>
      </w:r>
      <w:r>
        <w:rPr>
          <w:rFonts w:hint="default"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Hans"/>
        </w:rPr>
        <w:t>可以进行用途调整</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补偿时</w:t>
      </w:r>
      <w:r>
        <w:rPr>
          <w:rFonts w:hint="eastAsia" w:ascii="仿宋_GB2312" w:hAnsi="仿宋_GB2312" w:eastAsia="仿宋_GB2312" w:cs="仿宋_GB2312"/>
          <w:color w:val="auto"/>
          <w:sz w:val="32"/>
          <w:szCs w:val="32"/>
          <w:highlight w:val="none"/>
          <w:lang w:val="en-US" w:eastAsia="zh-CN"/>
        </w:rPr>
        <w:t>，按应补缴地价款额度扣减相应 房屋评估价值。若被征收人提供</w:t>
      </w:r>
      <w:r>
        <w:rPr>
          <w:rFonts w:hint="eastAsia" w:ascii="仿宋_GB2312" w:hAnsi="仿宋_GB2312" w:eastAsia="仿宋_GB2312" w:cs="仿宋_GB2312"/>
          <w:color w:val="auto"/>
          <w:sz w:val="32"/>
          <w:szCs w:val="32"/>
          <w:highlight w:val="none"/>
          <w:lang w:val="en-US" w:eastAsia="zh-Hans"/>
        </w:rPr>
        <w:t>补缴</w:t>
      </w:r>
      <w:r>
        <w:rPr>
          <w:rFonts w:hint="eastAsia" w:ascii="仿宋_GB2312" w:hAnsi="仿宋_GB2312" w:eastAsia="仿宋_GB2312" w:cs="仿宋_GB2312"/>
          <w:color w:val="auto"/>
          <w:sz w:val="32"/>
          <w:szCs w:val="32"/>
          <w:highlight w:val="none"/>
          <w:lang w:val="en-US" w:eastAsia="zh-CN"/>
        </w:rPr>
        <w:t>相应</w:t>
      </w:r>
      <w:r>
        <w:rPr>
          <w:rFonts w:hint="eastAsia" w:ascii="仿宋_GB2312" w:hAnsi="仿宋_GB2312" w:eastAsia="仿宋_GB2312" w:cs="仿宋_GB2312"/>
          <w:color w:val="auto"/>
          <w:sz w:val="32"/>
          <w:szCs w:val="32"/>
          <w:highlight w:val="none"/>
          <w:lang w:val="en-US" w:eastAsia="zh-Hans"/>
        </w:rPr>
        <w:t>地价款</w:t>
      </w:r>
      <w:r>
        <w:rPr>
          <w:rFonts w:hint="eastAsia" w:ascii="仿宋_GB2312" w:hAnsi="仿宋_GB2312" w:eastAsia="仿宋_GB2312" w:cs="仿宋_GB2312"/>
          <w:color w:val="auto"/>
          <w:sz w:val="32"/>
          <w:szCs w:val="32"/>
          <w:highlight w:val="none"/>
          <w:lang w:val="en-US" w:eastAsia="zh-CN"/>
        </w:rPr>
        <w:t>手续，则不予扣减。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对于未经登记的非住宅房屋</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CN"/>
        </w:rPr>
        <w:t>依据土地权属审查结论或其他相关文件进行认定，无法提供上述文件及证明的，由区人民政府结合规自部门、房屋管理部门、被征收人出具的有效证明文件以及相关证据材料研究确定。</w:t>
      </w:r>
      <w:r>
        <w:rPr>
          <w:rFonts w:hint="eastAsia" w:ascii="仿宋_GB2312" w:hAnsi="仿宋_GB2312" w:eastAsia="仿宋_GB2312" w:cs="仿宋_GB2312"/>
          <w:color w:val="auto"/>
          <w:sz w:val="32"/>
          <w:szCs w:val="32"/>
          <w:highlight w:val="none"/>
          <w:lang w:val="en-US" w:eastAsia="zh-Hans"/>
        </w:rPr>
        <w:t>补偿时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Hans"/>
        </w:rPr>
        <w:t>应扣减房屋评估价值的</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Hans"/>
        </w:rPr>
        <w:t>5%。</w:t>
      </w:r>
      <w:r>
        <w:rPr>
          <w:rFonts w:hint="eastAsia" w:ascii="仿宋_GB2312" w:hAnsi="仿宋_GB2312" w:eastAsia="仿宋_GB2312" w:cs="仿宋_GB2312"/>
          <w:color w:val="auto"/>
          <w:sz w:val="32"/>
          <w:szCs w:val="32"/>
          <w:highlight w:val="none"/>
          <w:lang w:val="en-US" w:eastAsia="zh-CN"/>
        </w:rPr>
        <w:t>如同时改变用途，比照前款再扣减</w:t>
      </w:r>
      <w:r>
        <w:rPr>
          <w:rFonts w:hint="eastAsia" w:ascii="仿宋_GB2312" w:hAnsi="仿宋_GB2312" w:eastAsia="仿宋_GB2312" w:cs="仿宋_GB2312"/>
          <w:color w:val="auto"/>
          <w:sz w:val="32"/>
          <w:szCs w:val="32"/>
          <w:highlight w:val="none"/>
          <w:lang w:val="en-US" w:eastAsia="zh-Hans"/>
        </w:rPr>
        <w:t>房屋评估价值的</w:t>
      </w:r>
      <w:r>
        <w:rPr>
          <w:rFonts w:hint="eastAsia" w:ascii="仿宋_GB2312" w:hAnsi="仿宋_GB2312" w:eastAsia="仿宋_GB2312" w:cs="仿宋_GB2312"/>
          <w:color w:val="auto"/>
          <w:sz w:val="32"/>
          <w:szCs w:val="32"/>
          <w:highlight w:val="none"/>
          <w:lang w:val="en-US" w:eastAsia="zh-CN"/>
        </w:rPr>
        <w:t>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lang w:val="en-US" w:eastAsia="zh-Hans"/>
        </w:rPr>
        <w:t>以出让方式取得土地使用权的非住宅房屋的价值评估</w:t>
      </w:r>
      <w:r>
        <w:rPr>
          <w:rFonts w:hint="default"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highlight w:val="none"/>
          <w:lang w:eastAsia="zh-CN"/>
        </w:rPr>
        <w:t>一般选用比较法、成本法、收益法，对以上方法进行适用性分析后，选用其中两种方法进行评估，</w:t>
      </w:r>
      <w:r>
        <w:rPr>
          <w:rFonts w:hint="eastAsia" w:ascii="仿宋_GB2312" w:hAnsi="仿宋_GB2312" w:eastAsia="仿宋_GB2312" w:cs="仿宋_GB2312"/>
          <w:color w:val="auto"/>
          <w:sz w:val="32"/>
          <w:szCs w:val="32"/>
          <w:highlight w:val="none"/>
          <w:lang w:val="en-US" w:eastAsia="zh-CN"/>
        </w:rPr>
        <w:t>合理确定评估结果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当仅选用其中一种方法进行评估时，应当充分说明理由</w:t>
      </w:r>
      <w:r>
        <w:rPr>
          <w:rFonts w:hint="eastAsia" w:ascii="仿宋_GB2312" w:hAnsi="仿宋_GB2312" w:eastAsia="仿宋_GB2312" w:cs="仿宋_GB2312"/>
          <w:color w:val="auto"/>
          <w:sz w:val="32"/>
          <w:szCs w:val="32"/>
          <w:highlight w:val="none"/>
          <w:lang w:val="en-US" w:eastAsia="zh-CN"/>
        </w:rPr>
        <w:t>，并向估价委托方报告。市级主管部门和行业协会</w:t>
      </w:r>
      <w:r>
        <w:rPr>
          <w:rFonts w:hint="default" w:ascii="仿宋_GB2312" w:hAnsi="仿宋_GB2312" w:eastAsia="仿宋_GB2312" w:cs="仿宋_GB2312"/>
          <w:color w:val="auto"/>
          <w:sz w:val="32"/>
          <w:szCs w:val="32"/>
          <w:highlight w:val="none"/>
          <w:lang w:val="en-US" w:eastAsia="zh-Hans"/>
        </w:rPr>
        <w:t>每年对</w:t>
      </w:r>
      <w:r>
        <w:rPr>
          <w:rFonts w:hint="eastAsia" w:ascii="仿宋_GB2312" w:hAnsi="仿宋_GB2312" w:eastAsia="仿宋_GB2312" w:cs="仿宋_GB2312"/>
          <w:color w:val="auto"/>
          <w:sz w:val="32"/>
          <w:szCs w:val="32"/>
          <w:highlight w:val="none"/>
          <w:lang w:val="en-US" w:eastAsia="zh-CN"/>
        </w:rPr>
        <w:t>此类</w:t>
      </w:r>
      <w:r>
        <w:rPr>
          <w:rFonts w:hint="default" w:ascii="仿宋_GB2312" w:hAnsi="仿宋_GB2312" w:eastAsia="仿宋_GB2312" w:cs="仿宋_GB2312"/>
          <w:color w:val="auto"/>
          <w:sz w:val="32"/>
          <w:szCs w:val="32"/>
          <w:highlight w:val="none"/>
          <w:lang w:val="en-US" w:eastAsia="zh-Hans"/>
        </w:rPr>
        <w:t>房地产估价机构估价报告进行</w:t>
      </w:r>
      <w:r>
        <w:rPr>
          <w:rFonts w:hint="eastAsia" w:ascii="仿宋_GB2312" w:hAnsi="仿宋_GB2312" w:eastAsia="仿宋_GB2312" w:cs="仿宋_GB2312"/>
          <w:color w:val="auto"/>
          <w:sz w:val="32"/>
          <w:szCs w:val="32"/>
          <w:highlight w:val="none"/>
          <w:lang w:val="en-US" w:eastAsia="zh-CN"/>
        </w:rPr>
        <w:t>重点</w:t>
      </w:r>
      <w:r>
        <w:rPr>
          <w:rFonts w:hint="default" w:ascii="仿宋_GB2312" w:hAnsi="仿宋_GB2312" w:eastAsia="仿宋_GB2312" w:cs="仿宋_GB2312"/>
          <w:color w:val="auto"/>
          <w:sz w:val="32"/>
          <w:szCs w:val="32"/>
          <w:highlight w:val="none"/>
          <w:lang w:val="en-US" w:eastAsia="zh-Hans"/>
        </w:rPr>
        <w:t>检查</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采用比较法评估非住宅房屋</w:t>
      </w:r>
      <w:r>
        <w:rPr>
          <w:rFonts w:hint="eastAsia" w:ascii="仿宋_GB2312" w:hAnsi="仿宋_GB2312" w:eastAsia="仿宋_GB2312" w:cs="仿宋_GB2312"/>
          <w:color w:val="auto"/>
          <w:sz w:val="32"/>
          <w:szCs w:val="32"/>
          <w:highlight w:val="none"/>
          <w:lang w:val="en-US" w:eastAsia="zh-Hans"/>
        </w:rPr>
        <w:t>价值</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eastAsia="zh-CN"/>
        </w:rPr>
        <w:t>可比实</w:t>
      </w:r>
      <w:r>
        <w:rPr>
          <w:rFonts w:hint="eastAsia" w:ascii="仿宋_GB2312" w:hAnsi="仿宋_GB2312" w:eastAsia="仿宋_GB2312" w:cs="仿宋_GB2312"/>
          <w:color w:val="auto"/>
          <w:sz w:val="32"/>
          <w:szCs w:val="32"/>
          <w:highlight w:val="none"/>
          <w:lang w:val="en-US" w:eastAsia="zh-Hans"/>
        </w:rPr>
        <w:t>例</w:t>
      </w:r>
      <w:r>
        <w:rPr>
          <w:rFonts w:hint="eastAsia" w:ascii="仿宋_GB2312" w:hAnsi="仿宋_GB2312" w:eastAsia="仿宋_GB2312" w:cs="仿宋_GB2312"/>
          <w:color w:val="auto"/>
          <w:sz w:val="32"/>
          <w:szCs w:val="32"/>
          <w:highlight w:val="none"/>
          <w:lang w:val="en-US" w:eastAsia="zh-CN"/>
        </w:rPr>
        <w:t>选取应严格依据</w:t>
      </w:r>
      <w:r>
        <w:rPr>
          <w:rFonts w:hint="default" w:ascii="仿宋_GB2312" w:hAnsi="仿宋_GB2312" w:eastAsia="仿宋_GB2312" w:cs="仿宋_GB2312"/>
          <w:color w:val="auto"/>
          <w:sz w:val="32"/>
          <w:szCs w:val="32"/>
          <w:lang w:val="en-US" w:eastAsia="zh-CN"/>
        </w:rPr>
        <w:t>《国有土地上房屋征收评估办法》</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建房〔2011〕77号</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Hans"/>
        </w:rPr>
        <w:t>第三十条</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Hans"/>
        </w:rPr>
        <w:t>被征收房屋的类似房地产是指与被征收房屋的</w:t>
      </w:r>
      <w:r>
        <w:rPr>
          <w:rFonts w:hint="default" w:ascii="仿宋_GB2312" w:hAnsi="仿宋_GB2312" w:eastAsia="仿宋_GB2312" w:cs="仿宋_GB2312"/>
          <w:color w:val="auto"/>
          <w:sz w:val="32"/>
          <w:szCs w:val="32"/>
          <w:lang w:val="en-US" w:eastAsia="zh-Hans"/>
        </w:rPr>
        <w:fldChar w:fldCharType="begin"/>
      </w:r>
      <w:r>
        <w:rPr>
          <w:rFonts w:hint="default" w:ascii="仿宋_GB2312" w:hAnsi="仿宋_GB2312" w:eastAsia="仿宋_GB2312" w:cs="仿宋_GB2312"/>
          <w:color w:val="auto"/>
          <w:sz w:val="32"/>
          <w:szCs w:val="32"/>
          <w:lang w:val="en-US" w:eastAsia="zh-Hans"/>
        </w:rPr>
        <w:instrText xml:space="preserve"> HYPERLINK "https://baike.baidu.com/item/%E5%8C%BA%E4%BD%8D" \t "/Users/woziji/Documents\\x/_blank" </w:instrText>
      </w:r>
      <w:r>
        <w:rPr>
          <w:rFonts w:hint="default" w:ascii="仿宋_GB2312" w:hAnsi="仿宋_GB2312" w:eastAsia="仿宋_GB2312" w:cs="仿宋_GB2312"/>
          <w:color w:val="auto"/>
          <w:sz w:val="32"/>
          <w:szCs w:val="32"/>
          <w:lang w:val="en-US" w:eastAsia="zh-Hans"/>
        </w:rPr>
        <w:fldChar w:fldCharType="separate"/>
      </w:r>
      <w:r>
        <w:rPr>
          <w:rFonts w:hint="default" w:ascii="仿宋_GB2312" w:hAnsi="仿宋_GB2312" w:eastAsia="仿宋_GB2312" w:cs="仿宋_GB2312"/>
          <w:color w:val="auto"/>
          <w:sz w:val="32"/>
          <w:szCs w:val="32"/>
          <w:lang w:val="en-US" w:eastAsia="zh-Hans"/>
        </w:rPr>
        <w:t>区位</w:t>
      </w:r>
      <w:r>
        <w:rPr>
          <w:rFonts w:hint="default" w:ascii="仿宋_GB2312" w:hAnsi="仿宋_GB2312" w:eastAsia="仿宋_GB2312" w:cs="仿宋_GB2312"/>
          <w:color w:val="auto"/>
          <w:sz w:val="32"/>
          <w:szCs w:val="32"/>
          <w:lang w:val="en-US" w:eastAsia="zh-Hans"/>
        </w:rPr>
        <w:fldChar w:fldCharType="end"/>
      </w:r>
      <w:r>
        <w:rPr>
          <w:rFonts w:hint="default" w:ascii="仿宋_GB2312" w:hAnsi="仿宋_GB2312" w:eastAsia="仿宋_GB2312" w:cs="仿宋_GB2312"/>
          <w:color w:val="auto"/>
          <w:sz w:val="32"/>
          <w:szCs w:val="32"/>
          <w:lang w:val="en-US" w:eastAsia="zh-Hans"/>
        </w:rPr>
        <w:t>、用途、权利性质、档次、新旧程度、规模、建筑结构等相同或者相似的房地产</w:t>
      </w:r>
      <w:r>
        <w:rPr>
          <w:rFonts w:hint="eastAsia" w:ascii="仿宋_GB2312" w:hAnsi="仿宋_GB2312" w:eastAsia="仿宋_GB2312" w:cs="仿宋_GB2312"/>
          <w:color w:val="auto"/>
          <w:sz w:val="32"/>
          <w:szCs w:val="32"/>
          <w:lang w:val="en-US" w:eastAsia="zh-CN"/>
        </w:rPr>
        <w:t>”的规定执行（下同）。</w:t>
      </w:r>
      <w:r>
        <w:rPr>
          <w:rFonts w:hint="eastAsia" w:ascii="仿宋_GB2312" w:hAnsi="仿宋_GB2312" w:eastAsia="仿宋_GB2312" w:cs="仿宋_GB2312"/>
          <w:color w:val="auto"/>
          <w:sz w:val="32"/>
          <w:szCs w:val="32"/>
          <w:highlight w:val="none"/>
          <w:lang w:val="en-US" w:eastAsia="zh-Hans"/>
        </w:rPr>
        <w:t>对可比实例成交价格的修正或调整幅度单项不得超过</w:t>
      </w:r>
      <w:r>
        <w:rPr>
          <w:rFonts w:hint="default" w:ascii="仿宋_GB2312" w:hAnsi="仿宋_GB2312" w:eastAsia="仿宋_GB2312" w:cs="仿宋_GB2312"/>
          <w:color w:val="auto"/>
          <w:sz w:val="32"/>
          <w:szCs w:val="32"/>
          <w:highlight w:val="none"/>
          <w:lang w:eastAsia="zh-Hans"/>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Hans"/>
        </w:rPr>
        <w:t>综合不</w:t>
      </w:r>
      <w:r>
        <w:rPr>
          <w:rFonts w:hint="eastAsia" w:ascii="仿宋_GB2312" w:hAnsi="仿宋_GB2312" w:eastAsia="仿宋_GB2312" w:cs="仿宋_GB2312"/>
          <w:color w:val="auto"/>
          <w:sz w:val="32"/>
          <w:szCs w:val="32"/>
          <w:highlight w:val="none"/>
          <w:lang w:val="en-US" w:eastAsia="zh-CN"/>
        </w:rPr>
        <w:t>得</w:t>
      </w:r>
      <w:r>
        <w:rPr>
          <w:rFonts w:hint="eastAsia" w:ascii="仿宋_GB2312" w:hAnsi="仿宋_GB2312" w:eastAsia="仿宋_GB2312" w:cs="仿宋_GB2312"/>
          <w:color w:val="auto"/>
          <w:sz w:val="32"/>
          <w:szCs w:val="32"/>
          <w:highlight w:val="none"/>
          <w:lang w:val="en-US" w:eastAsia="zh-Hans"/>
        </w:rPr>
        <w:t>超过</w:t>
      </w:r>
      <w:r>
        <w:rPr>
          <w:rFonts w:hint="default" w:ascii="仿宋_GB2312" w:hAnsi="仿宋_GB2312" w:eastAsia="仿宋_GB2312" w:cs="仿宋_GB2312"/>
          <w:color w:val="auto"/>
          <w:sz w:val="32"/>
          <w:szCs w:val="32"/>
          <w:highlight w:val="none"/>
          <w:lang w:eastAsia="zh-Hans"/>
        </w:rPr>
        <w:t>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采用成本法评估非住</w:t>
      </w:r>
      <w:r>
        <w:rPr>
          <w:rFonts w:hint="eastAsia" w:ascii="仿宋_GB2312" w:hAnsi="仿宋_GB2312" w:eastAsia="仿宋_GB2312" w:cs="仿宋_GB2312"/>
          <w:color w:val="auto"/>
          <w:sz w:val="32"/>
          <w:szCs w:val="32"/>
          <w:highlight w:val="none"/>
          <w:lang w:eastAsia="zh-Hans"/>
        </w:rPr>
        <w:t>宅</w:t>
      </w:r>
      <w:r>
        <w:rPr>
          <w:rFonts w:hint="eastAsia" w:ascii="仿宋_GB2312" w:hAnsi="仿宋_GB2312" w:eastAsia="仿宋_GB2312" w:cs="仿宋_GB2312"/>
          <w:color w:val="auto"/>
          <w:sz w:val="32"/>
          <w:szCs w:val="32"/>
          <w:highlight w:val="none"/>
        </w:rPr>
        <w:t>房屋</w:t>
      </w:r>
      <w:r>
        <w:rPr>
          <w:rFonts w:hint="eastAsia" w:ascii="仿宋_GB2312" w:hAnsi="仿宋_GB2312" w:eastAsia="仿宋_GB2312" w:cs="仿宋_GB2312"/>
          <w:color w:val="auto"/>
          <w:sz w:val="32"/>
          <w:szCs w:val="32"/>
          <w:highlight w:val="none"/>
          <w:lang w:val="en-US" w:eastAsia="zh-Hans"/>
        </w:rPr>
        <w:t>价值</w:t>
      </w:r>
      <w:r>
        <w:rPr>
          <w:rFonts w:hint="eastAsia" w:ascii="仿宋_GB2312" w:hAnsi="仿宋_GB2312" w:eastAsia="仿宋_GB2312" w:cs="仿宋_GB2312"/>
          <w:color w:val="auto"/>
          <w:sz w:val="32"/>
          <w:szCs w:val="32"/>
          <w:highlight w:val="none"/>
        </w:rPr>
        <w:t>时，</w:t>
      </w:r>
      <w:r>
        <w:rPr>
          <w:rFonts w:hint="eastAsia" w:ascii="仿宋_GB2312" w:hAnsi="仿宋_GB2312" w:eastAsia="仿宋_GB2312" w:cs="仿宋_GB2312"/>
          <w:color w:val="auto"/>
          <w:sz w:val="32"/>
          <w:szCs w:val="32"/>
          <w:highlight w:val="none"/>
          <w:lang w:val="en-US" w:eastAsia="zh-Hans"/>
        </w:rPr>
        <w:t>土地重置成本可采用比较法</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成本法</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基准地价修正法等方法</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其中成本法的权重不得高于</w:t>
      </w:r>
      <w:r>
        <w:rPr>
          <w:rFonts w:hint="default" w:ascii="仿宋_GB2312" w:hAnsi="仿宋_GB2312" w:eastAsia="仿宋_GB2312" w:cs="仿宋_GB2312"/>
          <w:color w:val="auto"/>
          <w:sz w:val="32"/>
          <w:szCs w:val="32"/>
          <w:highlight w:val="none"/>
          <w:lang w:eastAsia="zh-Hans"/>
        </w:rPr>
        <w:t>30%，</w:t>
      </w:r>
      <w:r>
        <w:rPr>
          <w:rFonts w:hint="eastAsia" w:ascii="仿宋_GB2312" w:hAnsi="仿宋_GB2312" w:eastAsia="仿宋_GB2312" w:cs="仿宋_GB2312"/>
          <w:color w:val="auto"/>
          <w:sz w:val="32"/>
          <w:szCs w:val="32"/>
          <w:highlight w:val="none"/>
          <w:lang w:val="en-US" w:eastAsia="zh-Hans"/>
        </w:rPr>
        <w:t>基准地价修正法的权重不得低于</w:t>
      </w:r>
      <w:r>
        <w:rPr>
          <w:rFonts w:hint="default" w:ascii="仿宋_GB2312" w:hAnsi="仿宋_GB2312" w:eastAsia="仿宋_GB2312" w:cs="仿宋_GB2312"/>
          <w:color w:val="auto"/>
          <w:sz w:val="32"/>
          <w:szCs w:val="32"/>
          <w:highlight w:val="none"/>
          <w:lang w:eastAsia="zh-Hans"/>
        </w:rPr>
        <w:t>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highlight w:val="none"/>
          <w:lang w:eastAsia="zh-Hans"/>
        </w:rPr>
      </w:pPr>
      <w:r>
        <w:rPr>
          <w:rFonts w:hint="default"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lang w:val="en-US" w:eastAsia="zh-Hans"/>
        </w:rPr>
        <w:t>土地重置成本</w:t>
      </w:r>
      <w:r>
        <w:rPr>
          <w:rFonts w:hint="default" w:ascii="仿宋_GB2312" w:hAnsi="仿宋_GB2312" w:eastAsia="仿宋_GB2312" w:cs="仿宋_GB2312"/>
          <w:color w:val="auto"/>
          <w:sz w:val="32"/>
          <w:szCs w:val="32"/>
          <w:highlight w:val="none"/>
          <w:lang w:eastAsia="zh-Hans"/>
        </w:rPr>
        <w:t>采用</w:t>
      </w:r>
      <w:r>
        <w:rPr>
          <w:rFonts w:hint="eastAsia" w:ascii="仿宋_GB2312" w:hAnsi="仿宋_GB2312" w:eastAsia="仿宋_GB2312" w:cs="仿宋_GB2312"/>
          <w:color w:val="auto"/>
          <w:sz w:val="32"/>
          <w:szCs w:val="32"/>
          <w:highlight w:val="none"/>
          <w:lang w:val="en-US" w:eastAsia="zh-Hans"/>
        </w:rPr>
        <w:t>比较</w:t>
      </w:r>
      <w:r>
        <w:rPr>
          <w:rFonts w:hint="default" w:ascii="仿宋_GB2312" w:hAnsi="仿宋_GB2312" w:eastAsia="仿宋_GB2312" w:cs="仿宋_GB2312"/>
          <w:color w:val="auto"/>
          <w:sz w:val="32"/>
          <w:szCs w:val="32"/>
          <w:highlight w:val="none"/>
          <w:lang w:eastAsia="zh-Hans"/>
        </w:rPr>
        <w:t>法评估时，</w:t>
      </w:r>
      <w:r>
        <w:rPr>
          <w:rFonts w:hint="eastAsia" w:ascii="仿宋_GB2312" w:hAnsi="仿宋_GB2312" w:eastAsia="仿宋_GB2312" w:cs="仿宋_GB2312"/>
          <w:color w:val="auto"/>
          <w:sz w:val="32"/>
          <w:szCs w:val="32"/>
          <w:highlight w:val="none"/>
          <w:lang w:val="en-US" w:eastAsia="zh-Hans"/>
        </w:rPr>
        <w:t>可选用</w:t>
      </w:r>
      <w:r>
        <w:rPr>
          <w:rFonts w:hint="default" w:ascii="仿宋_GB2312" w:hAnsi="仿宋_GB2312" w:eastAsia="仿宋_GB2312" w:cs="仿宋_GB2312"/>
          <w:color w:val="auto"/>
          <w:sz w:val="32"/>
          <w:szCs w:val="32"/>
          <w:highlight w:val="none"/>
          <w:lang w:eastAsia="zh-Hans"/>
        </w:rPr>
        <w:t>同区域或类似区域内</w:t>
      </w:r>
      <w:r>
        <w:rPr>
          <w:rFonts w:hint="eastAsia" w:ascii="仿宋_GB2312" w:hAnsi="仿宋_GB2312" w:eastAsia="仿宋_GB2312" w:cs="仿宋_GB2312"/>
          <w:color w:val="auto"/>
          <w:sz w:val="32"/>
          <w:szCs w:val="32"/>
          <w:highlight w:val="none"/>
          <w:lang w:val="en-US" w:eastAsia="zh-Hans"/>
        </w:rPr>
        <w:t>近三年</w:t>
      </w:r>
      <w:r>
        <w:rPr>
          <w:rFonts w:hint="default" w:ascii="仿宋_GB2312" w:hAnsi="仿宋_GB2312" w:eastAsia="仿宋_GB2312" w:cs="仿宋_GB2312"/>
          <w:color w:val="auto"/>
          <w:sz w:val="32"/>
          <w:szCs w:val="32"/>
          <w:highlight w:val="none"/>
          <w:lang w:eastAsia="zh-Hans"/>
        </w:rPr>
        <w:t>三个（含）以上土地市场招拍挂成交实例</w:t>
      </w:r>
      <w:r>
        <w:rPr>
          <w:rFonts w:hint="eastAsia" w:ascii="仿宋_GB2312" w:hAnsi="仿宋_GB2312" w:eastAsia="仿宋_GB2312" w:cs="仿宋_GB2312"/>
          <w:color w:val="auto"/>
          <w:sz w:val="32"/>
          <w:szCs w:val="32"/>
          <w:highlight w:val="none"/>
          <w:lang w:val="en-US" w:eastAsia="zh-Hans"/>
        </w:rPr>
        <w:t>作为可比实例</w:t>
      </w:r>
      <w:r>
        <w:rPr>
          <w:rFonts w:hint="default" w:ascii="仿宋_GB2312" w:hAnsi="仿宋_GB2312" w:eastAsia="仿宋_GB2312" w:cs="仿宋_GB2312"/>
          <w:color w:val="auto"/>
          <w:sz w:val="32"/>
          <w:szCs w:val="32"/>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Hans"/>
        </w:rPr>
        <w:t>土地重置成本</w:t>
      </w:r>
      <w:r>
        <w:rPr>
          <w:rFonts w:hint="default" w:ascii="仿宋_GB2312" w:hAnsi="仿宋_GB2312" w:eastAsia="仿宋_GB2312" w:cs="仿宋_GB2312"/>
          <w:color w:val="auto"/>
          <w:sz w:val="32"/>
          <w:szCs w:val="32"/>
          <w:highlight w:val="none"/>
          <w:lang w:eastAsia="zh-Hans"/>
        </w:rPr>
        <w:t>采用成本法评估时，</w:t>
      </w:r>
      <w:r>
        <w:rPr>
          <w:rFonts w:hint="eastAsia" w:ascii="仿宋_GB2312" w:hAnsi="仿宋_GB2312" w:eastAsia="仿宋_GB2312" w:cs="仿宋_GB2312"/>
          <w:color w:val="auto"/>
          <w:sz w:val="32"/>
          <w:szCs w:val="32"/>
          <w:highlight w:val="none"/>
          <w:lang w:val="en-US" w:eastAsia="zh-Hans"/>
        </w:rPr>
        <w:t>可</w:t>
      </w:r>
      <w:r>
        <w:rPr>
          <w:rFonts w:hint="default" w:ascii="仿宋_GB2312" w:hAnsi="仿宋_GB2312" w:eastAsia="仿宋_GB2312" w:cs="仿宋_GB2312"/>
          <w:color w:val="auto"/>
          <w:sz w:val="32"/>
          <w:szCs w:val="32"/>
          <w:highlight w:val="none"/>
          <w:lang w:eastAsia="zh-Hans"/>
        </w:rPr>
        <w:t>选用同区域或类似区域内</w:t>
      </w:r>
      <w:r>
        <w:rPr>
          <w:rFonts w:hint="eastAsia" w:ascii="仿宋_GB2312" w:hAnsi="仿宋_GB2312" w:eastAsia="仿宋_GB2312" w:cs="仿宋_GB2312"/>
          <w:color w:val="auto"/>
          <w:sz w:val="32"/>
          <w:szCs w:val="32"/>
          <w:highlight w:val="none"/>
          <w:lang w:val="en-US" w:eastAsia="zh-Hans"/>
        </w:rPr>
        <w:t>近三年</w:t>
      </w:r>
      <w:r>
        <w:rPr>
          <w:rFonts w:hint="default" w:ascii="仿宋_GB2312" w:hAnsi="仿宋_GB2312" w:eastAsia="仿宋_GB2312" w:cs="仿宋_GB2312"/>
          <w:color w:val="auto"/>
          <w:sz w:val="32"/>
          <w:szCs w:val="32"/>
          <w:highlight w:val="none"/>
          <w:lang w:eastAsia="zh-Hans"/>
        </w:rPr>
        <w:t>三个（含）以上土地一级开发项目</w:t>
      </w:r>
      <w:r>
        <w:rPr>
          <w:rFonts w:hint="eastAsia" w:ascii="仿宋_GB2312" w:hAnsi="仿宋_GB2312" w:eastAsia="仿宋_GB2312" w:cs="仿宋_GB2312"/>
          <w:color w:val="auto"/>
          <w:sz w:val="32"/>
          <w:szCs w:val="32"/>
          <w:highlight w:val="none"/>
          <w:lang w:val="en-US" w:eastAsia="zh-Hans"/>
        </w:rPr>
        <w:t>或棚改项目成本数据作为可比实例</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lang w:eastAsia="zh-CN"/>
        </w:rPr>
        <w:t>成本数据必须与评估对象的成本构成及内涵一致。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Hans"/>
        </w:rPr>
        <w:t>土地重置成本评估选用可比实例时</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在同一行政区内</w:t>
      </w:r>
      <w:r>
        <w:rPr>
          <w:rFonts w:hint="eastAsia" w:ascii="仿宋_GB2312" w:hAnsi="仿宋_GB2312" w:eastAsia="仿宋_GB2312" w:cs="仿宋_GB2312"/>
          <w:color w:val="auto"/>
          <w:sz w:val="32"/>
          <w:szCs w:val="32"/>
          <w:highlight w:val="none"/>
          <w:lang w:eastAsia="zh-Hans"/>
        </w:rPr>
        <w:t>选用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若无法满足</w:t>
      </w:r>
      <w:r>
        <w:rPr>
          <w:rFonts w:hint="eastAsia" w:ascii="仿宋_GB2312" w:hAnsi="仿宋_GB2312" w:eastAsia="仿宋_GB2312" w:cs="仿宋_GB2312"/>
          <w:color w:val="auto"/>
          <w:sz w:val="32"/>
          <w:szCs w:val="32"/>
          <w:highlight w:val="none"/>
        </w:rPr>
        <w:t>，可适当扩</w:t>
      </w:r>
      <w:r>
        <w:rPr>
          <w:rFonts w:hint="eastAsia" w:ascii="仿宋_GB2312" w:hAnsi="仿宋_GB2312" w:eastAsia="仿宋_GB2312" w:cs="仿宋_GB2312"/>
          <w:color w:val="auto"/>
          <w:sz w:val="32"/>
          <w:szCs w:val="32"/>
          <w:highlight w:val="none"/>
          <w:lang w:eastAsia="zh-CN"/>
        </w:rPr>
        <w:t>大到</w:t>
      </w:r>
      <w:r>
        <w:rPr>
          <w:rFonts w:hint="eastAsia" w:ascii="仿宋_GB2312" w:hAnsi="仿宋_GB2312" w:eastAsia="仿宋_GB2312" w:cs="仿宋_GB2312"/>
          <w:color w:val="auto"/>
          <w:sz w:val="32"/>
          <w:szCs w:val="32"/>
          <w:highlight w:val="none"/>
          <w:lang w:val="en-US" w:eastAsia="zh-Hans"/>
        </w:rPr>
        <w:t>同一圈层</w:t>
      </w:r>
      <w:r>
        <w:rPr>
          <w:rFonts w:hint="eastAsia" w:ascii="仿宋_GB2312" w:hAnsi="仿宋_GB2312" w:eastAsia="仿宋_GB2312" w:cs="仿宋_GB2312"/>
          <w:color w:val="auto"/>
          <w:sz w:val="32"/>
          <w:szCs w:val="32"/>
          <w:highlight w:val="none"/>
          <w:lang w:eastAsia="zh-Hans"/>
        </w:rPr>
        <w:t>区域</w:t>
      </w:r>
      <w:r>
        <w:rPr>
          <w:rFonts w:hint="eastAsia" w:ascii="仿宋_GB2312" w:hAnsi="仿宋_GB2312" w:eastAsia="仿宋_GB2312" w:cs="仿宋_GB2312"/>
          <w:color w:val="auto"/>
          <w:sz w:val="32"/>
          <w:szCs w:val="32"/>
          <w:highlight w:val="none"/>
        </w:rPr>
        <w:t>（首都功能核心区、中心城区、城市副中心、</w:t>
      </w:r>
      <w:r>
        <w:rPr>
          <w:rFonts w:hint="eastAsia" w:ascii="仿宋_GB2312" w:hAnsi="仿宋_GB2312" w:eastAsia="仿宋_GB2312" w:cs="仿宋_GB2312"/>
          <w:color w:val="auto"/>
          <w:sz w:val="32"/>
          <w:szCs w:val="32"/>
          <w:highlight w:val="none"/>
          <w:lang w:eastAsia="zh-CN"/>
        </w:rPr>
        <w:t>平原新城地区</w:t>
      </w:r>
      <w:r>
        <w:rPr>
          <w:rFonts w:hint="eastAsia" w:ascii="仿宋_GB2312" w:hAnsi="仿宋_GB2312" w:eastAsia="仿宋_GB2312" w:cs="仿宋_GB2312"/>
          <w:color w:val="auto"/>
          <w:sz w:val="32"/>
          <w:szCs w:val="32"/>
          <w:highlight w:val="none"/>
        </w:rPr>
        <w:t>、生态涵养区等）选用，</w:t>
      </w:r>
      <w:r>
        <w:rPr>
          <w:rFonts w:hint="eastAsia" w:ascii="仿宋_GB2312" w:hAnsi="仿宋_GB2312" w:eastAsia="仿宋_GB2312" w:cs="仿宋_GB2312"/>
          <w:color w:val="auto"/>
          <w:sz w:val="32"/>
          <w:szCs w:val="32"/>
          <w:highlight w:val="none"/>
          <w:lang w:eastAsia="zh-CN"/>
        </w:rPr>
        <w:t>也可调整在相邻</w:t>
      </w:r>
      <w:r>
        <w:rPr>
          <w:rFonts w:hint="eastAsia" w:ascii="仿宋_GB2312" w:hAnsi="仿宋_GB2312" w:eastAsia="仿宋_GB2312" w:cs="仿宋_GB2312"/>
          <w:color w:val="auto"/>
          <w:sz w:val="32"/>
          <w:szCs w:val="32"/>
          <w:highlight w:val="none"/>
          <w:lang w:val="en-US" w:eastAsia="zh-Hans"/>
        </w:rPr>
        <w:t>圈层</w:t>
      </w:r>
      <w:r>
        <w:rPr>
          <w:rFonts w:hint="eastAsia" w:ascii="仿宋_GB2312" w:hAnsi="仿宋_GB2312" w:eastAsia="仿宋_GB2312" w:cs="仿宋_GB2312"/>
          <w:color w:val="auto"/>
          <w:sz w:val="32"/>
          <w:szCs w:val="32"/>
          <w:highlight w:val="none"/>
          <w:lang w:eastAsia="zh-Hans"/>
        </w:rPr>
        <w:t>区域</w:t>
      </w:r>
      <w:r>
        <w:rPr>
          <w:rFonts w:hint="eastAsia" w:ascii="仿宋_GB2312" w:hAnsi="仿宋_GB2312" w:eastAsia="仿宋_GB2312" w:cs="仿宋_GB2312"/>
          <w:color w:val="auto"/>
          <w:sz w:val="32"/>
          <w:szCs w:val="32"/>
          <w:highlight w:val="none"/>
          <w:lang w:eastAsia="zh-CN"/>
        </w:rPr>
        <w:t>选用，</w:t>
      </w:r>
      <w:r>
        <w:rPr>
          <w:rFonts w:hint="eastAsia" w:ascii="仿宋_GB2312" w:hAnsi="仿宋_GB2312" w:eastAsia="仿宋_GB2312" w:cs="仿宋_GB2312"/>
          <w:color w:val="auto"/>
          <w:sz w:val="32"/>
          <w:szCs w:val="32"/>
          <w:highlight w:val="none"/>
        </w:rPr>
        <w:t>直至满足条件</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选用可比实例在同一土地级别的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应当</w:t>
      </w:r>
      <w:r>
        <w:rPr>
          <w:rFonts w:hint="eastAsia" w:ascii="仿宋_GB2312" w:hAnsi="仿宋_GB2312" w:eastAsia="仿宋_GB2312" w:cs="仿宋_GB2312"/>
          <w:color w:val="auto"/>
          <w:sz w:val="32"/>
          <w:szCs w:val="32"/>
          <w:highlight w:val="none"/>
          <w:lang w:eastAsia="zh-CN"/>
        </w:rPr>
        <w:t>参照《北京市区片基准地价因素总修正幅度表》</w:t>
      </w:r>
      <w:r>
        <w:rPr>
          <w:rFonts w:hint="eastAsia" w:ascii="仿宋_GB2312" w:hAnsi="仿宋_GB2312" w:eastAsia="仿宋_GB2312" w:cs="仿宋_GB2312"/>
          <w:color w:val="auto"/>
          <w:sz w:val="32"/>
          <w:szCs w:val="32"/>
          <w:highlight w:val="none"/>
          <w:lang w:val="en-US" w:eastAsia="zh-Hans"/>
        </w:rPr>
        <w:t>进行</w:t>
      </w:r>
      <w:r>
        <w:rPr>
          <w:rFonts w:hint="eastAsia" w:ascii="仿宋_GB2312" w:hAnsi="仿宋_GB2312" w:eastAsia="仿宋_GB2312" w:cs="仿宋_GB2312"/>
          <w:color w:val="auto"/>
          <w:sz w:val="32"/>
          <w:szCs w:val="32"/>
          <w:highlight w:val="none"/>
          <w:lang w:eastAsia="zh-CN"/>
        </w:rPr>
        <w:t>修正</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Hans"/>
        </w:rPr>
        <w:t>选用可比实例跨土地级别的</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CN"/>
        </w:rPr>
        <w:t>应当参照《北京市级别基准地价表》进行修正</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选择的可比实例最高与最低</w:t>
      </w:r>
      <w:r>
        <w:rPr>
          <w:rFonts w:hint="eastAsia" w:ascii="仿宋_GB2312" w:hAnsi="仿宋_GB2312" w:eastAsia="仿宋_GB2312" w:cs="仿宋_GB2312"/>
          <w:color w:val="auto"/>
          <w:sz w:val="32"/>
          <w:szCs w:val="32"/>
          <w:highlight w:val="none"/>
          <w:lang w:val="en-US" w:eastAsia="zh-CN"/>
        </w:rPr>
        <w:t>价格</w:t>
      </w:r>
      <w:r>
        <w:rPr>
          <w:rFonts w:hint="eastAsia" w:ascii="仿宋_GB2312" w:hAnsi="仿宋_GB2312" w:eastAsia="仿宋_GB2312" w:cs="仿宋_GB2312"/>
          <w:color w:val="auto"/>
          <w:sz w:val="32"/>
          <w:szCs w:val="32"/>
          <w:highlight w:val="none"/>
          <w:lang w:val="en-US" w:eastAsia="zh-Hans"/>
        </w:rPr>
        <w:t>不得超过</w:t>
      </w:r>
      <w:r>
        <w:rPr>
          <w:rFonts w:hint="default" w:ascii="仿宋_GB2312" w:hAnsi="仿宋_GB2312" w:eastAsia="仿宋_GB2312" w:cs="仿宋_GB2312"/>
          <w:color w:val="auto"/>
          <w:sz w:val="32"/>
          <w:szCs w:val="32"/>
          <w:highlight w:val="none"/>
          <w:lang w:eastAsia="zh-Hans"/>
        </w:rPr>
        <w:t>1</w:t>
      </w:r>
      <w:r>
        <w:rPr>
          <w:rFonts w:hint="eastAsia" w:ascii="仿宋_GB2312" w:hAnsi="仿宋_GB2312" w:eastAsia="仿宋_GB2312" w:cs="仿宋_GB2312"/>
          <w:color w:val="auto"/>
          <w:sz w:val="32"/>
          <w:szCs w:val="32"/>
          <w:highlight w:val="none"/>
          <w:lang w:val="en-US" w:eastAsia="zh-Hans"/>
        </w:rPr>
        <w:t>.</w:t>
      </w:r>
      <w:r>
        <w:rPr>
          <w:rFonts w:hint="default" w:ascii="仿宋_GB2312" w:hAnsi="仿宋_GB2312" w:eastAsia="仿宋_GB2312" w:cs="仿宋_GB2312"/>
          <w:color w:val="auto"/>
          <w:sz w:val="32"/>
          <w:szCs w:val="32"/>
          <w:highlight w:val="none"/>
          <w:lang w:eastAsia="zh-Hans"/>
        </w:rPr>
        <w:t>2</w:t>
      </w:r>
      <w:r>
        <w:rPr>
          <w:rFonts w:hint="eastAsia" w:ascii="仿宋_GB2312" w:hAnsi="仿宋_GB2312" w:eastAsia="仿宋_GB2312" w:cs="仿宋_GB2312"/>
          <w:color w:val="auto"/>
          <w:sz w:val="32"/>
          <w:szCs w:val="32"/>
          <w:highlight w:val="none"/>
          <w:lang w:val="en-US" w:eastAsia="zh-Hans"/>
        </w:rPr>
        <w:t>倍</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且修正后的比准价格也不得超过</w:t>
      </w:r>
      <w:r>
        <w:rPr>
          <w:rFonts w:hint="default" w:ascii="仿宋_GB2312" w:hAnsi="仿宋_GB2312" w:eastAsia="仿宋_GB2312" w:cs="仿宋_GB2312"/>
          <w:color w:val="auto"/>
          <w:sz w:val="32"/>
          <w:szCs w:val="32"/>
          <w:highlight w:val="none"/>
          <w:lang w:eastAsia="zh-Hans"/>
        </w:rPr>
        <w:t>1</w:t>
      </w:r>
      <w:r>
        <w:rPr>
          <w:rFonts w:hint="eastAsia" w:ascii="仿宋_GB2312" w:hAnsi="仿宋_GB2312" w:eastAsia="仿宋_GB2312" w:cs="仿宋_GB2312"/>
          <w:color w:val="auto"/>
          <w:sz w:val="32"/>
          <w:szCs w:val="32"/>
          <w:highlight w:val="none"/>
          <w:lang w:val="en-US" w:eastAsia="zh-Hans"/>
        </w:rPr>
        <w:t>.</w:t>
      </w:r>
      <w:r>
        <w:rPr>
          <w:rFonts w:hint="default" w:ascii="仿宋_GB2312" w:hAnsi="仿宋_GB2312" w:eastAsia="仿宋_GB2312" w:cs="仿宋_GB2312"/>
          <w:color w:val="auto"/>
          <w:sz w:val="32"/>
          <w:szCs w:val="32"/>
          <w:highlight w:val="none"/>
          <w:lang w:eastAsia="zh-Hans"/>
        </w:rPr>
        <w:t>2</w:t>
      </w:r>
      <w:r>
        <w:rPr>
          <w:rFonts w:hint="eastAsia" w:ascii="仿宋_GB2312" w:hAnsi="仿宋_GB2312" w:eastAsia="仿宋_GB2312" w:cs="仿宋_GB2312"/>
          <w:color w:val="auto"/>
          <w:sz w:val="32"/>
          <w:szCs w:val="32"/>
          <w:highlight w:val="none"/>
          <w:lang w:val="en-US" w:eastAsia="zh-Hans"/>
        </w:rPr>
        <w:t>倍</w:t>
      </w:r>
      <w:r>
        <w:rPr>
          <w:rFonts w:hint="default" w:ascii="仿宋_GB2312" w:hAnsi="仿宋_GB2312" w:eastAsia="仿宋_GB2312" w:cs="仿宋_GB2312"/>
          <w:color w:val="auto"/>
          <w:sz w:val="32"/>
          <w:szCs w:val="32"/>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lang w:eastAsia="zh-Hans"/>
        </w:rPr>
        <w:t>采用收益法评估非住宅房屋时</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应选择与</w:t>
      </w:r>
      <w:r>
        <w:rPr>
          <w:rFonts w:hint="eastAsia" w:ascii="仿宋_GB2312" w:hAnsi="仿宋_GB2312" w:eastAsia="仿宋_GB2312"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rPr>
        <w:t>对象相同或类似的可比实例</w:t>
      </w:r>
      <w:r>
        <w:rPr>
          <w:rFonts w:hint="eastAsia" w:ascii="仿宋_GB2312" w:hAnsi="仿宋_GB2312" w:eastAsia="仿宋_GB2312" w:cs="仿宋_GB2312"/>
          <w:color w:val="auto"/>
          <w:sz w:val="32"/>
          <w:szCs w:val="32"/>
          <w:highlight w:val="none"/>
          <w:lang w:eastAsia="zh-Hans"/>
        </w:rPr>
        <w:t>测算非住宅房屋的客观租金</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评估数据，严格遵循《房地产估价规范》（GB/T50291-2015）明确的估价规则。</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val="en-US" w:eastAsia="zh-Hans"/>
        </w:rPr>
        <w:t>以划拨方式取得土地使用权的非住宅房屋的价</w:t>
      </w:r>
      <w:r>
        <w:rPr>
          <w:rFonts w:hint="eastAsia" w:ascii="仿宋_GB2312" w:hAnsi="仿宋_GB2312" w:eastAsia="仿宋_GB2312" w:cs="仿宋_GB2312"/>
          <w:color w:val="auto"/>
          <w:sz w:val="32"/>
          <w:szCs w:val="32"/>
          <w:highlight w:val="none"/>
          <w:lang w:val="en-US" w:eastAsia="zh-CN"/>
        </w:rPr>
        <w:t>值</w:t>
      </w:r>
      <w:r>
        <w:rPr>
          <w:rFonts w:hint="eastAsia" w:ascii="仿宋_GB2312" w:hAnsi="仿宋_GB2312" w:eastAsia="仿宋_GB2312" w:cs="仿宋_GB2312"/>
          <w:color w:val="auto"/>
          <w:sz w:val="32"/>
          <w:szCs w:val="32"/>
          <w:highlight w:val="none"/>
          <w:lang w:val="en-US" w:eastAsia="zh-Hans"/>
        </w:rPr>
        <w:t>评估</w:t>
      </w:r>
      <w:r>
        <w:rPr>
          <w:rFonts w:hint="default"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应当遵循</w:t>
      </w:r>
      <w:r>
        <w:rPr>
          <w:rFonts w:hint="eastAsia" w:ascii="仿宋_GB2312" w:hAnsi="仿宋_GB2312" w:eastAsia="仿宋_GB2312" w:cs="仿宋_GB2312"/>
          <w:color w:val="auto"/>
          <w:sz w:val="32"/>
          <w:szCs w:val="32"/>
          <w:highlight w:val="none"/>
          <w:lang w:val="en-US" w:eastAsia="zh-Hans"/>
        </w:rPr>
        <w:t>以出让方式取得土地使用权的非住宅房屋的价值评估</w:t>
      </w:r>
      <w:r>
        <w:rPr>
          <w:rFonts w:hint="eastAsia" w:ascii="仿宋_GB2312" w:hAnsi="仿宋_GB2312" w:eastAsia="仿宋_GB2312" w:cs="仿宋_GB2312"/>
          <w:color w:val="auto"/>
          <w:sz w:val="32"/>
          <w:szCs w:val="32"/>
          <w:highlight w:val="none"/>
          <w:lang w:val="en-US" w:eastAsia="zh-CN"/>
        </w:rPr>
        <w:t>方法及原则，其</w:t>
      </w:r>
      <w:r>
        <w:rPr>
          <w:rFonts w:hint="eastAsia" w:ascii="仿宋_GB2312" w:hAnsi="仿宋_GB2312" w:eastAsia="仿宋_GB2312" w:cs="仿宋_GB2312"/>
          <w:color w:val="auto"/>
          <w:sz w:val="32"/>
          <w:szCs w:val="32"/>
          <w:highlight w:val="none"/>
          <w:lang w:val="en-US" w:eastAsia="zh-Hans"/>
        </w:rPr>
        <w:t>房屋价值应以出让方式取得土地使用权的房屋价值扣减政府土地出让收益。政府土地出让收益应符合北京市</w:t>
      </w:r>
      <w:r>
        <w:rPr>
          <w:rFonts w:hint="eastAsia" w:ascii="仿宋_GB2312" w:hAnsi="仿宋_GB2312" w:eastAsia="仿宋_GB2312" w:cs="仿宋_GB2312"/>
          <w:color w:val="auto"/>
          <w:sz w:val="32"/>
          <w:szCs w:val="32"/>
          <w:highlight w:val="none"/>
          <w:lang w:val="en-US" w:eastAsia="zh-CN"/>
        </w:rPr>
        <w:t>相</w:t>
      </w:r>
      <w:r>
        <w:rPr>
          <w:rFonts w:hint="eastAsia" w:ascii="仿宋_GB2312" w:hAnsi="仿宋_GB2312" w:eastAsia="仿宋_GB2312" w:cs="仿宋_GB2312"/>
          <w:color w:val="auto"/>
          <w:sz w:val="32"/>
          <w:szCs w:val="32"/>
          <w:highlight w:val="none"/>
          <w:lang w:val="en-US" w:eastAsia="zh-Hans"/>
        </w:rPr>
        <w:t>关政策规定。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八、征收国家党政机关事业单位办公</w:t>
      </w:r>
      <w:r>
        <w:rPr>
          <w:rFonts w:hint="eastAsia" w:ascii="仿宋_GB2312" w:hAnsi="仿宋_GB2312" w:eastAsia="仿宋_GB2312" w:cs="仿宋_GB2312"/>
          <w:color w:val="auto"/>
          <w:sz w:val="32"/>
          <w:szCs w:val="32"/>
          <w:highlight w:val="none"/>
          <w:lang w:val="en-US" w:eastAsia="zh-Hans"/>
        </w:rPr>
        <w:t>房屋</w:t>
      </w:r>
      <w:r>
        <w:rPr>
          <w:rFonts w:hint="eastAsia" w:ascii="仿宋_GB2312" w:hAnsi="仿宋_GB2312" w:eastAsia="仿宋_GB2312" w:cs="仿宋_GB2312"/>
          <w:color w:val="auto"/>
          <w:sz w:val="32"/>
          <w:szCs w:val="32"/>
          <w:highlight w:val="none"/>
          <w:lang w:val="en-US" w:eastAsia="zh-CN"/>
        </w:rPr>
        <w:t>及附属设施的，评估</w:t>
      </w:r>
      <w:r>
        <w:rPr>
          <w:rFonts w:hint="eastAsia" w:ascii="仿宋_GB2312" w:hAnsi="仿宋_GB2312" w:eastAsia="仿宋_GB2312" w:cs="仿宋_GB2312"/>
          <w:color w:val="auto"/>
          <w:sz w:val="32"/>
          <w:szCs w:val="32"/>
          <w:highlight w:val="none"/>
          <w:lang w:val="en-US" w:eastAsia="zh-Hans"/>
        </w:rPr>
        <w:t>房屋的重置成新价</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CN"/>
        </w:rPr>
        <w:t>土地优先</w:t>
      </w:r>
      <w:r>
        <w:rPr>
          <w:rFonts w:hint="eastAsia" w:ascii="仿宋_GB2312" w:hAnsi="仿宋_GB2312" w:eastAsia="仿宋_GB2312" w:cs="仿宋_GB2312"/>
          <w:color w:val="auto"/>
          <w:sz w:val="32"/>
          <w:szCs w:val="32"/>
          <w:highlight w:val="none"/>
          <w:lang w:val="en-US" w:eastAsia="zh-CN"/>
        </w:rPr>
        <w:t>由市、区人民政府按“一事一议、等价置换”的原则统筹解决，也</w:t>
      </w:r>
      <w:r>
        <w:rPr>
          <w:rFonts w:hint="eastAsia" w:ascii="仿宋_GB2312" w:hAnsi="仿宋_GB2312" w:eastAsia="仿宋_GB2312" w:cs="仿宋_GB2312"/>
          <w:color w:val="auto"/>
          <w:sz w:val="32"/>
          <w:szCs w:val="32"/>
          <w:highlight w:val="none"/>
          <w:lang w:eastAsia="zh-CN"/>
        </w:rPr>
        <w:t>可通过价值评估补偿。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highlight w:val="none"/>
          <w:lang w:val="en-US" w:eastAsia="zh-CN"/>
        </w:rPr>
        <w:t>征收非住宅房屋，一般给予货币补偿。具备存量非住宅房屋和安置房产权调换条件的行政区，可结合被征收人诉求，按照“一户一策”的原则制定产权调换方案，经属地政府批准后实施。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color w:val="auto"/>
          <w:sz w:val="32"/>
          <w:szCs w:val="32"/>
          <w:highlight w:val="none"/>
          <w:lang w:val="en-US" w:eastAsia="zh-CN"/>
        </w:rPr>
        <w:t>对符合区域功能定位、规划控制及产业发展等要求的，优先进行同用途房屋产权调换；对不符合区域功能定位、规划控制及产业发展等要求的，优先给予货币补偿。经</w:t>
      </w:r>
      <w:r>
        <w:rPr>
          <w:rFonts w:hint="eastAsia" w:ascii="仿宋_GB2312" w:hAnsi="仿宋_GB2312" w:eastAsia="仿宋_GB2312" w:cs="仿宋_GB2312"/>
          <w:color w:val="auto"/>
          <w:sz w:val="32"/>
          <w:szCs w:val="32"/>
          <w:highlight w:val="none"/>
          <w:lang w:val="en-US" w:eastAsia="zh-Hans"/>
        </w:rPr>
        <w:t>协商</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也可按产权调换方案给予不同用途的其他存量</w:t>
      </w:r>
      <w:r>
        <w:rPr>
          <w:rFonts w:hint="eastAsia" w:ascii="仿宋_GB2312" w:hAnsi="仿宋_GB2312" w:eastAsia="仿宋_GB2312" w:cs="仿宋_GB2312"/>
          <w:color w:val="auto"/>
          <w:sz w:val="32"/>
          <w:szCs w:val="32"/>
          <w:highlight w:val="none"/>
          <w:lang w:val="en-US" w:eastAsia="zh-Hans"/>
        </w:rPr>
        <w:t>非住宅房屋</w:t>
      </w:r>
      <w:r>
        <w:rPr>
          <w:rFonts w:hint="eastAsia" w:ascii="仿宋_GB2312" w:hAnsi="仿宋_GB2312" w:eastAsia="仿宋_GB2312" w:cs="仿宋_GB2312"/>
          <w:color w:val="auto"/>
          <w:sz w:val="32"/>
          <w:szCs w:val="32"/>
          <w:highlight w:val="none"/>
          <w:lang w:val="en-US" w:eastAsia="zh-CN"/>
        </w:rPr>
        <w:t>和安置房进行</w:t>
      </w:r>
      <w:r>
        <w:rPr>
          <w:rFonts w:hint="eastAsia" w:ascii="仿宋_GB2312" w:hAnsi="仿宋_GB2312" w:eastAsia="仿宋_GB2312" w:cs="仿宋_GB2312"/>
          <w:color w:val="auto"/>
          <w:sz w:val="32"/>
          <w:szCs w:val="32"/>
          <w:highlight w:val="none"/>
          <w:lang w:val="en-US" w:eastAsia="zh-Hans"/>
        </w:rPr>
        <w:t>产权调换</w:t>
      </w:r>
      <w:r>
        <w:rPr>
          <w:rFonts w:hint="default" w:ascii="仿宋_GB2312" w:hAnsi="仿宋_GB2312" w:eastAsia="仿宋_GB2312" w:cs="仿宋_GB2312"/>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Hans"/>
        </w:rPr>
        <w:t>房屋征收部门与被征收人应当依据房地产</w:t>
      </w:r>
      <w:r>
        <w:rPr>
          <w:rFonts w:hint="eastAsia" w:ascii="仿宋_GB2312" w:hAnsi="仿宋_GB2312" w:eastAsia="仿宋_GB2312" w:cs="仿宋_GB2312"/>
          <w:color w:val="auto"/>
          <w:sz w:val="32"/>
          <w:szCs w:val="32"/>
          <w:highlight w:val="none"/>
          <w:lang w:val="en-US" w:eastAsia="zh-CN"/>
        </w:rPr>
        <w:t>价格</w:t>
      </w:r>
      <w:r>
        <w:rPr>
          <w:rFonts w:hint="eastAsia" w:ascii="仿宋_GB2312" w:hAnsi="仿宋_GB2312" w:eastAsia="仿宋_GB2312" w:cs="仿宋_GB2312"/>
          <w:color w:val="auto"/>
          <w:sz w:val="32"/>
          <w:szCs w:val="32"/>
          <w:highlight w:val="none"/>
          <w:lang w:val="en-US" w:eastAsia="zh-Hans"/>
        </w:rPr>
        <w:t>评估机构出具的被征收房屋价值与产权调换房屋价值评估报告，结算差价。</w:t>
      </w:r>
      <w:r>
        <w:rPr>
          <w:rFonts w:hint="eastAsia" w:ascii="仿宋_GB2312" w:hAnsi="仿宋_GB2312" w:eastAsia="仿宋_GB2312" w:cs="仿宋_GB2312"/>
          <w:color w:val="auto"/>
          <w:sz w:val="32"/>
          <w:szCs w:val="32"/>
          <w:highlight w:val="none"/>
          <w:lang w:val="en-US" w:eastAsia="zh-CN"/>
        </w:rPr>
        <w:t>税费按相关政策执行。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Hans"/>
        </w:rPr>
        <w:t>通知</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日起</w:t>
      </w:r>
      <w:r>
        <w:rPr>
          <w:rFonts w:hint="eastAsia" w:ascii="仿宋_GB2312" w:hAnsi="仿宋_GB2312" w:eastAsia="仿宋_GB2312" w:cs="仿宋_GB2312"/>
          <w:color w:val="auto"/>
          <w:sz w:val="32"/>
          <w:szCs w:val="32"/>
          <w:highlight w:val="none"/>
          <w:lang w:eastAsia="zh-CN"/>
        </w:rPr>
        <w:t>实</w:t>
      </w:r>
      <w:r>
        <w:rPr>
          <w:rFonts w:hint="eastAsia" w:ascii="仿宋_GB2312" w:hAnsi="仿宋_GB2312" w:eastAsia="仿宋_GB2312" w:cs="仿宋_GB2312"/>
          <w:color w:val="auto"/>
          <w:sz w:val="32"/>
          <w:szCs w:val="32"/>
          <w:highlight w:val="none"/>
        </w:rPr>
        <w:t>施。</w:t>
      </w:r>
      <w:r>
        <w:rPr>
          <w:rFonts w:hint="eastAsia" w:ascii="仿宋_GB2312" w:hAnsi="仿宋_GB2312" w:eastAsia="仿宋_GB2312" w:cs="仿宋_GB2312"/>
          <w:color w:val="auto"/>
          <w:sz w:val="32"/>
          <w:szCs w:val="32"/>
          <w:highlight w:val="none"/>
          <w:lang w:eastAsia="zh-CN"/>
        </w:rPr>
        <w:t>本通知实施</w:t>
      </w:r>
      <w:r>
        <w:rPr>
          <w:rFonts w:hint="eastAsia" w:ascii="仿宋_GB2312" w:hAnsi="仿宋_GB2312" w:eastAsia="仿宋_GB2312" w:cs="仿宋_GB2312"/>
          <w:color w:val="auto"/>
          <w:sz w:val="32"/>
          <w:szCs w:val="32"/>
          <w:highlight w:val="none"/>
          <w:lang w:val="en-US" w:eastAsia="zh-Hans"/>
        </w:rPr>
        <w:t>之</w:t>
      </w:r>
      <w:r>
        <w:rPr>
          <w:rFonts w:hint="eastAsia" w:ascii="仿宋_GB2312" w:hAnsi="仿宋_GB2312" w:eastAsia="仿宋_GB2312" w:cs="仿宋_GB2312"/>
          <w:color w:val="auto"/>
          <w:sz w:val="32"/>
          <w:szCs w:val="32"/>
          <w:highlight w:val="none"/>
          <w:lang w:val="en-US" w:eastAsia="zh-CN"/>
        </w:rPr>
        <w:t>前已发布征收决定的</w:t>
      </w:r>
      <w:r>
        <w:rPr>
          <w:rFonts w:hint="eastAsia" w:ascii="仿宋_GB2312" w:hAnsi="仿宋_GB2312" w:eastAsia="仿宋_GB2312" w:cs="仿宋_GB2312"/>
          <w:color w:val="auto"/>
          <w:sz w:val="32"/>
          <w:szCs w:val="32"/>
          <w:highlight w:val="none"/>
          <w:lang w:val="en-US" w:eastAsia="zh-Hans"/>
        </w:rPr>
        <w:t>按</w:t>
      </w:r>
      <w:r>
        <w:rPr>
          <w:rFonts w:hint="eastAsia" w:ascii="仿宋_GB2312" w:hAnsi="仿宋_GB2312" w:eastAsia="仿宋_GB2312" w:cs="仿宋_GB2312"/>
          <w:color w:val="auto"/>
          <w:sz w:val="32"/>
          <w:szCs w:val="32"/>
          <w:highlight w:val="none"/>
          <w:lang w:val="en-US" w:eastAsia="zh-CN"/>
        </w:rPr>
        <w:t>原</w:t>
      </w:r>
      <w:r>
        <w:rPr>
          <w:rFonts w:hint="eastAsia" w:ascii="仿宋_GB2312" w:hAnsi="仿宋_GB2312" w:eastAsia="仿宋_GB2312" w:cs="仿宋_GB2312"/>
          <w:color w:val="auto"/>
          <w:sz w:val="32"/>
          <w:szCs w:val="32"/>
          <w:highlight w:val="none"/>
          <w:lang w:val="en-US" w:eastAsia="zh-Hans"/>
        </w:rPr>
        <w:t>规定执行</w:t>
      </w:r>
      <w:r>
        <w:rPr>
          <w:rFonts w:hint="default" w:ascii="仿宋_GB2312" w:hAnsi="仿宋_GB2312" w:eastAsia="仿宋_GB2312" w:cs="仿宋_GB2312"/>
          <w:color w:val="auto"/>
          <w:sz w:val="32"/>
          <w:szCs w:val="32"/>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highlight w:val="none"/>
          <w:lang w:eastAsia="zh-CN"/>
        </w:rPr>
        <w:t>十一、国有土地上其他搬迁非住宅项目可参照执行。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68CEA1-B1DD-4E17-B421-078055D36A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2D8330-7FF7-4991-86C0-D288ECE0C078}"/>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EFD41A67-0B28-4D4C-B58E-C8D0885045D5}"/>
  </w:font>
  <w:font w:name="Songti SC Regular">
    <w:altName w:val="宋体"/>
    <w:panose1 w:val="00000000000000000000"/>
    <w:charset w:val="86"/>
    <w:family w:val="auto"/>
    <w:pitch w:val="default"/>
    <w:sig w:usb0="00000000" w:usb1="00000000" w:usb2="00000000" w:usb3="00000000" w:csb0="00040000" w:csb1="00000000"/>
    <w:embedRegular r:id="rId4" w:fontKey="{48B44B15-D5F4-4BA5-B513-600D1A87AD87}"/>
  </w:font>
  <w:font w:name="仿宋_GB2312">
    <w:altName w:val="仿宋"/>
    <w:panose1 w:val="02010609030101010101"/>
    <w:charset w:val="86"/>
    <w:family w:val="modern"/>
    <w:pitch w:val="default"/>
    <w:sig w:usb0="00000000" w:usb1="00000000" w:usb2="00000000" w:usb3="00000000" w:csb0="00040000" w:csb1="00000000"/>
    <w:embedRegular r:id="rId5" w:fontKey="{9E6AAD14-7505-4D86-B3D0-35BC74C9D27F}"/>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7C2C"/>
    <w:rsid w:val="472D46AB"/>
    <w:rsid w:val="FFDEE5D6"/>
    <w:rsid w:val="FFE77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2022-07-22T15:34:00Z</dcterms:created>
  <dc:creator>uos</dc:creator>
  <cp:lastModifiedBy>147</cp:lastModifiedBy>
  <dcterms:modified xsi:type="dcterms:W3CDTF">2022-07-25T01:50:30Z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C3FDEEC87D074663864B8E6075BA1F2D</vt:lpwstr>
  </property>
</Properties>
</file>