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CB" w:rsidRDefault="00A8625E">
      <w:pPr>
        <w:spacing w:afterLines="100" w:after="312" w:line="560" w:lineRule="exact"/>
        <w:rPr>
          <w:rFonts w:ascii="黑体" w:eastAsia="黑体" w:hAnsi="黑体" w:cs="黑体"/>
          <w:sz w:val="32"/>
          <w:szCs w:val="32"/>
        </w:rPr>
      </w:pPr>
      <w:bookmarkStart w:id="0" w:name="_Toc519680809"/>
      <w:r>
        <w:rPr>
          <w:rFonts w:ascii="黑体" w:eastAsia="黑体" w:hAnsi="黑体" w:cs="黑体" w:hint="eastAsia"/>
          <w:sz w:val="32"/>
          <w:szCs w:val="32"/>
        </w:rPr>
        <w:t>附件</w:t>
      </w:r>
      <w:r>
        <w:rPr>
          <w:rFonts w:ascii="黑体" w:eastAsia="黑体" w:hAnsi="黑体" w:cs="黑体" w:hint="eastAsia"/>
          <w:sz w:val="32"/>
          <w:szCs w:val="32"/>
        </w:rPr>
        <w:t>2</w:t>
      </w:r>
    </w:p>
    <w:p w:rsidR="00B23BCB" w:rsidRDefault="00A8625E">
      <w:pPr>
        <w:spacing w:afterLines="100" w:after="312"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w:t>
      </w:r>
      <w:r>
        <w:rPr>
          <w:rFonts w:ascii="方正小标宋简体" w:eastAsia="方正小标宋简体" w:hAnsi="黑体" w:cs="Times New Roman" w:hint="eastAsia"/>
          <w:sz w:val="44"/>
          <w:szCs w:val="44"/>
        </w:rPr>
        <w:t>关于划定北京市地下水禁止开采区、限制开采区范围的通知</w:t>
      </w:r>
      <w:r>
        <w:rPr>
          <w:rFonts w:ascii="方正小标宋简体" w:eastAsia="方正小标宋简体" w:hAnsi="黑体" w:cs="Times New Roman" w:hint="eastAsia"/>
          <w:sz w:val="44"/>
          <w:szCs w:val="44"/>
        </w:rPr>
        <w:t>(</w:t>
      </w:r>
      <w:r>
        <w:rPr>
          <w:rFonts w:ascii="方正小标宋简体" w:eastAsia="方正小标宋简体" w:hAnsi="黑体" w:cs="Times New Roman" w:hint="eastAsia"/>
          <w:sz w:val="44"/>
          <w:szCs w:val="44"/>
        </w:rPr>
        <w:t>征求意见稿</w:t>
      </w:r>
      <w:r>
        <w:rPr>
          <w:rFonts w:ascii="方正小标宋简体" w:eastAsia="方正小标宋简体" w:hAnsi="黑体" w:cs="Times New Roman" w:hint="eastAsia"/>
          <w:sz w:val="44"/>
          <w:szCs w:val="44"/>
        </w:rPr>
        <w:t>)</w:t>
      </w:r>
      <w:r>
        <w:rPr>
          <w:rFonts w:ascii="方正小标宋简体" w:eastAsia="方正小标宋简体" w:hAnsi="黑体" w:cs="Times New Roman" w:hint="eastAsia"/>
          <w:sz w:val="44"/>
          <w:szCs w:val="44"/>
        </w:rPr>
        <w:t>》</w:t>
      </w:r>
      <w:r>
        <w:rPr>
          <w:rFonts w:ascii="方正小标宋简体" w:eastAsia="方正小标宋简体" w:hAnsi="黑体" w:cs="Times New Roman" w:hint="eastAsia"/>
          <w:sz w:val="44"/>
          <w:szCs w:val="44"/>
        </w:rPr>
        <w:t>的</w:t>
      </w:r>
      <w:r>
        <w:rPr>
          <w:rFonts w:ascii="方正小标宋简体" w:eastAsia="方正小标宋简体" w:hAnsi="黑体" w:cs="Times New Roman" w:hint="eastAsia"/>
          <w:sz w:val="44"/>
          <w:szCs w:val="44"/>
        </w:rPr>
        <w:t>起草说明</w:t>
      </w:r>
    </w:p>
    <w:p w:rsidR="00B23BCB" w:rsidRPr="002F3552" w:rsidRDefault="00A8625E" w:rsidP="002F35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为全面贯彻落实《地下水管理条例》，</w:t>
      </w:r>
      <w:r>
        <w:rPr>
          <w:rFonts w:ascii="仿宋_GB2312" w:eastAsia="仿宋_GB2312" w:hAnsi="仿宋_GB2312" w:cs="仿宋_GB2312" w:hint="eastAsia"/>
          <w:sz w:val="32"/>
          <w:szCs w:val="32"/>
        </w:rPr>
        <w:t>有效促进本市</w:t>
      </w:r>
      <w:r>
        <w:rPr>
          <w:rFonts w:ascii="仿宋_GB2312" w:eastAsia="仿宋_GB2312" w:hAnsi="仿宋_GB2312" w:cs="仿宋_GB2312" w:hint="eastAsia"/>
          <w:sz w:val="32"/>
          <w:szCs w:val="32"/>
        </w:rPr>
        <w:t>地下水</w:t>
      </w:r>
      <w:r>
        <w:rPr>
          <w:rFonts w:ascii="仿宋_GB2312" w:eastAsia="仿宋_GB2312" w:hAnsi="仿宋_GB2312" w:cs="仿宋_GB2312" w:hint="eastAsia"/>
          <w:sz w:val="32"/>
          <w:szCs w:val="32"/>
        </w:rPr>
        <w:t>资源涵养修复</w:t>
      </w:r>
      <w:r>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本市</w:t>
      </w:r>
      <w:r>
        <w:rPr>
          <w:rFonts w:ascii="仿宋_GB2312" w:eastAsia="仿宋_GB2312" w:hAnsi="仿宋_GB2312" w:cs="仿宋_GB2312" w:hint="eastAsia"/>
          <w:sz w:val="32"/>
          <w:szCs w:val="32"/>
        </w:rPr>
        <w:t>实际，制定</w:t>
      </w:r>
      <w:r>
        <w:rPr>
          <w:rFonts w:ascii="仿宋_GB2312" w:eastAsia="仿宋_GB2312" w:hAnsi="仿宋_GB2312" w:cs="仿宋_GB2312" w:hint="eastAsia"/>
          <w:sz w:val="32"/>
          <w:szCs w:val="32"/>
        </w:rPr>
        <w:t>了《关于划定北京市地下水禁止开采区、限制开采区范围的通知（征求意见稿）》</w:t>
      </w:r>
      <w:r>
        <w:rPr>
          <w:rFonts w:ascii="仿宋_GB2312" w:eastAsia="仿宋_GB2312" w:hAnsi="仿宋_GB2312" w:cs="仿宋_GB2312" w:hint="eastAsia"/>
          <w:sz w:val="32"/>
          <w:szCs w:val="32"/>
        </w:rPr>
        <w:t>。现将有关情况说明如下。</w:t>
      </w:r>
    </w:p>
    <w:p w:rsidR="00B23BCB" w:rsidRDefault="00A8625E">
      <w:pPr>
        <w:pStyle w:val="1"/>
        <w:spacing w:before="0" w:after="0" w:line="560" w:lineRule="exact"/>
        <w:ind w:firstLineChars="200" w:firstLine="640"/>
        <w:rPr>
          <w:rFonts w:ascii="黑体" w:eastAsia="黑体" w:hAnsi="黑体" w:cs="黑体"/>
          <w:b w:val="0"/>
          <w:bCs w:val="0"/>
          <w:kern w:val="2"/>
          <w:sz w:val="32"/>
          <w:szCs w:val="32"/>
        </w:rPr>
      </w:pPr>
      <w:r>
        <w:rPr>
          <w:rFonts w:ascii="黑体" w:eastAsia="黑体" w:hAnsi="黑体" w:cs="黑体" w:hint="eastAsia"/>
          <w:b w:val="0"/>
          <w:bCs w:val="0"/>
          <w:kern w:val="2"/>
          <w:sz w:val="32"/>
          <w:szCs w:val="32"/>
        </w:rPr>
        <w:t>一、制定背景及依据</w:t>
      </w:r>
    </w:p>
    <w:p w:rsidR="00B23BCB" w:rsidRDefault="00A8625E">
      <w:pPr>
        <w:spacing w:line="560" w:lineRule="exact"/>
        <w:ind w:firstLineChars="200" w:firstLine="640"/>
        <w:rPr>
          <w:rFonts w:ascii="仿宋_GB2312" w:eastAsia="仿宋_GB2312" w:hAnsi="仿宋_GB2312" w:cs="仿宋_GB2312"/>
          <w:sz w:val="32"/>
          <w:szCs w:val="32"/>
        </w:rPr>
      </w:pPr>
      <w:bookmarkStart w:id="1" w:name="_Toc97648651"/>
      <w:bookmarkEnd w:id="0"/>
      <w:r>
        <w:rPr>
          <w:rFonts w:ascii="仿宋_GB2312" w:eastAsia="仿宋_GB2312" w:hAnsi="仿宋_GB2312" w:cs="仿宋_GB2312" w:hint="eastAsia"/>
          <w:sz w:val="32"/>
          <w:szCs w:val="32"/>
        </w:rPr>
        <w:t>按照《地下水管理条例》（国务院令第</w:t>
      </w:r>
      <w:r>
        <w:rPr>
          <w:rFonts w:ascii="仿宋_GB2312" w:eastAsia="仿宋_GB2312" w:hAnsi="仿宋_GB2312" w:cs="仿宋_GB2312" w:hint="eastAsia"/>
          <w:sz w:val="32"/>
          <w:szCs w:val="32"/>
        </w:rPr>
        <w:t>748</w:t>
      </w:r>
      <w:r>
        <w:rPr>
          <w:rFonts w:ascii="仿宋_GB2312" w:eastAsia="仿宋_GB2312" w:hAnsi="仿宋_GB2312" w:cs="仿宋_GB2312" w:hint="eastAsia"/>
          <w:sz w:val="32"/>
          <w:szCs w:val="32"/>
        </w:rPr>
        <w:t>号）第三十二条规定要求“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为全面贯彻落实《地下水管理条例》，</w:t>
      </w: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局会同市规划和自然资源委员会依据地下水超采区划定、水资源调查评价和地面沉降监测</w:t>
      </w:r>
      <w:r>
        <w:rPr>
          <w:rFonts w:ascii="仿宋_GB2312" w:eastAsia="仿宋_GB2312" w:hAnsi="仿宋_GB2312" w:cs="仿宋_GB2312" w:hint="eastAsia"/>
          <w:sz w:val="32"/>
          <w:szCs w:val="32"/>
        </w:rPr>
        <w:t>等工作</w:t>
      </w:r>
      <w:r>
        <w:rPr>
          <w:rFonts w:ascii="仿宋_GB2312" w:eastAsia="仿宋_GB2312" w:hAnsi="仿宋_GB2312" w:cs="仿宋_GB2312" w:hint="eastAsia"/>
          <w:sz w:val="32"/>
          <w:szCs w:val="32"/>
        </w:rPr>
        <w:t>最新成果，划定了本市地下水禁止开采区和限制开采区范围</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《关于划定北京市地下水禁止开采区、限制开采区范围的通知（征求意见稿）》，</w:t>
      </w:r>
      <w:proofErr w:type="gramStart"/>
      <w:r>
        <w:rPr>
          <w:rFonts w:ascii="仿宋_GB2312" w:eastAsia="仿宋_GB2312" w:hAnsi="仿宋_GB2312" w:cs="仿宋_GB2312" w:hint="eastAsia"/>
          <w:sz w:val="32"/>
          <w:szCs w:val="32"/>
        </w:rPr>
        <w:t>拟经市政府</w:t>
      </w:r>
      <w:proofErr w:type="gramEnd"/>
      <w:r>
        <w:rPr>
          <w:rFonts w:ascii="仿宋_GB2312" w:eastAsia="仿宋_GB2312" w:hAnsi="仿宋_GB2312" w:cs="仿宋_GB2312" w:hint="eastAsia"/>
          <w:sz w:val="32"/>
          <w:szCs w:val="32"/>
        </w:rPr>
        <w:t>批准后，由市水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局、市规划和</w:t>
      </w:r>
      <w:r>
        <w:rPr>
          <w:rFonts w:ascii="仿宋_GB2312" w:eastAsia="仿宋_GB2312" w:hAnsi="仿宋_GB2312" w:cs="仿宋_GB2312" w:hint="eastAsia"/>
          <w:sz w:val="32"/>
          <w:szCs w:val="32"/>
        </w:rPr>
        <w:t>自然资源委员会</w:t>
      </w:r>
      <w:r>
        <w:rPr>
          <w:rFonts w:ascii="仿宋_GB2312" w:eastAsia="仿宋_GB2312" w:hAnsi="仿宋_GB2312" w:cs="仿宋_GB2312" w:hint="eastAsia"/>
          <w:sz w:val="32"/>
          <w:szCs w:val="32"/>
        </w:rPr>
        <w:t>联合印发</w:t>
      </w:r>
      <w:r>
        <w:rPr>
          <w:rFonts w:ascii="仿宋_GB2312" w:eastAsia="仿宋_GB2312" w:hAnsi="仿宋_GB2312" w:cs="仿宋_GB2312" w:hint="eastAsia"/>
          <w:sz w:val="32"/>
          <w:szCs w:val="32"/>
        </w:rPr>
        <w:t>。</w:t>
      </w:r>
    </w:p>
    <w:p w:rsidR="00B23BCB" w:rsidRDefault="00A8625E">
      <w:pPr>
        <w:pStyle w:val="1"/>
        <w:spacing w:before="0" w:after="0" w:line="560" w:lineRule="exact"/>
        <w:ind w:firstLineChars="200" w:firstLine="640"/>
        <w:rPr>
          <w:rFonts w:ascii="黑体" w:eastAsia="黑体" w:hAnsi="黑体" w:cs="黑体"/>
          <w:b w:val="0"/>
          <w:bCs w:val="0"/>
          <w:kern w:val="2"/>
          <w:sz w:val="32"/>
          <w:szCs w:val="32"/>
        </w:rPr>
      </w:pPr>
      <w:r>
        <w:rPr>
          <w:rFonts w:ascii="黑体" w:eastAsia="黑体" w:hAnsi="黑体" w:cs="黑体" w:hint="eastAsia"/>
          <w:b w:val="0"/>
          <w:bCs w:val="0"/>
          <w:kern w:val="2"/>
          <w:sz w:val="32"/>
          <w:szCs w:val="32"/>
        </w:rPr>
        <w:lastRenderedPageBreak/>
        <w:t>二、</w:t>
      </w:r>
      <w:bookmarkEnd w:id="1"/>
      <w:r>
        <w:rPr>
          <w:rFonts w:ascii="黑体" w:eastAsia="黑体" w:hAnsi="黑体" w:cs="黑体" w:hint="eastAsia"/>
          <w:b w:val="0"/>
          <w:bCs w:val="0"/>
          <w:kern w:val="2"/>
          <w:sz w:val="32"/>
          <w:szCs w:val="32"/>
        </w:rPr>
        <w:t>主要内容</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地下水禁止开采区范围</w:t>
      </w:r>
    </w:p>
    <w:p w:rsidR="00B23BCB" w:rsidRDefault="00A86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朝阳区金盏、楼梓庄至</w:t>
      </w:r>
      <w:proofErr w:type="gramStart"/>
      <w:r>
        <w:rPr>
          <w:rFonts w:ascii="仿宋_GB2312" w:eastAsia="仿宋_GB2312" w:hAnsi="仿宋_GB2312" w:cs="仿宋_GB2312" w:hint="eastAsia"/>
          <w:kern w:val="0"/>
          <w:sz w:val="32"/>
          <w:szCs w:val="32"/>
        </w:rPr>
        <w:t>通州区徐辛庄周</w:t>
      </w:r>
      <w:proofErr w:type="gramEnd"/>
      <w:r>
        <w:rPr>
          <w:rFonts w:ascii="仿宋_GB2312" w:eastAsia="仿宋_GB2312" w:hAnsi="仿宋_GB2312" w:cs="仿宋_GB2312" w:hint="eastAsia"/>
          <w:kern w:val="0"/>
          <w:sz w:val="32"/>
          <w:szCs w:val="32"/>
        </w:rPr>
        <w:t>边，以及通州区台湖周边区域已发生严重的地面沉降区域，</w:t>
      </w:r>
      <w:r>
        <w:rPr>
          <w:rFonts w:ascii="仿宋_GB2312" w:eastAsia="仿宋_GB2312" w:hAnsi="仿宋_GB2312" w:cs="仿宋_GB2312" w:hint="eastAsia"/>
          <w:sz w:val="32"/>
          <w:szCs w:val="32"/>
        </w:rPr>
        <w:t>属于地面沉降中心</w:t>
      </w:r>
      <w:r>
        <w:rPr>
          <w:rFonts w:ascii="仿宋_GB2312" w:eastAsia="仿宋_GB2312" w:hAnsi="仿宋_GB2312" w:cs="仿宋_GB2312" w:hint="eastAsia"/>
          <w:sz w:val="32"/>
          <w:szCs w:val="32"/>
        </w:rPr>
        <w:t>，且因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米以深地层是地面沉降的主要压缩层位，占比在</w:t>
      </w:r>
      <w:r>
        <w:rPr>
          <w:rFonts w:ascii="仿宋_GB2312" w:eastAsia="仿宋_GB2312" w:hAnsi="仿宋_GB2312" w:cs="仿宋_GB2312" w:hint="eastAsia"/>
          <w:sz w:val="32"/>
          <w:szCs w:val="32"/>
        </w:rPr>
        <w:t>60%-90%</w:t>
      </w:r>
      <w:r>
        <w:rPr>
          <w:rFonts w:ascii="仿宋_GB2312" w:eastAsia="仿宋_GB2312" w:hAnsi="仿宋_GB2312" w:cs="仿宋_GB2312" w:hint="eastAsia"/>
          <w:sz w:val="32"/>
          <w:szCs w:val="32"/>
        </w:rPr>
        <w:t>之间。因此，</w:t>
      </w:r>
      <w:r>
        <w:rPr>
          <w:rFonts w:ascii="仿宋_GB2312" w:eastAsia="仿宋_GB2312" w:hAnsi="仿宋_GB2312" w:cs="仿宋_GB2312" w:hint="eastAsia"/>
          <w:bCs/>
          <w:sz w:val="32"/>
          <w:szCs w:val="32"/>
        </w:rPr>
        <w:t>划定朝阳区金盏</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米以深第四系含水层组为禁止开采区Ⅰ区，面积约</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平方公里；划定</w:t>
      </w:r>
      <w:r>
        <w:rPr>
          <w:rFonts w:ascii="仿宋_GB2312" w:eastAsia="仿宋_GB2312" w:hAnsi="仿宋_GB2312" w:cs="仿宋_GB2312" w:hint="eastAsia"/>
          <w:kern w:val="0"/>
          <w:sz w:val="32"/>
          <w:szCs w:val="32"/>
        </w:rPr>
        <w:t>朝阳区楼梓庄至通州区徐辛庄</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米以深第四系含水层组为禁止开采区Ⅱ区，面积约</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平方公里；划定通州区台湖镇</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米以深第四系含水层组为禁止开采区Ⅲ区，面积约</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平方公里。</w:t>
      </w:r>
    </w:p>
    <w:p w:rsidR="00B23BCB" w:rsidRDefault="00A86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根据《铁路安全管理条例》第三十五条规定，高速铁路线路路堤坡脚、路堑坡顶或者铁路桥梁外侧起向外各</w:t>
      </w:r>
      <w:r>
        <w:rPr>
          <w:rFonts w:ascii="仿宋_GB2312" w:eastAsia="仿宋_GB2312" w:hAnsi="仿宋_GB2312" w:cs="仿宋_GB2312" w:hint="eastAsia"/>
          <w:kern w:val="0"/>
          <w:sz w:val="32"/>
          <w:szCs w:val="32"/>
        </w:rPr>
        <w:t>200</w:t>
      </w:r>
      <w:r>
        <w:rPr>
          <w:rFonts w:ascii="仿宋_GB2312" w:eastAsia="仿宋_GB2312" w:hAnsi="仿宋_GB2312" w:cs="仿宋_GB2312" w:hint="eastAsia"/>
          <w:kern w:val="0"/>
          <w:sz w:val="32"/>
          <w:szCs w:val="32"/>
        </w:rPr>
        <w:t>米范围内禁止抽取地下水。</w:t>
      </w:r>
      <w:r>
        <w:rPr>
          <w:rFonts w:ascii="仿宋_GB2312" w:eastAsia="仿宋_GB2312" w:hAnsi="仿宋_GB2312" w:cs="仿宋_GB2312" w:hint="eastAsia"/>
          <w:sz w:val="32"/>
          <w:szCs w:val="32"/>
        </w:rPr>
        <w:t>划定京沪高铁、京石客运专线、</w:t>
      </w:r>
      <w:proofErr w:type="gramStart"/>
      <w:r>
        <w:rPr>
          <w:rFonts w:ascii="仿宋_GB2312" w:eastAsia="仿宋_GB2312" w:hAnsi="仿宋_GB2312" w:cs="仿宋_GB2312" w:hint="eastAsia"/>
          <w:sz w:val="32"/>
          <w:szCs w:val="32"/>
        </w:rPr>
        <w:t>京津城际高铁</w:t>
      </w:r>
      <w:proofErr w:type="gramEnd"/>
      <w:r>
        <w:rPr>
          <w:rFonts w:ascii="仿宋_GB2312" w:eastAsia="仿宋_GB2312" w:hAnsi="仿宋_GB2312" w:cs="仿宋_GB2312" w:hint="eastAsia"/>
          <w:sz w:val="32"/>
          <w:szCs w:val="32"/>
        </w:rPr>
        <w:t>、京九高铁、</w:t>
      </w:r>
      <w:proofErr w:type="gramStart"/>
      <w:r>
        <w:rPr>
          <w:rFonts w:ascii="仿宋_GB2312" w:eastAsia="仿宋_GB2312" w:hAnsi="仿宋_GB2312" w:cs="仿宋_GB2312" w:hint="eastAsia"/>
          <w:sz w:val="32"/>
          <w:szCs w:val="32"/>
        </w:rPr>
        <w:t>京沈高铁</w:t>
      </w:r>
      <w:proofErr w:type="gramEnd"/>
      <w:r>
        <w:rPr>
          <w:rFonts w:ascii="仿宋_GB2312" w:eastAsia="仿宋_GB2312" w:hAnsi="仿宋_GB2312" w:cs="仿宋_GB2312" w:hint="eastAsia"/>
          <w:sz w:val="32"/>
          <w:szCs w:val="32"/>
        </w:rPr>
        <w:t>和京张城际高铁等高速铁路线路路堤坡脚、路堑坡顶或者铁路桥梁外侧起向外各</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米为</w:t>
      </w:r>
      <w:r>
        <w:rPr>
          <w:rFonts w:ascii="仿宋_GB2312" w:eastAsia="仿宋_GB2312" w:hAnsi="仿宋_GB2312" w:cs="仿宋_GB2312" w:hint="eastAsia"/>
          <w:bCs/>
          <w:sz w:val="32"/>
          <w:szCs w:val="32"/>
        </w:rPr>
        <w:t>禁止开采区Ⅳ区</w:t>
      </w:r>
      <w:r>
        <w:rPr>
          <w:rFonts w:ascii="仿宋_GB2312" w:eastAsia="仿宋_GB2312" w:hAnsi="仿宋_GB2312" w:cs="仿宋_GB2312" w:hint="eastAsia"/>
          <w:sz w:val="32"/>
          <w:szCs w:val="32"/>
        </w:rPr>
        <w:t>，面积约</w:t>
      </w:r>
      <w:r>
        <w:rPr>
          <w:rFonts w:ascii="仿宋_GB2312" w:eastAsia="仿宋_GB2312" w:hAnsi="仿宋_GB2312" w:cs="仿宋_GB2312" w:hint="eastAsia"/>
          <w:sz w:val="32"/>
          <w:szCs w:val="32"/>
        </w:rPr>
        <w:t>137</w:t>
      </w:r>
      <w:r>
        <w:rPr>
          <w:rFonts w:ascii="仿宋_GB2312" w:eastAsia="仿宋_GB2312" w:hAnsi="仿宋_GB2312" w:cs="仿宋_GB2312" w:hint="eastAsia"/>
          <w:kern w:val="0"/>
          <w:sz w:val="32"/>
          <w:szCs w:val="32"/>
        </w:rPr>
        <w:t>平方公里</w:t>
      </w:r>
      <w:r>
        <w:rPr>
          <w:rFonts w:ascii="仿宋_GB2312" w:eastAsia="仿宋_GB2312" w:hAnsi="仿宋_GB2312" w:cs="仿宋_GB2312" w:hint="eastAsia"/>
          <w:sz w:val="32"/>
          <w:szCs w:val="32"/>
        </w:rPr>
        <w:t>。</w:t>
      </w:r>
    </w:p>
    <w:p w:rsidR="00B23BCB" w:rsidRDefault="00A86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北京经济技术开发区荣华、博兴等街道为地下水超采区内公共供水</w:t>
      </w:r>
      <w:r>
        <w:rPr>
          <w:rFonts w:ascii="仿宋_GB2312" w:eastAsia="仿宋_GB2312" w:hAnsi="仿宋_GB2312" w:cs="仿宋_GB2312" w:hint="eastAsia"/>
          <w:kern w:val="0"/>
          <w:sz w:val="32"/>
          <w:szCs w:val="32"/>
        </w:rPr>
        <w:t>管网覆盖的区域。</w:t>
      </w:r>
      <w:r>
        <w:rPr>
          <w:rFonts w:ascii="仿宋_GB2312" w:eastAsia="仿宋_GB2312" w:hAnsi="仿宋_GB2312" w:cs="仿宋_GB2312" w:hint="eastAsia"/>
          <w:sz w:val="32"/>
          <w:szCs w:val="32"/>
        </w:rPr>
        <w:t>因此，</w:t>
      </w:r>
      <w:r>
        <w:rPr>
          <w:rFonts w:ascii="仿宋_GB2312" w:eastAsia="仿宋_GB2312" w:hAnsi="仿宋_GB2312" w:cs="仿宋_GB2312" w:hint="eastAsia"/>
          <w:kern w:val="0"/>
          <w:sz w:val="32"/>
          <w:szCs w:val="32"/>
        </w:rPr>
        <w:t>北京经济技术开发区荣华、博兴等街道</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米以深第四系含水层组为禁止开采区</w:t>
      </w:r>
      <w:r>
        <w:rPr>
          <w:rFonts w:ascii="仿宋_GB2312" w:eastAsia="仿宋_GB2312" w:hAnsi="仿宋_GB2312" w:cs="仿宋_GB2312" w:hint="eastAsia"/>
          <w:kern w:val="0"/>
          <w:sz w:val="32"/>
          <w:szCs w:val="32"/>
        </w:rPr>
        <w:t>Ⅴ</w:t>
      </w:r>
      <w:r>
        <w:rPr>
          <w:rFonts w:ascii="仿宋_GB2312" w:eastAsia="仿宋_GB2312" w:hAnsi="仿宋_GB2312" w:cs="仿宋_GB2312" w:hint="eastAsia"/>
          <w:bCs/>
          <w:sz w:val="32"/>
          <w:szCs w:val="32"/>
        </w:rPr>
        <w:t>区，面积约</w:t>
      </w:r>
      <w:r>
        <w:rPr>
          <w:rFonts w:ascii="仿宋_GB2312" w:eastAsia="仿宋_GB2312" w:hAnsi="仿宋_GB2312" w:cs="仿宋_GB2312" w:hint="eastAsia"/>
          <w:bCs/>
          <w:sz w:val="32"/>
          <w:szCs w:val="32"/>
        </w:rPr>
        <w:t>46</w:t>
      </w:r>
      <w:r>
        <w:rPr>
          <w:rFonts w:ascii="仿宋_GB2312" w:eastAsia="仿宋_GB2312" w:hAnsi="仿宋_GB2312" w:cs="仿宋_GB2312" w:hint="eastAsia"/>
          <w:bCs/>
          <w:sz w:val="32"/>
          <w:szCs w:val="32"/>
        </w:rPr>
        <w:t>平方公里。</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地下水限制开采区范围</w:t>
      </w:r>
    </w:p>
    <w:p w:rsidR="00B23BCB" w:rsidRDefault="00A86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分布在</w:t>
      </w:r>
      <w:proofErr w:type="gramStart"/>
      <w:r>
        <w:rPr>
          <w:rFonts w:ascii="仿宋_GB2312" w:eastAsia="仿宋_GB2312" w:hAnsi="仿宋_GB2312" w:cs="仿宋_GB2312" w:hint="eastAsia"/>
          <w:kern w:val="0"/>
          <w:sz w:val="32"/>
          <w:szCs w:val="32"/>
        </w:rPr>
        <w:t>大兴区</w:t>
      </w:r>
      <w:proofErr w:type="gramEnd"/>
      <w:r>
        <w:rPr>
          <w:rFonts w:ascii="仿宋_GB2312" w:eastAsia="仿宋_GB2312" w:hAnsi="仿宋_GB2312" w:cs="仿宋_GB2312" w:hint="eastAsia"/>
          <w:kern w:val="0"/>
          <w:sz w:val="32"/>
          <w:szCs w:val="32"/>
        </w:rPr>
        <w:t>东南部的榆</w:t>
      </w:r>
      <w:proofErr w:type="gramStart"/>
      <w:r>
        <w:rPr>
          <w:rFonts w:ascii="仿宋_GB2312" w:eastAsia="仿宋_GB2312" w:hAnsi="仿宋_GB2312" w:cs="仿宋_GB2312" w:hint="eastAsia"/>
          <w:kern w:val="0"/>
          <w:sz w:val="32"/>
          <w:szCs w:val="32"/>
        </w:rPr>
        <w:t>垡</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礼贤</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安定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青云店</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旧宫以东，朝阳区十八里店至黑庄户以南和通州西南部的梨园</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大</w:t>
      </w:r>
      <w:r>
        <w:rPr>
          <w:rFonts w:ascii="仿宋_GB2312" w:eastAsia="仿宋_GB2312" w:hAnsi="仿宋_GB2312" w:cs="仿宋_GB2312" w:hint="eastAsia"/>
          <w:kern w:val="0"/>
          <w:sz w:val="32"/>
          <w:szCs w:val="32"/>
        </w:rPr>
        <w:lastRenderedPageBreak/>
        <w:t>杜社</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小</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以西的区域为地下水超采区（不含该范围内禁止开采区Ⅲ、禁止开采区Ⅳ区和禁止开采区Ⅴ区）</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且因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米以深地层是地面沉降的主要压缩层位，占比在</w:t>
      </w:r>
      <w:r>
        <w:rPr>
          <w:rFonts w:ascii="仿宋_GB2312" w:eastAsia="仿宋_GB2312" w:hAnsi="仿宋_GB2312" w:cs="仿宋_GB2312" w:hint="eastAsia"/>
          <w:sz w:val="32"/>
          <w:szCs w:val="32"/>
        </w:rPr>
        <w:t>60%-90%</w:t>
      </w:r>
      <w:r>
        <w:rPr>
          <w:rFonts w:ascii="仿宋_GB2312" w:eastAsia="仿宋_GB2312" w:hAnsi="仿宋_GB2312" w:cs="仿宋_GB2312" w:hint="eastAsia"/>
          <w:sz w:val="32"/>
          <w:szCs w:val="32"/>
        </w:rPr>
        <w:t>之间</w:t>
      </w:r>
      <w:r>
        <w:rPr>
          <w:rFonts w:ascii="仿宋_GB2312" w:eastAsia="仿宋_GB2312" w:hAnsi="仿宋_GB2312" w:cs="仿宋_GB2312" w:hint="eastAsia"/>
          <w:kern w:val="0"/>
          <w:sz w:val="32"/>
          <w:szCs w:val="32"/>
        </w:rPr>
        <w:t>。该区域</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米以深的第四系含水层组</w:t>
      </w:r>
      <w:r>
        <w:rPr>
          <w:rFonts w:ascii="仿宋_GB2312" w:eastAsia="仿宋_GB2312" w:hAnsi="仿宋_GB2312" w:cs="仿宋_GB2312" w:hint="eastAsia"/>
          <w:kern w:val="0"/>
          <w:sz w:val="32"/>
          <w:szCs w:val="32"/>
        </w:rPr>
        <w:t>划定为限制开采区Ⅰ区，</w:t>
      </w:r>
      <w:r>
        <w:rPr>
          <w:rFonts w:ascii="仿宋_GB2312" w:eastAsia="仿宋_GB2312" w:hAnsi="仿宋_GB2312" w:cs="仿宋_GB2312" w:hint="eastAsia"/>
          <w:sz w:val="32"/>
          <w:szCs w:val="32"/>
        </w:rPr>
        <w:t>面积约</w:t>
      </w:r>
      <w:r>
        <w:rPr>
          <w:rFonts w:ascii="仿宋_GB2312" w:eastAsia="仿宋_GB2312" w:hAnsi="仿宋_GB2312" w:cs="仿宋_GB2312" w:hint="eastAsia"/>
          <w:sz w:val="32"/>
          <w:szCs w:val="32"/>
        </w:rPr>
        <w:t>979</w:t>
      </w:r>
      <w:r>
        <w:rPr>
          <w:rFonts w:ascii="仿宋_GB2312" w:eastAsia="仿宋_GB2312" w:hAnsi="仿宋_GB2312" w:cs="仿宋_GB2312" w:hint="eastAsia"/>
          <w:sz w:val="32"/>
          <w:szCs w:val="32"/>
        </w:rPr>
        <w:t>平方公里。</w:t>
      </w:r>
    </w:p>
    <w:p w:rsidR="00B23BCB" w:rsidRDefault="00A86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布在朝阳区金盏、楼梓庄至通州区徐辛庄</w:t>
      </w:r>
      <w:r>
        <w:rPr>
          <w:rFonts w:ascii="仿宋_GB2312" w:eastAsia="仿宋_GB2312" w:hAnsi="仿宋_GB2312" w:cs="仿宋_GB2312" w:hint="eastAsia"/>
          <w:bCs/>
          <w:sz w:val="32"/>
          <w:szCs w:val="32"/>
        </w:rPr>
        <w:t>禁止开采区Ⅰ区和</w:t>
      </w:r>
      <w:r>
        <w:rPr>
          <w:rFonts w:ascii="仿宋_GB2312" w:eastAsia="仿宋_GB2312" w:hAnsi="仿宋_GB2312" w:cs="仿宋_GB2312" w:hint="eastAsia"/>
          <w:kern w:val="0"/>
          <w:sz w:val="32"/>
          <w:szCs w:val="32"/>
        </w:rPr>
        <w:t>Ⅱ区外围的地面沉降易发区为开采地下水可能引发地质灾害区域，</w:t>
      </w:r>
      <w:r>
        <w:rPr>
          <w:rFonts w:ascii="仿宋_GB2312" w:eastAsia="仿宋_GB2312" w:hAnsi="仿宋_GB2312" w:cs="仿宋_GB2312" w:hint="eastAsia"/>
          <w:sz w:val="32"/>
          <w:szCs w:val="32"/>
        </w:rPr>
        <w:t>且因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米以深地层是地面沉降的主要压缩层位，占比在</w:t>
      </w:r>
      <w:r>
        <w:rPr>
          <w:rFonts w:ascii="仿宋_GB2312" w:eastAsia="仿宋_GB2312" w:hAnsi="仿宋_GB2312" w:cs="仿宋_GB2312" w:hint="eastAsia"/>
          <w:sz w:val="32"/>
          <w:szCs w:val="32"/>
        </w:rPr>
        <w:t>60%-90%</w:t>
      </w:r>
      <w:r>
        <w:rPr>
          <w:rFonts w:ascii="仿宋_GB2312" w:eastAsia="仿宋_GB2312" w:hAnsi="仿宋_GB2312" w:cs="仿宋_GB2312" w:hint="eastAsia"/>
          <w:sz w:val="32"/>
          <w:szCs w:val="32"/>
        </w:rPr>
        <w:t>之间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此区域</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米以深的第四系含水层组</w:t>
      </w:r>
      <w:r>
        <w:rPr>
          <w:rFonts w:ascii="仿宋_GB2312" w:eastAsia="仿宋_GB2312" w:hAnsi="仿宋_GB2312" w:cs="仿宋_GB2312" w:hint="eastAsia"/>
          <w:kern w:val="0"/>
          <w:sz w:val="32"/>
          <w:szCs w:val="32"/>
        </w:rPr>
        <w:t>划定为限制开采区Ⅱ区，</w:t>
      </w:r>
      <w:r>
        <w:rPr>
          <w:rFonts w:ascii="仿宋_GB2312" w:eastAsia="仿宋_GB2312" w:hAnsi="仿宋_GB2312" w:cs="仿宋_GB2312" w:hint="eastAsia"/>
          <w:sz w:val="32"/>
          <w:szCs w:val="32"/>
        </w:rPr>
        <w:t>面积约</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平方公里。</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分布在顺义区东南部东尹家府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大石各庄一带的地下水超采区域</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米以深的第四系含水层组划定限制开采区Ⅲ区，面积约</w:t>
      </w:r>
      <w:r>
        <w:rPr>
          <w:rFonts w:ascii="仿宋_GB2312" w:eastAsia="仿宋_GB2312" w:hAnsi="仿宋_GB2312" w:cs="仿宋_GB2312" w:hint="eastAsia"/>
          <w:kern w:val="0"/>
          <w:sz w:val="32"/>
          <w:szCs w:val="32"/>
        </w:rPr>
        <w:t>165</w:t>
      </w:r>
      <w:r>
        <w:rPr>
          <w:rFonts w:ascii="仿宋_GB2312" w:eastAsia="仿宋_GB2312" w:hAnsi="仿宋_GB2312" w:cs="仿宋_GB2312" w:hint="eastAsia"/>
          <w:kern w:val="0"/>
          <w:sz w:val="32"/>
          <w:szCs w:val="32"/>
        </w:rPr>
        <w:t>平方公里。</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分布在海淀区上庄的地面沉降区为开采地下水可能引发地质灾害区域，</w:t>
      </w:r>
      <w:r>
        <w:rPr>
          <w:rFonts w:ascii="仿宋_GB2312" w:eastAsia="仿宋_GB2312" w:hAnsi="仿宋_GB2312" w:cs="仿宋_GB2312" w:hint="eastAsia"/>
          <w:sz w:val="32"/>
          <w:szCs w:val="32"/>
        </w:rPr>
        <w:t>且因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米以深地层是地面沉降的主要压缩层位，占比在</w:t>
      </w:r>
      <w:r>
        <w:rPr>
          <w:rFonts w:ascii="仿宋_GB2312" w:eastAsia="仿宋_GB2312" w:hAnsi="仿宋_GB2312" w:cs="仿宋_GB2312" w:hint="eastAsia"/>
          <w:sz w:val="32"/>
          <w:szCs w:val="32"/>
        </w:rPr>
        <w:t>60%-90%</w:t>
      </w:r>
      <w:r>
        <w:rPr>
          <w:rFonts w:ascii="仿宋_GB2312" w:eastAsia="仿宋_GB2312" w:hAnsi="仿宋_GB2312" w:cs="仿宋_GB2312" w:hint="eastAsia"/>
          <w:sz w:val="32"/>
          <w:szCs w:val="32"/>
        </w:rPr>
        <w:t>之间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此区域</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米以深的第四系含水层组划定为限制开采区Ⅳ区，面积约</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平方公里。</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综上，</w:t>
      </w:r>
      <w:r>
        <w:rPr>
          <w:rFonts w:ascii="仿宋_GB2312" w:eastAsia="仿宋_GB2312" w:hAnsi="仿宋_GB2312" w:cs="仿宋_GB2312" w:hint="eastAsia"/>
          <w:kern w:val="0"/>
          <w:sz w:val="32"/>
          <w:szCs w:val="32"/>
        </w:rPr>
        <w:t>本</w:t>
      </w:r>
      <w:r>
        <w:rPr>
          <w:rFonts w:ascii="仿宋_GB2312" w:eastAsia="仿宋_GB2312" w:hAnsi="仿宋_GB2312" w:cs="仿宋_GB2312" w:hint="eastAsia"/>
          <w:kern w:val="0"/>
          <w:sz w:val="32"/>
          <w:szCs w:val="32"/>
        </w:rPr>
        <w:t>市地下水禁止开采区面积约为</w:t>
      </w:r>
      <w:r>
        <w:rPr>
          <w:rFonts w:ascii="仿宋_GB2312" w:eastAsia="仿宋_GB2312" w:hAnsi="仿宋_GB2312" w:cs="仿宋_GB2312" w:hint="eastAsia"/>
          <w:kern w:val="0"/>
          <w:sz w:val="32"/>
          <w:szCs w:val="32"/>
        </w:rPr>
        <w:t>197</w:t>
      </w:r>
      <w:r>
        <w:rPr>
          <w:rFonts w:ascii="仿宋_GB2312" w:eastAsia="仿宋_GB2312" w:hAnsi="仿宋_GB2312" w:cs="仿宋_GB2312" w:hint="eastAsia"/>
          <w:kern w:val="0"/>
          <w:sz w:val="32"/>
          <w:szCs w:val="32"/>
        </w:rPr>
        <w:t>平方公里，地下水限制开采区面积约为</w:t>
      </w:r>
      <w:r>
        <w:rPr>
          <w:rFonts w:ascii="仿宋_GB2312" w:eastAsia="仿宋_GB2312" w:hAnsi="仿宋_GB2312" w:cs="仿宋_GB2312" w:hint="eastAsia"/>
          <w:kern w:val="0"/>
          <w:sz w:val="32"/>
          <w:szCs w:val="32"/>
        </w:rPr>
        <w:t>1182</w:t>
      </w:r>
      <w:r>
        <w:rPr>
          <w:rFonts w:ascii="仿宋_GB2312" w:eastAsia="仿宋_GB2312" w:hAnsi="仿宋_GB2312" w:cs="仿宋_GB2312" w:hint="eastAsia"/>
          <w:kern w:val="0"/>
          <w:sz w:val="32"/>
          <w:szCs w:val="32"/>
        </w:rPr>
        <w:t>平方公里。</w:t>
      </w:r>
    </w:p>
    <w:p w:rsidR="00B23BCB" w:rsidRDefault="00A8625E">
      <w:pPr>
        <w:numPr>
          <w:ilvl w:val="0"/>
          <w:numId w:val="1"/>
        </w:num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管理措施</w:t>
      </w:r>
    </w:p>
    <w:p w:rsidR="00B23BCB" w:rsidRDefault="00A8625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本市地下水禁止开采区、限制开采区严格执行《地下水管理条例》第三十五条规定。各区要认真核查禁止开采区内取水情况，加快制定水源置换计划，于</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年底前逐步完成禁止开采区内的取水井置换。原则上地下水禁止开采区内除</w:t>
      </w:r>
      <w:r>
        <w:rPr>
          <w:rFonts w:ascii="仿宋_GB2312" w:eastAsia="仿宋_GB2312" w:hAnsi="仿宋_GB2312" w:cs="仿宋_GB2312" w:hint="eastAsia"/>
          <w:kern w:val="0"/>
          <w:sz w:val="32"/>
          <w:szCs w:val="32"/>
        </w:rPr>
        <w:lastRenderedPageBreak/>
        <w:t>保留部分取水井作为保障重要工程和民生安全应急备用以及用于</w:t>
      </w:r>
      <w:r>
        <w:rPr>
          <w:rFonts w:ascii="仿宋_GB2312" w:eastAsia="仿宋_GB2312" w:hAnsi="仿宋_GB2312" w:cs="仿宋_GB2312" w:hint="eastAsia"/>
          <w:kern w:val="0"/>
          <w:sz w:val="32"/>
          <w:szCs w:val="32"/>
        </w:rPr>
        <w:t>监测外，其余一律予</w:t>
      </w:r>
      <w:bookmarkStart w:id="2" w:name="_GoBack"/>
      <w:bookmarkEnd w:id="2"/>
      <w:r>
        <w:rPr>
          <w:rFonts w:ascii="仿宋_GB2312" w:eastAsia="仿宋_GB2312" w:hAnsi="仿宋_GB2312" w:cs="仿宋_GB2312" w:hint="eastAsia"/>
          <w:kern w:val="0"/>
          <w:sz w:val="32"/>
          <w:szCs w:val="32"/>
        </w:rPr>
        <w:t>以封填。</w:t>
      </w:r>
    </w:p>
    <w:p w:rsidR="00B23BCB" w:rsidRDefault="00B23BCB" w:rsidP="0012189C">
      <w:pPr>
        <w:spacing w:line="560" w:lineRule="exact"/>
        <w:ind w:firstLineChars="200" w:firstLine="420"/>
      </w:pPr>
    </w:p>
    <w:sectPr w:rsidR="00B23B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5E" w:rsidRDefault="00A8625E">
      <w:r>
        <w:separator/>
      </w:r>
    </w:p>
  </w:endnote>
  <w:endnote w:type="continuationSeparator" w:id="0">
    <w:p w:rsidR="00A8625E" w:rsidRDefault="00A8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101793"/>
    </w:sdtPr>
    <w:sdtEndPr/>
    <w:sdtContent>
      <w:p w:rsidR="00B23BCB" w:rsidRDefault="00A8625E">
        <w:pPr>
          <w:pStyle w:val="a8"/>
          <w:jc w:val="center"/>
        </w:pPr>
        <w:r>
          <w:fldChar w:fldCharType="begin"/>
        </w:r>
        <w:r>
          <w:instrText>PAGE   \* MERGEFORMAT</w:instrText>
        </w:r>
        <w:r>
          <w:fldChar w:fldCharType="separate"/>
        </w:r>
        <w:r w:rsidR="0012189C" w:rsidRPr="0012189C">
          <w:rPr>
            <w:noProof/>
            <w:lang w:val="zh-CN"/>
          </w:rPr>
          <w:t>4</w:t>
        </w:r>
        <w:r>
          <w:fldChar w:fldCharType="end"/>
        </w:r>
      </w:p>
    </w:sdtContent>
  </w:sdt>
  <w:p w:rsidR="00B23BCB" w:rsidRDefault="00B23BC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5E" w:rsidRDefault="00A8625E">
      <w:r>
        <w:separator/>
      </w:r>
    </w:p>
  </w:footnote>
  <w:footnote w:type="continuationSeparator" w:id="0">
    <w:p w:rsidR="00A8625E" w:rsidRDefault="00A86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7A4505"/>
    <w:multiLevelType w:val="singleLevel"/>
    <w:tmpl w:val="F57A450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2B"/>
    <w:rsid w:val="9BFD3FA7"/>
    <w:rsid w:val="F73F85AB"/>
    <w:rsid w:val="F7D5C8CA"/>
    <w:rsid w:val="FB3FBDE6"/>
    <w:rsid w:val="FEBF8C97"/>
    <w:rsid w:val="00004FA9"/>
    <w:rsid w:val="0001700D"/>
    <w:rsid w:val="00022E69"/>
    <w:rsid w:val="00047694"/>
    <w:rsid w:val="00056957"/>
    <w:rsid w:val="00057D7B"/>
    <w:rsid w:val="00072CB2"/>
    <w:rsid w:val="00085EA7"/>
    <w:rsid w:val="00094405"/>
    <w:rsid w:val="00097204"/>
    <w:rsid w:val="000C568C"/>
    <w:rsid w:val="000D6278"/>
    <w:rsid w:val="000F3540"/>
    <w:rsid w:val="001014D2"/>
    <w:rsid w:val="0012189C"/>
    <w:rsid w:val="00125549"/>
    <w:rsid w:val="001454DA"/>
    <w:rsid w:val="00151C83"/>
    <w:rsid w:val="0015413C"/>
    <w:rsid w:val="001830D5"/>
    <w:rsid w:val="001B1E12"/>
    <w:rsid w:val="001B352D"/>
    <w:rsid w:val="001B4269"/>
    <w:rsid w:val="001C2B83"/>
    <w:rsid w:val="001D45CD"/>
    <w:rsid w:val="001D61D1"/>
    <w:rsid w:val="001E5EEB"/>
    <w:rsid w:val="001E6087"/>
    <w:rsid w:val="002007C3"/>
    <w:rsid w:val="00243BB4"/>
    <w:rsid w:val="00247B5D"/>
    <w:rsid w:val="00263598"/>
    <w:rsid w:val="002649A6"/>
    <w:rsid w:val="002B1A3A"/>
    <w:rsid w:val="002B6D76"/>
    <w:rsid w:val="002B7D9A"/>
    <w:rsid w:val="002C5544"/>
    <w:rsid w:val="002E46F0"/>
    <w:rsid w:val="002E57A0"/>
    <w:rsid w:val="002F3552"/>
    <w:rsid w:val="00315B04"/>
    <w:rsid w:val="00325EF3"/>
    <w:rsid w:val="003812F4"/>
    <w:rsid w:val="003A460E"/>
    <w:rsid w:val="003A462B"/>
    <w:rsid w:val="003B0881"/>
    <w:rsid w:val="003B0B9A"/>
    <w:rsid w:val="003C35E2"/>
    <w:rsid w:val="003D020C"/>
    <w:rsid w:val="003D70A3"/>
    <w:rsid w:val="003E1BA1"/>
    <w:rsid w:val="003F4F14"/>
    <w:rsid w:val="00402754"/>
    <w:rsid w:val="004232FA"/>
    <w:rsid w:val="00427E31"/>
    <w:rsid w:val="00435575"/>
    <w:rsid w:val="004623B8"/>
    <w:rsid w:val="00470C02"/>
    <w:rsid w:val="00472A84"/>
    <w:rsid w:val="00476342"/>
    <w:rsid w:val="004831E2"/>
    <w:rsid w:val="00487A8F"/>
    <w:rsid w:val="004E0657"/>
    <w:rsid w:val="004E0F5E"/>
    <w:rsid w:val="004F7517"/>
    <w:rsid w:val="0051226E"/>
    <w:rsid w:val="0051476C"/>
    <w:rsid w:val="00523173"/>
    <w:rsid w:val="0052564F"/>
    <w:rsid w:val="00527E85"/>
    <w:rsid w:val="00571F35"/>
    <w:rsid w:val="005A07C1"/>
    <w:rsid w:val="005A341E"/>
    <w:rsid w:val="005B3F80"/>
    <w:rsid w:val="005D3443"/>
    <w:rsid w:val="005D4B11"/>
    <w:rsid w:val="005E35A6"/>
    <w:rsid w:val="005F3401"/>
    <w:rsid w:val="00622E56"/>
    <w:rsid w:val="0065348D"/>
    <w:rsid w:val="006A743A"/>
    <w:rsid w:val="006D3C6D"/>
    <w:rsid w:val="006E537B"/>
    <w:rsid w:val="006E5ABC"/>
    <w:rsid w:val="00704EE6"/>
    <w:rsid w:val="00711EC9"/>
    <w:rsid w:val="00724A25"/>
    <w:rsid w:val="00726122"/>
    <w:rsid w:val="007328A8"/>
    <w:rsid w:val="0073596F"/>
    <w:rsid w:val="007520AD"/>
    <w:rsid w:val="00757AF8"/>
    <w:rsid w:val="00774436"/>
    <w:rsid w:val="00794C70"/>
    <w:rsid w:val="007A1AF8"/>
    <w:rsid w:val="007C2A95"/>
    <w:rsid w:val="007D52EB"/>
    <w:rsid w:val="007E0E35"/>
    <w:rsid w:val="00820DE5"/>
    <w:rsid w:val="00846F6C"/>
    <w:rsid w:val="0084736D"/>
    <w:rsid w:val="00887F45"/>
    <w:rsid w:val="00892B76"/>
    <w:rsid w:val="008A312D"/>
    <w:rsid w:val="008B49F7"/>
    <w:rsid w:val="008B6D32"/>
    <w:rsid w:val="008C0C1F"/>
    <w:rsid w:val="008C5A76"/>
    <w:rsid w:val="008D6850"/>
    <w:rsid w:val="00900210"/>
    <w:rsid w:val="00907B88"/>
    <w:rsid w:val="00926239"/>
    <w:rsid w:val="0098610A"/>
    <w:rsid w:val="00990B23"/>
    <w:rsid w:val="00997EF2"/>
    <w:rsid w:val="009B1269"/>
    <w:rsid w:val="009B1DA1"/>
    <w:rsid w:val="009C0DED"/>
    <w:rsid w:val="009C6976"/>
    <w:rsid w:val="009E4466"/>
    <w:rsid w:val="009F5F45"/>
    <w:rsid w:val="00A014E3"/>
    <w:rsid w:val="00A15FE5"/>
    <w:rsid w:val="00A22F19"/>
    <w:rsid w:val="00A647A9"/>
    <w:rsid w:val="00A75752"/>
    <w:rsid w:val="00A83076"/>
    <w:rsid w:val="00A8625E"/>
    <w:rsid w:val="00AC14CB"/>
    <w:rsid w:val="00AC7C65"/>
    <w:rsid w:val="00AD5A6D"/>
    <w:rsid w:val="00B06514"/>
    <w:rsid w:val="00B071DD"/>
    <w:rsid w:val="00B108BA"/>
    <w:rsid w:val="00B23BCB"/>
    <w:rsid w:val="00B325AF"/>
    <w:rsid w:val="00B4377A"/>
    <w:rsid w:val="00B8043D"/>
    <w:rsid w:val="00B977D6"/>
    <w:rsid w:val="00BA0E46"/>
    <w:rsid w:val="00BA2BE3"/>
    <w:rsid w:val="00BB6736"/>
    <w:rsid w:val="00BE0234"/>
    <w:rsid w:val="00BE730F"/>
    <w:rsid w:val="00BF0642"/>
    <w:rsid w:val="00C1011D"/>
    <w:rsid w:val="00C30760"/>
    <w:rsid w:val="00C534E4"/>
    <w:rsid w:val="00C55758"/>
    <w:rsid w:val="00C91D03"/>
    <w:rsid w:val="00CB2AB3"/>
    <w:rsid w:val="00CB5573"/>
    <w:rsid w:val="00CB5818"/>
    <w:rsid w:val="00CC0F2F"/>
    <w:rsid w:val="00CE1D67"/>
    <w:rsid w:val="00D17E29"/>
    <w:rsid w:val="00D540C6"/>
    <w:rsid w:val="00D55499"/>
    <w:rsid w:val="00D60D82"/>
    <w:rsid w:val="00D82841"/>
    <w:rsid w:val="00D874E7"/>
    <w:rsid w:val="00DB2528"/>
    <w:rsid w:val="00DB5C47"/>
    <w:rsid w:val="00DD0C92"/>
    <w:rsid w:val="00DE5B8B"/>
    <w:rsid w:val="00DF1764"/>
    <w:rsid w:val="00E05129"/>
    <w:rsid w:val="00E15802"/>
    <w:rsid w:val="00E43CB6"/>
    <w:rsid w:val="00E633F3"/>
    <w:rsid w:val="00E705FB"/>
    <w:rsid w:val="00E91952"/>
    <w:rsid w:val="00EA4283"/>
    <w:rsid w:val="00EC396A"/>
    <w:rsid w:val="00EC5ED9"/>
    <w:rsid w:val="00EE6D72"/>
    <w:rsid w:val="00EF4F39"/>
    <w:rsid w:val="00F60373"/>
    <w:rsid w:val="00F61D43"/>
    <w:rsid w:val="00F66EAE"/>
    <w:rsid w:val="00F70C54"/>
    <w:rsid w:val="00F75608"/>
    <w:rsid w:val="00F90323"/>
    <w:rsid w:val="00FA6B08"/>
    <w:rsid w:val="00FA7934"/>
    <w:rsid w:val="00FC346E"/>
    <w:rsid w:val="00FD2087"/>
    <w:rsid w:val="00FD5B3F"/>
    <w:rsid w:val="00FD796A"/>
    <w:rsid w:val="00FE41A3"/>
    <w:rsid w:val="00FE42BA"/>
    <w:rsid w:val="017151BD"/>
    <w:rsid w:val="043814F9"/>
    <w:rsid w:val="0C6D6337"/>
    <w:rsid w:val="0DFA37D0"/>
    <w:rsid w:val="18EF7899"/>
    <w:rsid w:val="21722EF2"/>
    <w:rsid w:val="2E91652C"/>
    <w:rsid w:val="34ED3A43"/>
    <w:rsid w:val="3D382776"/>
    <w:rsid w:val="5BFF021B"/>
    <w:rsid w:val="5D68372A"/>
    <w:rsid w:val="5F2E37CE"/>
    <w:rsid w:val="6307542F"/>
    <w:rsid w:val="67777C24"/>
    <w:rsid w:val="6F7FA0A7"/>
    <w:rsid w:val="767465AD"/>
    <w:rsid w:val="77974A78"/>
    <w:rsid w:val="783771B7"/>
    <w:rsid w:val="793D236A"/>
    <w:rsid w:val="7BBFF9BF"/>
    <w:rsid w:val="7CBBC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22DD5-75FA-4E15-B7B1-2610A708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Courier New" w:eastAsia="宋体" w:hAnsi="Courier New" w:cs="Courier New"/>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Wingdings" w:eastAsia="Cambria Math" w:hAnsi="Wingdings"/>
      <w:b/>
      <w:bCs/>
      <w:sz w:val="32"/>
      <w:szCs w:val="32"/>
    </w:rPr>
  </w:style>
  <w:style w:type="paragraph" w:styleId="4">
    <w:name w:val="heading 4"/>
    <w:basedOn w:val="a"/>
    <w:next w:val="a"/>
    <w:uiPriority w:val="9"/>
    <w:qFormat/>
    <w:pPr>
      <w:keepNext/>
      <w:keepLines/>
      <w:spacing w:before="280" w:after="290" w:line="376" w:lineRule="atLeast"/>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nhideWhenUsed/>
    <w:qFormat/>
    <w:pPr>
      <w:spacing w:after="120"/>
    </w:pPr>
    <w:rPr>
      <w:rFonts w:ascii="Times New Roman" w:hAnsi="Times New Roma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1">
    <w:name w:val="toc 2"/>
    <w:basedOn w:val="a"/>
    <w:next w:val="a"/>
    <w:uiPriority w:val="39"/>
    <w:qFormat/>
    <w:pPr>
      <w:ind w:leftChars="200" w:left="420"/>
    </w:p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semiHidden/>
    <w:unhideWhenUsed/>
    <w:qFormat/>
    <w:rPr>
      <w:b/>
      <w:bCs/>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Courier New" w:eastAsia="宋体" w:hAnsi="Courier New" w:cs="Courier New"/>
      <w:color w:val="000000"/>
      <w:sz w:val="24"/>
      <w:szCs w:val="24"/>
    </w:rPr>
  </w:style>
  <w:style w:type="character" w:customStyle="1" w:styleId="a9">
    <w:name w:val="页脚 字符"/>
    <w:basedOn w:val="a0"/>
    <w:link w:val="a8"/>
    <w:uiPriority w:val="99"/>
    <w:qFormat/>
    <w:rPr>
      <w:rFonts w:ascii="Courier New" w:eastAsia="宋体" w:hAnsi="Courier New" w:cs="Courier New"/>
      <w:sz w:val="18"/>
      <w:szCs w:val="18"/>
    </w:rPr>
  </w:style>
  <w:style w:type="character" w:customStyle="1" w:styleId="ab">
    <w:name w:val="页眉 字符"/>
    <w:basedOn w:val="a0"/>
    <w:link w:val="aa"/>
    <w:uiPriority w:val="99"/>
    <w:qFormat/>
    <w:rPr>
      <w:rFonts w:ascii="Courier New" w:eastAsia="宋体" w:hAnsi="Courier New" w:cs="Courier New"/>
      <w:sz w:val="18"/>
      <w:szCs w:val="18"/>
    </w:rPr>
  </w:style>
  <w:style w:type="character" w:customStyle="1" w:styleId="10">
    <w:name w:val="标题 1 字符"/>
    <w:basedOn w:val="a0"/>
    <w:link w:val="1"/>
    <w:qFormat/>
    <w:rPr>
      <w:rFonts w:ascii="Courier New" w:eastAsia="宋体" w:hAnsi="Courier New" w:cs="Courier New"/>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0">
    <w:name w:val="标题 2 字符"/>
    <w:link w:val="2"/>
    <w:qFormat/>
    <w:rPr>
      <w:rFonts w:ascii="Wingdings" w:eastAsia="Cambria Math" w:hAnsi="Wingdings" w:cs="Courier New"/>
      <w:b/>
      <w:bCs/>
      <w:sz w:val="32"/>
      <w:szCs w:val="32"/>
    </w:rPr>
  </w:style>
  <w:style w:type="paragraph" w:customStyle="1" w:styleId="0717">
    <w:name w:val="正文0717"/>
    <w:basedOn w:val="a"/>
    <w:qFormat/>
    <w:pPr>
      <w:widowControl/>
      <w:spacing w:line="360" w:lineRule="auto"/>
      <w:ind w:firstLineChars="200" w:firstLine="200"/>
    </w:pPr>
    <w:rPr>
      <w:rFonts w:ascii="Times New Roman" w:eastAsia="仿宋" w:hAnsi="Times New Roman" w:cs="Arial"/>
      <w:color w:val="333333"/>
      <w:kern w:val="0"/>
      <w:sz w:val="28"/>
      <w:szCs w:val="28"/>
    </w:rPr>
  </w:style>
  <w:style w:type="character" w:customStyle="1" w:styleId="a7">
    <w:name w:val="批注框文本 字符"/>
    <w:basedOn w:val="a0"/>
    <w:link w:val="a6"/>
    <w:uiPriority w:val="99"/>
    <w:semiHidden/>
    <w:qFormat/>
    <w:rPr>
      <w:rFonts w:ascii="Courier New" w:eastAsia="宋体" w:hAnsi="Courier New" w:cs="Courier New"/>
      <w:sz w:val="18"/>
      <w:szCs w:val="18"/>
    </w:rPr>
  </w:style>
  <w:style w:type="character" w:customStyle="1" w:styleId="a4">
    <w:name w:val="批注文字 字符"/>
    <w:basedOn w:val="a0"/>
    <w:link w:val="a3"/>
    <w:uiPriority w:val="99"/>
    <w:semiHidden/>
    <w:qFormat/>
    <w:rPr>
      <w:rFonts w:ascii="Courier New" w:eastAsia="宋体" w:hAnsi="Courier New" w:cs="Courier New"/>
      <w:kern w:val="2"/>
      <w:sz w:val="21"/>
      <w:szCs w:val="21"/>
    </w:rPr>
  </w:style>
  <w:style w:type="character" w:customStyle="1" w:styleId="ae">
    <w:name w:val="批注主题 字符"/>
    <w:basedOn w:val="a4"/>
    <w:link w:val="ad"/>
    <w:uiPriority w:val="99"/>
    <w:semiHidden/>
    <w:qFormat/>
    <w:rPr>
      <w:rFonts w:ascii="Courier New" w:eastAsia="宋体" w:hAnsi="Courier New" w:cs="Courier New"/>
      <w:b/>
      <w:bCs/>
      <w:kern w:val="2"/>
      <w:sz w:val="21"/>
      <w:szCs w:val="21"/>
    </w:rPr>
  </w:style>
  <w:style w:type="paragraph" w:customStyle="1" w:styleId="12">
    <w:name w:val="修订1"/>
    <w:hidden/>
    <w:uiPriority w:val="99"/>
    <w:semiHidden/>
    <w:qFormat/>
    <w:rPr>
      <w:rFonts w:ascii="Courier New"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段光耀</cp:lastModifiedBy>
  <cp:revision>8</cp:revision>
  <cp:lastPrinted>2022-03-12T09:37:00Z</cp:lastPrinted>
  <dcterms:created xsi:type="dcterms:W3CDTF">2022-04-08T10:43:00Z</dcterms:created>
  <dcterms:modified xsi:type="dcterms:W3CDTF">2022-04-08T08:18:00Z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6CEAD975394F4ABB83757109B8231CA8</vt:lpwstr>
  </property>
</Properties>
</file>