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北京市城管执法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部门轻微违法行为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不予行政处罚规定（试行）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（草案）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和制定依据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为认真贯彻落实《中华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人民共和国行政处罚法》规定，推进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包容审慎执法，更好保护公民、法人或者其他组织的合法权益，更好服务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依据有关法律法规规章及国家和本市有关规定，结合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北京市城管执法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部门轻微违法行为不予行政处罚规定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二、《规定》</w:t>
      </w:r>
      <w:r>
        <w:rPr>
          <w:rFonts w:hint="eastAsia"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一是明确了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适用范围。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市、区城管执法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以及街道办事处、乡镇人民政府综合行政执法队（以下简称城管执法部门）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，依据职责实施不予行政处罚工作适用本规定。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二是明确了不予行政处罚的适用情形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和认定标准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。本规定所称轻微违法行为不予行政处罚，主要是指“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违法行为轻微并及时改正，没有造成危害后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果”和“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初次违法且危害后果轻微并及时改正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”两种情形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，同时，分别针对上述情形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具体的适用条件和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判定标准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进行了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三是明确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不予行政处罚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清单管理。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市局制定不予行政处罚事项清单，并根据法律法规规章调整以及实际执行情况，对清单进行动态调整。同时，</w:t>
      </w:r>
      <w:r>
        <w:rPr>
          <w:rFonts w:hint="eastAsia" w:ascii="仿宋_GB2312" w:hAnsi="仿宋" w:cs="仿宋"/>
          <w:b w:val="0"/>
          <w:bCs w:val="0"/>
          <w:sz w:val="32"/>
          <w:szCs w:val="32"/>
          <w:highlight w:val="none"/>
          <w:lang w:val="en-US" w:eastAsia="zh-CN"/>
        </w:rPr>
        <w:t>在附件中细化了《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城管执法部门轻微违法行为不予行政处罚清单</w:t>
      </w:r>
      <w:r>
        <w:rPr>
          <w:rFonts w:hint="eastAsia" w:ascii="仿宋_GB2312" w:hAnsi="仿宋" w:cs="仿宋"/>
          <w:b w:val="0"/>
          <w:bCs w:val="0"/>
          <w:sz w:val="32"/>
          <w:szCs w:val="32"/>
          <w:highlight w:val="none"/>
          <w:lang w:val="en-US" w:eastAsia="zh-CN"/>
        </w:rPr>
        <w:t>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四是明确了不予行政处罚的处置规定。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城管执法部门对轻微违法行为不予行政处罚，依法作出书面不予行政处罚决定，同时还应当制发行政告知书，对当事人进行教育提醒。对违法行为轻微并及时改正的，也可以适用行政指导制度，制发行政告诫书，对当事人进行法规宣传和教育提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五是明确了慎用强制措施规定。城管执法部门对轻微违法行为，原则上不实施或慎用先行登记保存以及查封、扣押等行政强制措施。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楷体"/>
          <w:szCs w:val="32"/>
        </w:rPr>
      </w:pPr>
      <w:r>
        <w:rPr>
          <w:rFonts w:ascii="仿宋_GB2312" w:hAnsi="楷体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北京市城管执法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部门轻微违法行为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不予行政处罚规定（试行）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（草案）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制定依据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83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50"/>
        <w:gridCol w:w="1689"/>
        <w:gridCol w:w="2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序号</w:t>
            </w:r>
          </w:p>
        </w:tc>
        <w:tc>
          <w:tcPr>
            <w:tcW w:w="33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名     称</w:t>
            </w:r>
          </w:p>
        </w:tc>
        <w:tc>
          <w:tcPr>
            <w:tcW w:w="168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制定机关</w:t>
            </w:r>
          </w:p>
        </w:tc>
        <w:tc>
          <w:tcPr>
            <w:tcW w:w="25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公布日期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《中华人民共和国行政处罚法》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全国人民代表大会常务委员会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2021年7月15日起施行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《法治政府建设实施纲要（2021－2025年）》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中共中央、国务院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《北京市法治政府建设实施意见（2021-2025年）》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中共北京市委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北京市人民政府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《北京市“十四五”时期优化营商环境规划》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北京市人民政府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《北京市培育和激发市场主体活力持续优化营商环境实施方案》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北京市人民政府办公厅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8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rFonts w:ascii="仿宋_GB2312" w:hAnsi="楷体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5BC"/>
    <w:rsid w:val="0002331A"/>
    <w:rsid w:val="00051890"/>
    <w:rsid w:val="0006643E"/>
    <w:rsid w:val="000B5CF3"/>
    <w:rsid w:val="000C015B"/>
    <w:rsid w:val="000E6756"/>
    <w:rsid w:val="0017602B"/>
    <w:rsid w:val="001C7129"/>
    <w:rsid w:val="001E564B"/>
    <w:rsid w:val="00264A14"/>
    <w:rsid w:val="00275755"/>
    <w:rsid w:val="003901ED"/>
    <w:rsid w:val="003D3EC6"/>
    <w:rsid w:val="003F7AA7"/>
    <w:rsid w:val="004336B1"/>
    <w:rsid w:val="004475BC"/>
    <w:rsid w:val="00490220"/>
    <w:rsid w:val="005563BA"/>
    <w:rsid w:val="00597DDD"/>
    <w:rsid w:val="005A3BFB"/>
    <w:rsid w:val="00750F9C"/>
    <w:rsid w:val="007B5EEA"/>
    <w:rsid w:val="00891048"/>
    <w:rsid w:val="008C2D4F"/>
    <w:rsid w:val="00936F07"/>
    <w:rsid w:val="00967C1D"/>
    <w:rsid w:val="00AC5B83"/>
    <w:rsid w:val="00B56EA7"/>
    <w:rsid w:val="00C40AFB"/>
    <w:rsid w:val="00CF3471"/>
    <w:rsid w:val="00D64C28"/>
    <w:rsid w:val="00D73404"/>
    <w:rsid w:val="00ED6BF4"/>
    <w:rsid w:val="15DDBBC4"/>
    <w:rsid w:val="36307C28"/>
    <w:rsid w:val="393D193A"/>
    <w:rsid w:val="3C0FF8F9"/>
    <w:rsid w:val="3FFF2066"/>
    <w:rsid w:val="4F4C1F1F"/>
    <w:rsid w:val="57FF3699"/>
    <w:rsid w:val="5D7F5DBC"/>
    <w:rsid w:val="5FFF7E91"/>
    <w:rsid w:val="6BFDB772"/>
    <w:rsid w:val="6DCFE0D4"/>
    <w:rsid w:val="6E6FCB54"/>
    <w:rsid w:val="76ED80EA"/>
    <w:rsid w:val="7BF623F6"/>
    <w:rsid w:val="7BFDFD72"/>
    <w:rsid w:val="7F95A90A"/>
    <w:rsid w:val="7FD7617F"/>
    <w:rsid w:val="A7FF49DD"/>
    <w:rsid w:val="A9DF8139"/>
    <w:rsid w:val="B39F3C2D"/>
    <w:rsid w:val="BA7B23C6"/>
    <w:rsid w:val="BF4B3EBB"/>
    <w:rsid w:val="DF9FA11A"/>
    <w:rsid w:val="EBF9457D"/>
    <w:rsid w:val="F67FBF97"/>
    <w:rsid w:val="F7FFD6E8"/>
    <w:rsid w:val="F9FD1197"/>
    <w:rsid w:val="FE734873"/>
    <w:rsid w:val="FF4FD1DC"/>
    <w:rsid w:val="FFFD1BDE"/>
    <w:rsid w:val="FFFF9772"/>
    <w:rsid w:val="FFFFC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pPr>
      <w:spacing w:line="640" w:lineRule="exact"/>
      <w:jc w:val="center"/>
    </w:pPr>
    <w:rPr>
      <w:rFonts w:eastAsia="华文中宋" w:cstheme="minorBidi"/>
      <w:sz w:val="4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link w:val="2"/>
    <w:qFormat/>
    <w:uiPriority w:val="0"/>
    <w:rPr>
      <w:rFonts w:ascii="宋体" w:hAnsi="宋体" w:eastAsia="华文中宋"/>
      <w:sz w:val="44"/>
      <w:szCs w:val="24"/>
    </w:rPr>
  </w:style>
  <w:style w:type="character" w:customStyle="1" w:styleId="9">
    <w:name w:val="正文文本 字符1"/>
    <w:basedOn w:val="7"/>
    <w:semiHidden/>
    <w:qFormat/>
    <w:uiPriority w:val="99"/>
    <w:rPr>
      <w:rFonts w:ascii="宋体" w:hAnsi="宋体" w:eastAsia="仿宋_GB2312" w:cs="Times New Roman"/>
      <w:sz w:val="32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宋体" w:hAnsi="宋体" w:eastAsia="仿宋_GB2312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宋体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266</Words>
  <Characters>1519</Characters>
  <Lines>12</Lines>
  <Paragraphs>3</Paragraphs>
  <TotalTime>1</TotalTime>
  <ScaleCrop>false</ScaleCrop>
  <LinksUpToDate>false</LinksUpToDate>
  <CharactersWithSpaces>1782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2021-12-23T22:13:00Z</dcterms:created>
  <dc:creator>汤 文轩</dc:creator>
  <cp:lastModifiedBy>uos</cp:lastModifiedBy>
  <dcterms:modified xsi:type="dcterms:W3CDTF">2022-03-30T18:45:23Z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