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cs="宋体" w:asciiTheme="majorEastAsia" w:hAnsiTheme="majorEastAsia" w:eastAsiaTheme="majorEastAsia"/>
          <w:b/>
          <w:color w:val="333333"/>
          <w:kern w:val="36"/>
          <w:sz w:val="44"/>
          <w:szCs w:val="44"/>
        </w:rPr>
      </w:pPr>
      <w:r>
        <w:rPr>
          <w:rFonts w:hint="eastAsia" w:cs="宋体" w:asciiTheme="majorEastAsia" w:hAnsiTheme="majorEastAsia" w:eastAsiaTheme="majorEastAsia"/>
          <w:b/>
          <w:color w:val="333333"/>
          <w:kern w:val="36"/>
          <w:sz w:val="44"/>
          <w:szCs w:val="44"/>
        </w:rPr>
        <w:t>北京市住房和城乡建设委员会</w:t>
      </w:r>
    </w:p>
    <w:p>
      <w:pPr>
        <w:ind w:left="442" w:hanging="442" w:hangingChars="100"/>
        <w:rPr>
          <w:rFonts w:cs="宋体" w:asciiTheme="majorEastAsia" w:hAnsiTheme="majorEastAsia" w:eastAsiaTheme="majorEastAsia"/>
          <w:b/>
          <w:color w:val="333333"/>
          <w:kern w:val="36"/>
          <w:sz w:val="44"/>
          <w:szCs w:val="44"/>
        </w:rPr>
      </w:pPr>
      <w:r>
        <w:rPr>
          <w:rFonts w:hint="eastAsia" w:cs="宋体" w:asciiTheme="majorEastAsia" w:hAnsiTheme="majorEastAsia" w:eastAsiaTheme="majorEastAsia"/>
          <w:b/>
          <w:color w:val="333333"/>
          <w:kern w:val="36"/>
          <w:sz w:val="44"/>
          <w:szCs w:val="44"/>
        </w:rPr>
        <w:t>关于废止《北京市房屋建筑和市政基础设施工程建设单位委托质量检测管理规定》</w:t>
      </w:r>
    </w:p>
    <w:p>
      <w:pPr>
        <w:ind w:firstLine="2200" w:firstLineChars="498"/>
        <w:rPr>
          <w:rFonts w:cs="宋体" w:asciiTheme="majorEastAsia" w:hAnsiTheme="majorEastAsia" w:eastAsiaTheme="majorEastAsia"/>
          <w:b/>
          <w:color w:val="333333"/>
          <w:kern w:val="36"/>
          <w:sz w:val="44"/>
          <w:szCs w:val="44"/>
        </w:rPr>
      </w:pPr>
      <w:r>
        <w:rPr>
          <w:rFonts w:hint="eastAsia" w:cs="宋体" w:asciiTheme="majorEastAsia" w:hAnsiTheme="majorEastAsia" w:eastAsiaTheme="majorEastAsia"/>
          <w:b/>
          <w:color w:val="333333"/>
          <w:kern w:val="36"/>
          <w:sz w:val="44"/>
          <w:szCs w:val="44"/>
        </w:rPr>
        <w:t>的通知（征求意见稿）</w:t>
      </w:r>
    </w:p>
    <w:p>
      <w:pPr>
        <w:spacing w:line="560" w:lineRule="exact"/>
        <w:ind w:left="640" w:hanging="640" w:hangingChars="200"/>
        <w:rPr>
          <w:rFonts w:ascii="仿宋_GB2312" w:hAnsi="微软雅黑" w:eastAsia="仿宋_GB2312" w:cs="宋体"/>
          <w:color w:val="333333"/>
          <w:kern w:val="36"/>
          <w:sz w:val="32"/>
          <w:szCs w:val="32"/>
        </w:rPr>
      </w:pPr>
    </w:p>
    <w:p>
      <w:pPr>
        <w:spacing w:line="560" w:lineRule="exact"/>
        <w:ind w:left="640" w:hanging="640" w:hangingChars="20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各区住房城乡（市）建设委，经济技术开发区开发建设局：为进一步规范建设单位对见证取样的建筑材料、建筑构</w:t>
      </w:r>
    </w:p>
    <w:p>
      <w:pPr>
        <w:spacing w:line="560" w:lineRule="exact"/>
        <w:ind w:left="640" w:hanging="640" w:hangingChars="20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配件和设备、预拌混凝土、混凝土预制构件和工程实体质量、</w:t>
      </w:r>
    </w:p>
    <w:p>
      <w:pPr>
        <w:spacing w:line="560" w:lineRule="exact"/>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使用功能检测的管理，市住房城乡建设委决定废止《北京市住房和城乡建设委员会关于印发〈北京市房屋建筑和市政基础设施工程建设单位委托质量检测管理规定〉的通知》（京建法〔2018〕8号）。同时，提出以下工作要求：</w:t>
      </w:r>
    </w:p>
    <w:p>
      <w:pPr>
        <w:spacing w:line="560" w:lineRule="exact"/>
        <w:ind w:firstLine="640" w:firstLineChars="20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一、建设、施工、监理、检测单位应按照《建设工程质量检测管理办法》（141号部令）《关于落实建设单位工程质量首要责任的通知》（建质规〔2020〕9号）《关于落实建设单位工程质量安全首要责任的通知》（京建发〔2021〕253号）等法规文件规定，认真落实工程质量检测管理责任。</w:t>
      </w:r>
    </w:p>
    <w:p>
      <w:pPr>
        <w:spacing w:line="560" w:lineRule="exact"/>
        <w:ind w:firstLine="640" w:firstLineChars="20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二、建设单位应当委托具有相应资质的检测单位，按照规定对见证取样的建筑材料、建筑构配件和设备、预拌混凝土、混凝土预制构件和工程实体质量、使用功能进行检测，非建设单位委托的检测机构出具的检测报告不得作为工程质量验收依据。</w:t>
      </w:r>
    </w:p>
    <w:p>
      <w:pPr>
        <w:spacing w:line="560" w:lineRule="exact"/>
        <w:ind w:firstLine="640" w:firstLineChars="20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 xml:space="preserve">三、施工、监理、检测单位应做好见证试样取样、制样、标识、封样、检测的全过程质量控制。 </w:t>
      </w:r>
    </w:p>
    <w:p>
      <w:pPr>
        <w:spacing w:line="560" w:lineRule="exact"/>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 xml:space="preserve">    四、建设单位委托检测的建筑材料、建筑构配件和设备、预拌混凝土、混凝土预制构件和工程实体质量、使用功能的检测业务内容，应按照《建设工程质量检测管理办法》（141号部令），以及</w:t>
      </w:r>
      <w:r>
        <w:rPr>
          <w:rFonts w:ascii="仿宋_GB2312" w:hAnsi="微软雅黑" w:eastAsia="仿宋_GB2312" w:cs="宋体"/>
          <w:color w:val="333333"/>
          <w:kern w:val="36"/>
          <w:sz w:val="32"/>
          <w:szCs w:val="32"/>
        </w:rPr>
        <w:t>国家</w:t>
      </w:r>
      <w:r>
        <w:rPr>
          <w:rFonts w:hint="eastAsia" w:ascii="仿宋_GB2312" w:hAnsi="微软雅黑" w:eastAsia="仿宋_GB2312" w:cs="宋体"/>
          <w:color w:val="333333"/>
          <w:kern w:val="36"/>
          <w:sz w:val="32"/>
          <w:szCs w:val="32"/>
        </w:rPr>
        <w:t>、行业、</w:t>
      </w:r>
      <w:r>
        <w:rPr>
          <w:rFonts w:ascii="仿宋_GB2312" w:hAnsi="微软雅黑" w:eastAsia="仿宋_GB2312" w:cs="宋体"/>
          <w:color w:val="333333"/>
          <w:kern w:val="36"/>
          <w:sz w:val="32"/>
          <w:szCs w:val="32"/>
        </w:rPr>
        <w:t>地方标准</w:t>
      </w:r>
      <w:r>
        <w:rPr>
          <w:rFonts w:hint="eastAsia" w:ascii="仿宋_GB2312" w:hAnsi="微软雅黑" w:eastAsia="仿宋_GB2312" w:cs="宋体"/>
          <w:color w:val="333333"/>
          <w:kern w:val="36"/>
          <w:sz w:val="32"/>
          <w:szCs w:val="32"/>
        </w:rPr>
        <w:t>和</w:t>
      </w:r>
      <w:r>
        <w:rPr>
          <w:rFonts w:ascii="仿宋_GB2312" w:hAnsi="微软雅黑" w:eastAsia="仿宋_GB2312" w:cs="宋体"/>
          <w:color w:val="333333"/>
          <w:kern w:val="36"/>
          <w:sz w:val="32"/>
          <w:szCs w:val="32"/>
        </w:rPr>
        <w:t>规范规定</w:t>
      </w:r>
      <w:r>
        <w:rPr>
          <w:rFonts w:hint="eastAsia" w:ascii="仿宋_GB2312" w:hAnsi="微软雅黑" w:eastAsia="仿宋_GB2312" w:cs="宋体"/>
          <w:color w:val="333333"/>
          <w:kern w:val="36"/>
          <w:sz w:val="32"/>
          <w:szCs w:val="32"/>
        </w:rPr>
        <w:t xml:space="preserve">执行。                                                                                                                                                                                                                                                                                                                                                                                                                                                                                                                                                                                                                                                                                                                                                                                                                                                                                                                                                                                                                                                                                                                                                                                                                                                                                                                                                                                                                                                                                                                                                                                                                                                                                                                                                                                                               </w:t>
      </w:r>
    </w:p>
    <w:p>
      <w:pPr>
        <w:spacing w:line="560" w:lineRule="exact"/>
        <w:ind w:firstLine="640" w:firstLineChars="200"/>
        <w:rPr>
          <w:rFonts w:ascii="仿宋_GB2312" w:hAnsi="微软雅黑" w:eastAsia="仿宋_GB2312" w:cs="宋体"/>
          <w:bCs/>
          <w:color w:val="333333"/>
          <w:kern w:val="36"/>
          <w:sz w:val="32"/>
          <w:szCs w:val="32"/>
        </w:rPr>
      </w:pPr>
      <w:r>
        <w:rPr>
          <w:rFonts w:hint="eastAsia" w:ascii="仿宋_GB2312" w:hAnsi="微软雅黑" w:eastAsia="仿宋_GB2312" w:cs="宋体"/>
          <w:bCs/>
          <w:color w:val="333333"/>
          <w:kern w:val="36"/>
          <w:sz w:val="32"/>
          <w:szCs w:val="32"/>
        </w:rPr>
        <w:t>本通知自印发之日起施行。</w:t>
      </w:r>
    </w:p>
    <w:p>
      <w:pPr>
        <w:spacing w:line="560" w:lineRule="exact"/>
        <w:ind w:firstLine="645"/>
        <w:rPr>
          <w:rFonts w:ascii="仿宋_GB2312" w:hAnsi="微软雅黑" w:eastAsia="仿宋_GB2312" w:cs="宋体"/>
          <w:bCs/>
          <w:color w:val="333333"/>
          <w:kern w:val="36"/>
          <w:sz w:val="32"/>
          <w:szCs w:val="32"/>
        </w:rPr>
      </w:pPr>
    </w:p>
    <w:p>
      <w:pPr>
        <w:spacing w:line="560" w:lineRule="exact"/>
        <w:ind w:firstLine="4320" w:firstLineChars="1350"/>
        <w:rPr>
          <w:rFonts w:ascii="仿宋_GB2312" w:hAnsi="微软雅黑" w:eastAsia="仿宋_GB2312" w:cs="宋体"/>
          <w:color w:val="333333"/>
          <w:kern w:val="36"/>
          <w:sz w:val="32"/>
          <w:szCs w:val="32"/>
        </w:rPr>
      </w:pPr>
      <w:r>
        <w:rPr>
          <w:rFonts w:hint="eastAsia" w:ascii="仿宋_GB2312" w:hAnsi="微软雅黑" w:eastAsia="仿宋_GB2312" w:cs="宋体"/>
          <w:color w:val="333333"/>
          <w:kern w:val="36"/>
          <w:sz w:val="32"/>
          <w:szCs w:val="32"/>
        </w:rPr>
        <w:t>2021年11月19日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E4A76"/>
    <w:rsid w:val="33FE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2021-11-25T01:48:00Z</dcterms:created>
  <dc:creator>力可</dc:creator>
  <cp:lastModifiedBy>力可</cp:lastModifiedBy>
  <dcterms:modified xsi:type="dcterms:W3CDTF">2021-11-25T01:49:11Z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79A55061E97D4B8986531EA9070C52B0</vt:lpwstr>
  </property>
</Properties>
</file>