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宋体" w:hAnsi="宋体" w:eastAsia="方正小标宋简体" w:cs="方正小标宋简体"/>
          <w:b w:val="0"/>
          <w:bCs w:val="0"/>
          <w:sz w:val="44"/>
          <w:szCs w:val="44"/>
        </w:rPr>
      </w:pPr>
      <w:r>
        <w:rPr>
          <w:rFonts w:hint="eastAsia" w:ascii="宋体" w:hAnsi="宋体" w:eastAsia="方正小标宋简体" w:cs="方正小标宋简体"/>
          <w:b w:val="0"/>
          <w:bCs w:val="0"/>
          <w:sz w:val="44"/>
          <w:szCs w:val="44"/>
        </w:rPr>
        <w:t>关于调整2021年11月、12月电力直接交易有关工作的通知</w:t>
      </w:r>
    </w:p>
    <w:p>
      <w:pPr>
        <w:pStyle w:val="4"/>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0" w:firstLineChars="0"/>
        <w:jc w:val="center"/>
        <w:textAlignment w:val="auto"/>
        <w:outlineLvl w:val="9"/>
        <w:rPr>
          <w:rFonts w:hint="eastAsia" w:ascii="楷体" w:hAnsi="楷体" w:eastAsia="楷体" w:cs="楷体"/>
          <w:sz w:val="32"/>
          <w:szCs w:val="32"/>
          <w:lang w:eastAsia="zh-CN"/>
        </w:rPr>
      </w:pPr>
      <w:r>
        <w:rPr>
          <w:rFonts w:hint="eastAsia" w:ascii="楷体" w:hAnsi="楷体" w:eastAsia="楷体" w:cs="楷体"/>
          <w:b w:val="0"/>
          <w:bCs w:val="0"/>
          <w:sz w:val="32"/>
          <w:szCs w:val="32"/>
          <w:lang w:eastAsia="zh-CN"/>
        </w:rPr>
        <w:t>（征求意见稿）</w:t>
      </w:r>
    </w:p>
    <w:p>
      <w:pPr>
        <w:pStyle w:val="2"/>
        <w:spacing w:after="0" w:line="540" w:lineRule="exact"/>
        <w:rPr>
          <w:rFonts w:ascii="宋体" w:hAnsi="宋体" w:eastAsia="仿宋_GB2312" w:cs="仿宋_GB2312"/>
          <w:sz w:val="44"/>
          <w:szCs w:val="32"/>
        </w:rPr>
      </w:pPr>
    </w:p>
    <w:p>
      <w:pPr>
        <w:pStyle w:val="2"/>
        <w:keepNext w:val="0"/>
        <w:keepLines w:val="0"/>
        <w:pageBreakBefore w:val="0"/>
        <w:widowControl w:val="0"/>
        <w:kinsoku/>
        <w:wordWrap/>
        <w:overflowPunct/>
        <w:topLinePunct w:val="0"/>
        <w:autoSpaceDE/>
        <w:autoSpaceDN/>
        <w:bidi w:val="0"/>
        <w:adjustRightInd/>
        <w:snapToGrid/>
        <w:spacing w:beforeLines="0" w:after="0" w:afterLines="0" w:line="540" w:lineRule="exact"/>
        <w:ind w:left="0" w:leftChars="0" w:firstLine="640" w:firstLineChars="200"/>
        <w:jc w:val="left"/>
        <w:textAlignment w:val="auto"/>
        <w:outlineLvl w:val="9"/>
        <w:rPr>
          <w:rFonts w:ascii="宋体" w:hAnsi="宋体" w:eastAsia="仿宋_GB2312" w:cs="仿宋_GB2312"/>
          <w:b w:val="0"/>
          <w:bCs w:val="0"/>
          <w:sz w:val="32"/>
          <w:szCs w:val="32"/>
        </w:rPr>
      </w:pPr>
      <w:r>
        <w:rPr>
          <w:rFonts w:hint="eastAsia" w:ascii="宋体" w:hAnsi="宋体" w:eastAsia="仿宋_GB2312" w:cs="仿宋_GB2312"/>
          <w:b w:val="0"/>
          <w:bCs w:val="0"/>
          <w:sz w:val="32"/>
          <w:szCs w:val="32"/>
        </w:rPr>
        <w:t>为贯彻落实国家发展改革委《关于进一步深化燃煤发电上网电价市场化改革的通知》（发改价格〔2021〕1439号）有关要求，结合我市实际，经有关部门充分研究，现就2021年</w:t>
      </w:r>
      <w:r>
        <w:rPr>
          <w:rFonts w:hint="eastAsia" w:ascii="宋体" w:hAnsi="宋体" w:eastAsia="仿宋_GB2312" w:cs="仿宋_GB2312"/>
          <w:b w:val="0"/>
          <w:bCs w:val="0"/>
          <w:sz w:val="32"/>
          <w:szCs w:val="32"/>
          <w:lang w:eastAsia="zh-CN"/>
        </w:rPr>
        <w:t>11月</w:t>
      </w:r>
      <w:r>
        <w:rPr>
          <w:rFonts w:hint="eastAsia" w:ascii="宋体" w:hAnsi="宋体" w:eastAsia="仿宋_GB2312" w:cs="仿宋_GB2312"/>
          <w:b w:val="0"/>
          <w:bCs w:val="0"/>
          <w:sz w:val="32"/>
          <w:szCs w:val="32"/>
        </w:rPr>
        <w:t>、12月北京市电力市场化交易有关事项通知如下：</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一、燃煤发电市场交易价格在“基准价+上下浮动”范围内形成，上下浮动原则上均不超过20%。参与本地交易的京外电厂按照</w:t>
      </w:r>
      <w:r>
        <w:rPr>
          <w:rFonts w:hint="eastAsia" w:ascii="宋体" w:hAnsi="宋体" w:eastAsia="仿宋_GB2312" w:cs="仿宋_GB2312"/>
          <w:b w:val="0"/>
          <w:bCs w:val="0"/>
          <w:sz w:val="32"/>
          <w:szCs w:val="32"/>
          <w:lang w:eastAsia="zh-CN"/>
        </w:rPr>
        <w:t>电厂属地基准价</w:t>
      </w:r>
      <w:r>
        <w:rPr>
          <w:rFonts w:hint="eastAsia" w:ascii="宋体" w:hAnsi="宋体" w:eastAsia="仿宋_GB2312" w:cs="仿宋_GB2312"/>
          <w:b w:val="0"/>
          <w:bCs w:val="0"/>
          <w:sz w:val="32"/>
          <w:szCs w:val="32"/>
        </w:rPr>
        <w:t>执行。高耗能企业市场交易电价不受上浮20%限制。</w:t>
      </w:r>
    </w:p>
    <w:p>
      <w:pPr>
        <w:pStyle w:val="2"/>
        <w:keepNext w:val="0"/>
        <w:keepLines w:val="0"/>
        <w:pageBreakBefore w:val="0"/>
        <w:widowControl w:val="0"/>
        <w:kinsoku/>
        <w:wordWrap/>
        <w:overflowPunct/>
        <w:topLinePunct w:val="0"/>
        <w:autoSpaceDE/>
        <w:autoSpaceDN/>
        <w:bidi w:val="0"/>
        <w:adjustRightInd/>
        <w:snapToGrid/>
        <w:spacing w:beforeLines="0" w:after="0" w:afterLines="0" w:line="540" w:lineRule="exact"/>
        <w:ind w:left="0" w:leftChars="0" w:firstLine="640" w:firstLineChars="200"/>
        <w:jc w:val="left"/>
        <w:textAlignment w:val="auto"/>
        <w:outlineLvl w:val="9"/>
        <w:rPr>
          <w:rFonts w:ascii="宋体" w:hAnsi="宋体" w:eastAsia="仿宋_GB2312" w:cs="仿宋_GB2312"/>
          <w:b w:val="0"/>
          <w:bCs w:val="0"/>
          <w:sz w:val="32"/>
          <w:szCs w:val="32"/>
        </w:rPr>
      </w:pPr>
      <w:r>
        <w:rPr>
          <w:rFonts w:hint="eastAsia" w:ascii="宋体" w:hAnsi="宋体" w:eastAsia="仿宋_GB2312" w:cs="仿宋_GB2312"/>
          <w:b w:val="0"/>
          <w:bCs w:val="0"/>
          <w:sz w:val="32"/>
          <w:szCs w:val="32"/>
        </w:rPr>
        <w:t>二、10千伏及以上工商业用户要全部进入市场，其他工商业用户也要尽快进入。</w:t>
      </w:r>
      <w:r>
        <w:rPr>
          <w:rFonts w:hint="eastAsia" w:ascii="宋体" w:hAnsi="宋体" w:eastAsia="仿宋_GB2312" w:cs="仿宋_GB2312"/>
          <w:b w:val="0"/>
          <w:bCs w:val="0"/>
          <w:sz w:val="32"/>
          <w:szCs w:val="32"/>
          <w:lang w:eastAsia="zh-CN"/>
        </w:rPr>
        <w:t>11月</w:t>
      </w:r>
      <w:r>
        <w:rPr>
          <w:rFonts w:hint="eastAsia" w:ascii="宋体" w:hAnsi="宋体" w:eastAsia="仿宋_GB2312" w:cs="仿宋_GB2312"/>
          <w:b w:val="0"/>
          <w:bCs w:val="0"/>
          <w:sz w:val="32"/>
          <w:szCs w:val="32"/>
        </w:rPr>
        <w:t>、12月，暂未直接从电力市场购电的用户全部</w:t>
      </w:r>
      <w:r>
        <w:rPr>
          <w:rFonts w:hint="eastAsia" w:ascii="宋体" w:hAnsi="宋体" w:eastAsia="仿宋_GB2312" w:cs="仿宋_GB2312"/>
          <w:b w:val="0"/>
          <w:bCs w:val="0"/>
          <w:sz w:val="32"/>
          <w:szCs w:val="32"/>
          <w:highlight w:val="none"/>
        </w:rPr>
        <w:t>由电网企业以挂牌交易方式</w:t>
      </w:r>
      <w:r>
        <w:rPr>
          <w:rFonts w:hint="eastAsia" w:ascii="宋体" w:hAnsi="宋体" w:eastAsia="仿宋_GB2312" w:cs="仿宋_GB2312"/>
          <w:b w:val="0"/>
          <w:bCs w:val="0"/>
          <w:sz w:val="32"/>
          <w:szCs w:val="32"/>
        </w:rPr>
        <w:t>代理购电。</w:t>
      </w:r>
      <w:r>
        <w:rPr>
          <w:rFonts w:hint="eastAsia" w:ascii="宋体" w:hAnsi="宋体" w:eastAsia="仿宋_GB2312" w:cs="仿宋_GB2312"/>
          <w:b w:val="0"/>
          <w:bCs w:val="0"/>
          <w:sz w:val="32"/>
          <w:szCs w:val="32"/>
          <w:lang w:eastAsia="zh-CN"/>
        </w:rPr>
        <w:t>电网企业</w:t>
      </w:r>
      <w:r>
        <w:rPr>
          <w:rFonts w:hint="eastAsia" w:ascii="宋体" w:hAnsi="宋体" w:eastAsia="仿宋_GB2312" w:cs="仿宋_GB2312"/>
          <w:b w:val="0"/>
          <w:bCs w:val="0"/>
          <w:sz w:val="32"/>
          <w:szCs w:val="32"/>
        </w:rPr>
        <w:t>首次向代理用户售电时，至少提前1个月通知用户，此前继续按照原目录销售电价水平执行。已参与市场交易、改为电网企业代理购电的用户，其价格按电网企业代理其他用户购电价格的1.5倍执行。</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ascii="宋体" w:hAnsi="宋体" w:eastAsia="仿宋_GB2312" w:cs="仿宋_GB2312"/>
          <w:b w:val="0"/>
          <w:bCs w:val="0"/>
          <w:sz w:val="32"/>
          <w:szCs w:val="32"/>
          <w:highlight w:val="none"/>
        </w:rPr>
      </w:pPr>
      <w:r>
        <w:rPr>
          <w:rFonts w:hint="eastAsia" w:ascii="宋体" w:hAnsi="宋体" w:eastAsia="仿宋_GB2312" w:cs="仿宋_GB2312"/>
          <w:b w:val="0"/>
          <w:bCs w:val="0"/>
          <w:sz w:val="32"/>
          <w:szCs w:val="32"/>
        </w:rPr>
        <w:t>三、</w:t>
      </w:r>
      <w:r>
        <w:rPr>
          <w:rFonts w:hint="eastAsia" w:ascii="宋体" w:hAnsi="宋体" w:eastAsia="仿宋_GB2312" w:cs="仿宋_GB2312"/>
          <w:b w:val="0"/>
          <w:bCs w:val="0"/>
          <w:sz w:val="32"/>
          <w:szCs w:val="32"/>
          <w:lang w:eastAsia="zh-CN"/>
        </w:rPr>
        <w:t>11月</w:t>
      </w:r>
      <w:r>
        <w:rPr>
          <w:rFonts w:hint="eastAsia" w:ascii="宋体" w:hAnsi="宋体" w:eastAsia="仿宋_GB2312" w:cs="仿宋_GB2312"/>
          <w:b w:val="0"/>
          <w:bCs w:val="0"/>
          <w:sz w:val="32"/>
          <w:szCs w:val="32"/>
        </w:rPr>
        <w:t>、12月，北京地区交易价格形成方式调整如下：发电企业直接报总量参与交易，交易价格执行单一报价，峰段、平段、谷段各时段电价一致。北京地区电力直接交易批发侧用户采用分时段报量、单一报价的模式，按照峰段、平段、谷段分别报量，以总量参与交易。执行峰谷分时电价政策的用户，继续执行峰谷分时电价政策；电能量交易价格作为平段电价，峰谷电价浮动比例在本市价格主管部门未另行明确新的峰谷分时电价浮动比例前，参照原目录电价（不含政府性基金</w:t>
      </w:r>
      <w:r>
        <w:rPr>
          <w:rFonts w:hint="eastAsia" w:ascii="宋体" w:hAnsi="宋体" w:eastAsia="仿宋_GB2312" w:cs="仿宋_GB2312"/>
          <w:b w:val="0"/>
          <w:bCs w:val="0"/>
          <w:sz w:val="32"/>
          <w:szCs w:val="32"/>
          <w:highlight w:val="none"/>
        </w:rPr>
        <w:t>及附加</w:t>
      </w:r>
      <w:r>
        <w:rPr>
          <w:rFonts w:hint="eastAsia" w:ascii="宋体" w:hAnsi="宋体" w:eastAsia="仿宋_GB2312" w:cs="仿宋_GB2312"/>
          <w:b w:val="0"/>
          <w:bCs w:val="0"/>
          <w:sz w:val="32"/>
          <w:szCs w:val="32"/>
        </w:rPr>
        <w:t>）相应类别比价计算。售电公司与零售用户需重新签订《市场化购售电合同》结算补充协议，协议模板由首都电力交易中心下发。</w:t>
      </w:r>
      <w:r>
        <w:rPr>
          <w:rFonts w:hint="eastAsia" w:ascii="宋体" w:hAnsi="宋体" w:eastAsia="仿宋_GB2312" w:cs="仿宋_GB2312"/>
          <w:b w:val="0"/>
          <w:bCs w:val="0"/>
          <w:sz w:val="32"/>
          <w:szCs w:val="32"/>
          <w:highlight w:val="none"/>
        </w:rPr>
        <w:t>售电公司与零售用户的结算补充协议未及时提交的，</w:t>
      </w:r>
      <w:r>
        <w:rPr>
          <w:rFonts w:hint="eastAsia" w:ascii="宋体" w:hAnsi="宋体" w:eastAsia="仿宋_GB2312" w:cs="仿宋_GB2312"/>
          <w:b w:val="0"/>
          <w:bCs w:val="0"/>
          <w:snapToGrid w:val="0"/>
          <w:kern w:val="32"/>
          <w:sz w:val="32"/>
          <w:szCs w:val="32"/>
        </w:rPr>
        <w:t>零售用户</w:t>
      </w:r>
      <w:r>
        <w:rPr>
          <w:rFonts w:hint="eastAsia" w:ascii="宋体" w:hAnsi="宋体" w:eastAsia="仿宋_GB2312" w:cs="仿宋_GB2312"/>
          <w:b w:val="0"/>
          <w:bCs w:val="0"/>
          <w:snapToGrid w:val="0"/>
          <w:kern w:val="32"/>
          <w:sz w:val="32"/>
          <w:szCs w:val="32"/>
          <w:lang w:eastAsia="zh-CN"/>
        </w:rPr>
        <w:t>改由电网公司代理购电，</w:t>
      </w:r>
      <w:r>
        <w:rPr>
          <w:rFonts w:hint="eastAsia" w:ascii="宋体" w:hAnsi="宋体" w:eastAsia="仿宋_GB2312" w:cs="仿宋_GB2312"/>
          <w:b w:val="0"/>
          <w:bCs w:val="0"/>
          <w:snapToGrid w:val="0"/>
          <w:kern w:val="32"/>
          <w:sz w:val="32"/>
          <w:szCs w:val="32"/>
        </w:rPr>
        <w:t>按照</w:t>
      </w:r>
      <w:r>
        <w:rPr>
          <w:rFonts w:hint="eastAsia" w:ascii="宋体" w:hAnsi="宋体" w:eastAsia="仿宋_GB2312" w:cs="仿宋_GB2312"/>
          <w:b w:val="0"/>
          <w:bCs w:val="0"/>
          <w:snapToGrid w:val="0"/>
          <w:kern w:val="32"/>
          <w:sz w:val="32"/>
          <w:szCs w:val="32"/>
          <w:lang w:eastAsia="zh-CN"/>
        </w:rPr>
        <w:t>当月市场交易平均价格的</w:t>
      </w:r>
      <w:r>
        <w:rPr>
          <w:rFonts w:hint="eastAsia" w:ascii="宋体" w:hAnsi="宋体" w:eastAsia="仿宋_GB2312" w:cs="仿宋_GB2312"/>
          <w:b w:val="0"/>
          <w:bCs w:val="0"/>
          <w:snapToGrid w:val="0"/>
          <w:kern w:val="32"/>
          <w:sz w:val="32"/>
          <w:szCs w:val="32"/>
          <w:lang w:val="en-US" w:eastAsia="zh-CN"/>
        </w:rPr>
        <w:t>1.5倍执行</w:t>
      </w:r>
      <w:r>
        <w:rPr>
          <w:rFonts w:hint="eastAsia" w:ascii="宋体" w:hAnsi="宋体" w:eastAsia="仿宋_GB2312" w:cs="仿宋_GB2312"/>
          <w:b w:val="0"/>
          <w:bCs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firstLine="640" w:firstLineChars="200"/>
        <w:jc w:val="left"/>
        <w:textAlignment w:val="auto"/>
        <w:outlineLvl w:val="9"/>
        <w:rPr>
          <w:rFonts w:ascii="宋体" w:hAnsi="宋体" w:eastAsia="仿宋_GB2312" w:cs="仿宋_GB2312"/>
          <w:sz w:val="32"/>
          <w:szCs w:val="32"/>
        </w:rPr>
      </w:pPr>
      <w:r>
        <w:rPr>
          <w:rFonts w:hint="eastAsia" w:ascii="宋体" w:hAnsi="宋体" w:eastAsia="仿宋_GB2312" w:cs="仿宋_GB2312"/>
          <w:b w:val="0"/>
          <w:bCs w:val="0"/>
          <w:sz w:val="32"/>
          <w:szCs w:val="32"/>
        </w:rPr>
        <w:t>四、已完成2021年度中长期交易批发侧合同签订但未执行的电量，合同双方</w:t>
      </w:r>
      <w:r>
        <w:rPr>
          <w:rFonts w:hint="eastAsia" w:ascii="宋体" w:hAnsi="宋体" w:eastAsia="仿宋_GB2312" w:cs="仿宋_GB2312"/>
          <w:b w:val="0"/>
          <w:bCs w:val="0"/>
          <w:sz w:val="32"/>
          <w:szCs w:val="32"/>
          <w:lang w:eastAsia="zh-CN"/>
        </w:rPr>
        <w:t>尽快</w:t>
      </w:r>
      <w:r>
        <w:rPr>
          <w:rFonts w:hint="eastAsia" w:ascii="宋体" w:hAnsi="宋体" w:eastAsia="仿宋_GB2312" w:cs="仿宋_GB2312"/>
          <w:b w:val="0"/>
          <w:bCs w:val="0"/>
          <w:sz w:val="32"/>
          <w:szCs w:val="32"/>
        </w:rPr>
        <w:t>按照新的价格形成机制，协商完成</w:t>
      </w:r>
      <w:r>
        <w:rPr>
          <w:rFonts w:hint="eastAsia" w:ascii="宋体" w:hAnsi="宋体" w:eastAsia="仿宋_GB2312" w:cs="仿宋_GB2312"/>
          <w:b w:val="0"/>
          <w:bCs w:val="0"/>
          <w:sz w:val="32"/>
          <w:szCs w:val="32"/>
          <w:lang w:eastAsia="zh-CN"/>
        </w:rPr>
        <w:t>11月</w:t>
      </w:r>
      <w:r>
        <w:rPr>
          <w:rFonts w:hint="eastAsia" w:ascii="宋体" w:hAnsi="宋体" w:eastAsia="仿宋_GB2312" w:cs="仿宋_GB2312"/>
          <w:b w:val="0"/>
          <w:bCs w:val="0"/>
          <w:sz w:val="32"/>
          <w:szCs w:val="32"/>
        </w:rPr>
        <w:t>、12月年度分月合同换签工作，保持合同关系和交易电量不变</w:t>
      </w:r>
      <w:r>
        <w:rPr>
          <w:rFonts w:hint="eastAsia" w:ascii="宋体" w:hAnsi="宋体" w:eastAsia="仿宋_GB2312" w:cs="仿宋_GB2312"/>
          <w:b w:val="0"/>
          <w:bCs w:val="0"/>
          <w:sz w:val="32"/>
          <w:szCs w:val="32"/>
          <w:lang w:eastAsia="zh-CN"/>
        </w:rPr>
        <w:t>；</w:t>
      </w:r>
      <w:r>
        <w:rPr>
          <w:rFonts w:hint="eastAsia" w:ascii="宋体" w:hAnsi="宋体" w:eastAsia="仿宋_GB2312" w:cs="仿宋_GB2312"/>
          <w:b w:val="0"/>
          <w:bCs w:val="0"/>
          <w:sz w:val="32"/>
          <w:szCs w:val="32"/>
        </w:rPr>
        <w:t>协商不成的，原合同关系解除，合同电量直接以用户侧报量不报价的方式，参与月度增量交易。考虑时间紧张等因素，请北京电力交易中心、首都电力交易中心简化流程，共同组织做好</w:t>
      </w:r>
      <w:r>
        <w:rPr>
          <w:rFonts w:hint="eastAsia" w:ascii="宋体" w:hAnsi="宋体" w:eastAsia="仿宋_GB2312" w:cs="仿宋_GB2312"/>
          <w:b w:val="0"/>
          <w:bCs w:val="0"/>
          <w:sz w:val="32"/>
          <w:szCs w:val="32"/>
          <w:lang w:eastAsia="zh-CN"/>
        </w:rPr>
        <w:t>11月</w:t>
      </w:r>
      <w:r>
        <w:rPr>
          <w:rFonts w:hint="eastAsia" w:ascii="宋体" w:hAnsi="宋体" w:eastAsia="仿宋_GB2312" w:cs="仿宋_GB2312"/>
          <w:b w:val="0"/>
          <w:bCs w:val="0"/>
          <w:sz w:val="32"/>
          <w:szCs w:val="32"/>
        </w:rPr>
        <w:t>、12月合同换签及相关交易工作</w:t>
      </w:r>
      <w:r>
        <w:rPr>
          <w:rFonts w:hint="eastAsia" w:ascii="宋体" w:hAnsi="宋体" w:eastAsia="仿宋_GB2312" w:cs="仿宋_GB2312"/>
          <w:sz w:val="32"/>
          <w:szCs w:val="32"/>
        </w:rPr>
        <w:t>，保障交易顺利实施。</w:t>
      </w:r>
    </w:p>
    <w:p>
      <w:pPr>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firstLine="640" w:firstLineChars="200"/>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五、</w:t>
      </w:r>
      <w:r>
        <w:rPr>
          <w:rFonts w:hint="eastAsia" w:ascii="宋体" w:hAnsi="宋体" w:eastAsia="仿宋_GB2312" w:cs="仿宋_GB2312"/>
          <w:color w:val="000000"/>
          <w:sz w:val="32"/>
          <w:szCs w:val="32"/>
        </w:rPr>
        <w:t>考虑到政策调整，为保持市场平稳，北京地区</w:t>
      </w:r>
      <w:r>
        <w:rPr>
          <w:rFonts w:hint="eastAsia" w:ascii="宋体" w:hAnsi="宋体" w:eastAsia="仿宋_GB2312" w:cs="仿宋_GB2312"/>
          <w:color w:val="000000"/>
          <w:sz w:val="32"/>
          <w:szCs w:val="32"/>
          <w:lang w:eastAsia="zh-CN"/>
        </w:rPr>
        <w:t>11月</w:t>
      </w:r>
      <w:r>
        <w:rPr>
          <w:rFonts w:hint="eastAsia" w:ascii="宋体" w:hAnsi="宋体" w:eastAsia="仿宋_GB2312" w:cs="仿宋_GB2312"/>
          <w:color w:val="000000"/>
          <w:sz w:val="32"/>
          <w:szCs w:val="32"/>
        </w:rPr>
        <w:t>、12月不执行偏差结算。用户侧发生超用电量时，超用平段电量、峰段及谷段电量分别按照月度竞价价格、峰谷浮动价格结算；发生少用电量时，按照实际电量对应的价格结算。用户</w:t>
      </w:r>
      <w:r>
        <w:rPr>
          <w:rFonts w:hint="eastAsia" w:ascii="宋体" w:hAnsi="宋体" w:eastAsia="仿宋_GB2312" w:cs="仿宋_GB2312"/>
          <w:sz w:val="32"/>
          <w:szCs w:val="32"/>
        </w:rPr>
        <w:t>侧总用电量与总合同电量的偏差电量，以当月发电侧与北京用户签订的合同电量为权重，在发电侧进行分摊，当月月度竞价价格作为结算价格。</w:t>
      </w:r>
    </w:p>
    <w:p>
      <w:pPr>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firstLine="640" w:firstLineChars="200"/>
        <w:jc w:val="left"/>
        <w:textAlignment w:val="auto"/>
        <w:outlineLvl w:val="9"/>
        <w:rPr>
          <w:rFonts w:ascii="宋体" w:hAnsi="宋体" w:eastAsia="仿宋_GB2312" w:cs="仿宋_GB2312"/>
          <w:color w:val="FF0000"/>
          <w:sz w:val="32"/>
          <w:szCs w:val="32"/>
        </w:rPr>
      </w:pPr>
      <w:r>
        <w:rPr>
          <w:rFonts w:hint="eastAsia" w:ascii="宋体" w:hAnsi="宋体" w:eastAsia="仿宋_GB2312" w:cs="仿宋_GB2312"/>
          <w:sz w:val="32"/>
          <w:szCs w:val="32"/>
        </w:rPr>
        <w:t>六、其他交易事项继续按《北京市城市管理委员会关于北京市2021年电力市场化交易工作安排的通知》（京管发〔2020〕42号）执行。</w:t>
      </w:r>
    </w:p>
    <w:p>
      <w:pPr>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firstLine="640" w:firstLineChars="200"/>
        <w:jc w:val="left"/>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请各市场主体严格按照通知要求开展电力直接交易，执</w:t>
      </w:r>
      <w:bookmarkStart w:id="0" w:name="_GoBack"/>
      <w:bookmarkEnd w:id="0"/>
      <w:r>
        <w:rPr>
          <w:rFonts w:hint="eastAsia" w:ascii="宋体" w:hAnsi="宋体" w:eastAsia="仿宋_GB2312" w:cs="仿宋_GB2312"/>
          <w:sz w:val="32"/>
          <w:szCs w:val="32"/>
        </w:rPr>
        <w:t>行中遇到的情况和问题，请及时报送首都电力交易中心</w:t>
      </w:r>
      <w:r>
        <w:rPr>
          <w:rFonts w:hint="eastAsia" w:ascii="宋体" w:hAnsi="宋体" w:eastAsia="仿宋_GB2312" w:cs="仿宋_GB2312"/>
          <w:sz w:val="32"/>
          <w:szCs w:val="32"/>
          <w:lang w:eastAsia="zh-CN"/>
        </w:rPr>
        <w:t>，由</w:t>
      </w:r>
      <w:r>
        <w:rPr>
          <w:rFonts w:hint="eastAsia" w:ascii="宋体" w:hAnsi="宋体" w:eastAsia="仿宋_GB2312" w:cs="仿宋_GB2312"/>
          <w:sz w:val="32"/>
          <w:szCs w:val="32"/>
        </w:rPr>
        <w:t>首都电力交易中心</w:t>
      </w:r>
      <w:r>
        <w:rPr>
          <w:rFonts w:hint="eastAsia" w:ascii="宋体" w:hAnsi="宋体" w:eastAsia="仿宋_GB2312" w:cs="仿宋_GB2312"/>
          <w:sz w:val="32"/>
          <w:szCs w:val="32"/>
          <w:lang w:eastAsia="zh-CN"/>
        </w:rPr>
        <w:t>汇总后报</w:t>
      </w:r>
      <w:r>
        <w:rPr>
          <w:rFonts w:hint="eastAsia" w:ascii="宋体" w:hAnsi="宋体" w:eastAsia="仿宋_GB2312" w:cs="仿宋_GB2312"/>
          <w:sz w:val="32"/>
          <w:szCs w:val="32"/>
        </w:rPr>
        <w:t>市城市管理委。</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A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Garamond">
    <w:panose1 w:val="02020404030301010803"/>
    <w:charset w:val="00"/>
    <w:family w:val="roman"/>
    <w:pitch w:val="default"/>
    <w:sig w:usb0="00000287" w:usb1="00000000" w:usb2="00000000" w:usb3="00000000" w:csb0="0000009F" w:csb1="DFD70000"/>
  </w:font>
  <w:font w:name="Verdana">
    <w:panose1 w:val="020B0604030504040204"/>
    <w:charset w:val="00"/>
    <w:family w:val="swiss"/>
    <w:pitch w:val="default"/>
    <w:sig w:usb0="A1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FZFSK--GBK1-0">
    <w:altName w:val="宋体"/>
    <w:panose1 w:val="00000000000000000000"/>
    <w:charset w:val="86"/>
    <w:family w:val="auto"/>
    <w:pitch w:val="default"/>
    <w:sig w:usb0="00000000" w:usb1="00000000" w:usb2="00000010" w:usb3="00000000" w:csb0="00040000" w:csb1="00000000"/>
  </w:font>
  <w:font w:name="FangSong_GB2312">
    <w:altName w:val="仿宋_GB2312"/>
    <w:panose1 w:val="02010609060101010101"/>
    <w:charset w:val="86"/>
    <w:family w:val="modern"/>
    <w:pitch w:val="default"/>
    <w:sig w:usb0="00000000" w:usb1="00000000" w:usb2="00000016" w:usb3="00000000" w:csb0="00040001" w:csb1="00000000"/>
  </w:font>
  <w:font w:name="方正舒体">
    <w:panose1 w:val="02010601030101010101"/>
    <w:charset w:val="86"/>
    <w:family w:val="auto"/>
    <w:pitch w:val="default"/>
    <w:sig w:usb0="00000003"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汉鼎简书宋">
    <w:altName w:val="宋体"/>
    <w:panose1 w:val="02010609010101010101"/>
    <w:charset w:val="86"/>
    <w:family w:val="moder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简仿宋">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 w:name="方正仿宋_GBK">
    <w:altName w:val="Arial Unicode MS"/>
    <w:panose1 w:val="03000509000000000000"/>
    <w:charset w:val="86"/>
    <w:family w:val="script"/>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隶书">
    <w:panose1 w:val="02010509060101010101"/>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等线">
    <w:altName w:val="Arial Unicode MS"/>
    <w:panose1 w:val="00000000000000000000"/>
    <w:charset w:val="86"/>
    <w:family w:val="auto"/>
    <w:pitch w:val="default"/>
    <w:sig w:usb0="00000000" w:usb1="00000000" w:usb2="00000016" w:usb3="00000000" w:csb0="0004000F" w:csb1="00000000"/>
  </w:font>
  <w:font w:name="等线 Light">
    <w:altName w:val="Arial Unicode MS"/>
    <w:panose1 w:val="00000000000000000000"/>
    <w:charset w:val="86"/>
    <w:family w:val="auto"/>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ingLiU-ExtB">
    <w:panose1 w:val="02020500000000000000"/>
    <w:charset w:val="88"/>
    <w:family w:val="auto"/>
    <w:pitch w:val="default"/>
    <w:sig w:usb0="8000002F" w:usb1="02000008" w:usb2="00000000" w:usb3="00000000" w:csb0="00100001" w:csb1="00000000"/>
  </w:font>
  <w:font w:name="MingLiU_HKSCS">
    <w:panose1 w:val="02020500000000000000"/>
    <w:charset w:val="88"/>
    <w:family w:val="auto"/>
    <w:pitch w:val="default"/>
    <w:sig w:usb0="A00002FF" w:usb1="38CFFCFA" w:usb2="00000016" w:usb3="00000000" w:csb0="00100001" w:csb1="00000000"/>
  </w:font>
  <w:font w:name="MingLiU_HKSCS-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 w:name="MS PMincho">
    <w:panose1 w:val="02020600040205080304"/>
    <w:charset w:val="80"/>
    <w:family w:val="auto"/>
    <w:pitch w:val="default"/>
    <w:sig w:usb0="E00002FF" w:usb1="6AC7FDFB" w:usb2="00000012" w:usb3="00000000" w:csb0="4002009F" w:csb1="DFD70000"/>
  </w:font>
  <w:font w:name="MS UI Gothic">
    <w:panose1 w:val="020B0600070205080204"/>
    <w:charset w:val="80"/>
    <w:family w:val="auto"/>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SimSun-ExtB">
    <w:panose1 w:val="02010609060101010101"/>
    <w:charset w:val="86"/>
    <w:family w:val="auto"/>
    <w:pitch w:val="default"/>
    <w:sig w:usb0="00000001" w:usb1="02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等线">
    <w:altName w:val="Segoe Print"/>
    <w:panose1 w:val="00000000000000000000"/>
    <w:charset w:val="00"/>
    <w:family w:val="auto"/>
    <w:pitch w:val="default"/>
    <w:sig w:usb0="00000000" w:usb1="00000000" w:usb2="00000000" w:usb3="00000000" w:csb0="00000000" w:csb1="00000000"/>
  </w:font>
  <w:font w:name="黑体">
    <w:panose1 w:val="02010609060101010101"/>
    <w:charset w:val="7A"/>
    <w:family w:val="auto"/>
    <w:pitch w:val="default"/>
    <w:sig w:usb0="800002BF" w:usb1="38CF7CFA" w:usb2="00000016" w:usb3="00000000" w:csb0="00040001" w:csb1="00000000"/>
  </w:font>
  <w:font w:name="仿宋">
    <w:panose1 w:val="02010609060101010101"/>
    <w:charset w:val="7A"/>
    <w:family w:val="auto"/>
    <w:pitch w:val="default"/>
    <w:sig w:usb0="800002BF" w:usb1="38CF7CFA" w:usb2="00000016"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Yu Gothic Medium">
    <w:altName w:val="Meiryo UI"/>
    <w:panose1 w:val="020B0500000000000000"/>
    <w:charset w:val="80"/>
    <w:family w:val="auto"/>
    <w:pitch w:val="default"/>
    <w:sig w:usb0="00000000" w:usb1="00000000" w:usb2="00000016" w:usb3="00000000" w:csb0="2002009F" w:csb1="00000000"/>
  </w:font>
  <w:font w:name="Meiryo UI">
    <w:panose1 w:val="020B0604030504040204"/>
    <w:charset w:val="80"/>
    <w:family w:val="auto"/>
    <w:pitch w:val="default"/>
    <w:sig w:usb0="E10102FF" w:usb1="EAC7FFFF" w:usb2="00010012" w:usb3="00000000" w:csb0="6002009F" w:csb1="DFD70000"/>
  </w:font>
  <w:font w:name="@宋体">
    <w:panose1 w:val="02010600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F04C87"/>
    <w:rsid w:val="0EB62601"/>
    <w:rsid w:val="0FE12958"/>
    <w:rsid w:val="105507F8"/>
    <w:rsid w:val="14F04C87"/>
    <w:rsid w:val="15C64F0E"/>
    <w:rsid w:val="2D5776DE"/>
    <w:rsid w:val="30383747"/>
    <w:rsid w:val="30FA4137"/>
    <w:rsid w:val="36BD26A9"/>
    <w:rsid w:val="421064B8"/>
    <w:rsid w:val="65BB4228"/>
    <w:rsid w:val="66DA5A6E"/>
    <w:rsid w:val="6DE72E5D"/>
    <w:rsid w:val="743B2F3B"/>
    <w:rsid w:val="7E7F2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Times New Roman"/>
      <w:snapToGrid w:val="0"/>
      <w:kern w:val="32"/>
      <w:sz w:val="32"/>
      <w:szCs w:val="3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jc w:val="center"/>
    </w:pPr>
    <w:rPr>
      <w:rFonts w:ascii="方正小标宋_GBK" w:hAnsi="Times New Roman" w:eastAsia="方正小标宋_GBK"/>
      <w:b/>
      <w:bCs/>
      <w:snapToGrid/>
      <w:kern w:val="2"/>
      <w:sz w:val="36"/>
      <w:szCs w:val="24"/>
    </w:r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Body Text Indent"/>
    <w:basedOn w:val="1"/>
    <w:uiPriority w:val="0"/>
    <w:pPr>
      <w:spacing w:after="120"/>
      <w:ind w:left="420" w:leftChars="200"/>
    </w:pPr>
  </w:style>
  <w:style w:type="paragraph" w:customStyle="1" w:styleId="7">
    <w:name w:val="toc 11"/>
    <w:next w:val="1"/>
    <w:qFormat/>
    <w:uiPriority w:val="0"/>
    <w:pPr>
      <w:wordWrap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2021-10-28T07:24:00Z</dcterms:created>
  <dc:creator>lily</dc:creator>
  <cp:lastModifiedBy>lily</cp:lastModifiedBy>
  <dcterms:modified xsi:type="dcterms:W3CDTF">2021-10-29T01:58:57Z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