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0" w:firstLineChars="0"/>
        <w:jc w:val="center"/>
        <w:rPr>
          <w:rFonts w:ascii="宋体" w:hAnsi="宋体" w:cs="宋体"/>
          <w:kern w:val="0"/>
          <w:sz w:val="32"/>
          <w:szCs w:val="32"/>
        </w:rPr>
      </w:pPr>
      <w:bookmarkStart w:id="0" w:name="dttl"/>
    </w:p>
    <w:p>
      <w:pPr>
        <w:widowControl/>
        <w:adjustRightInd w:val="0"/>
        <w:snapToGrid w:val="0"/>
        <w:ind w:firstLine="0" w:firstLineChars="0"/>
        <w:jc w:val="center"/>
        <w:rPr>
          <w:rFonts w:ascii="宋体" w:hAnsi="宋体" w:cs="宋体"/>
          <w:kern w:val="0"/>
          <w:sz w:val="32"/>
          <w:szCs w:val="32"/>
        </w:rPr>
      </w:pPr>
    </w:p>
    <w:p>
      <w:pPr>
        <w:widowControl/>
        <w:adjustRightInd w:val="0"/>
        <w:snapToGrid w:val="0"/>
        <w:ind w:firstLine="0" w:firstLineChars="0"/>
        <w:jc w:val="center"/>
        <w:rPr>
          <w:rFonts w:ascii="宋体" w:hAnsi="宋体" w:cs="宋体"/>
          <w:kern w:val="0"/>
          <w:sz w:val="32"/>
          <w:szCs w:val="32"/>
        </w:rPr>
      </w:pPr>
    </w:p>
    <w:p>
      <w:pPr>
        <w:widowControl/>
        <w:adjustRightInd w:val="0"/>
        <w:snapToGrid w:val="0"/>
        <w:ind w:firstLine="0" w:firstLineChars="0"/>
        <w:jc w:val="center"/>
        <w:rPr>
          <w:rFonts w:ascii="宋体" w:hAnsi="宋体" w:cs="宋体"/>
          <w:kern w:val="0"/>
          <w:sz w:val="32"/>
          <w:szCs w:val="32"/>
        </w:rPr>
      </w:pPr>
    </w:p>
    <w:p>
      <w:pPr>
        <w:widowControl/>
        <w:adjustRightInd w:val="0"/>
        <w:snapToGrid w:val="0"/>
        <w:ind w:firstLine="0" w:firstLineChars="0"/>
        <w:jc w:val="center"/>
        <w:rPr>
          <w:rFonts w:ascii="宋体" w:hAnsi="宋体" w:cs="宋体"/>
          <w:kern w:val="0"/>
          <w:sz w:val="32"/>
          <w:szCs w:val="32"/>
        </w:rPr>
      </w:pPr>
    </w:p>
    <w:p>
      <w:pPr>
        <w:widowControl/>
        <w:adjustRightInd w:val="0"/>
        <w:snapToGrid w:val="0"/>
        <w:ind w:firstLine="0" w:firstLineChars="0"/>
        <w:jc w:val="center"/>
        <w:rPr>
          <w:rFonts w:ascii="方正小标宋简体" w:hAnsi="Times New Roman" w:eastAsia="方正小标宋简体" w:cs="宋体"/>
          <w:bCs/>
          <w:kern w:val="0"/>
          <w:sz w:val="44"/>
          <w:szCs w:val="44"/>
        </w:rPr>
      </w:pPr>
      <w:r>
        <w:rPr>
          <w:rFonts w:hint="eastAsia" w:ascii="方正小标宋简体" w:hAnsi="Times New Roman" w:eastAsia="方正小标宋简体" w:cs="宋体"/>
          <w:bCs/>
          <w:kern w:val="0"/>
          <w:sz w:val="44"/>
          <w:szCs w:val="44"/>
        </w:rPr>
        <w:t>关于印发《关于执行2021年〈北京市建设工程计价依据——预算消耗量标准〉和〈北京市房屋修缮工程计价依据—</w:t>
      </w:r>
      <w:bookmarkStart w:id="1" w:name="_GoBack"/>
      <w:bookmarkEnd w:id="1"/>
      <w:r>
        <w:rPr>
          <w:rFonts w:hint="eastAsia" w:ascii="方正小标宋简体" w:hAnsi="Times New Roman" w:eastAsia="方正小标宋简体" w:cs="宋体"/>
          <w:bCs/>
          <w:kern w:val="0"/>
          <w:sz w:val="44"/>
          <w:szCs w:val="44"/>
        </w:rPr>
        <w:t>—预算消耗量标准〉</w:t>
      </w:r>
    </w:p>
    <w:p>
      <w:pPr>
        <w:widowControl/>
        <w:adjustRightInd w:val="0"/>
        <w:snapToGrid w:val="0"/>
        <w:ind w:firstLine="0" w:firstLineChars="0"/>
        <w:jc w:val="center"/>
        <w:rPr>
          <w:rFonts w:ascii="方正小标宋简体" w:hAnsi="Times New Roman" w:eastAsia="方正小标宋简体" w:cs="宋体"/>
          <w:bCs/>
          <w:kern w:val="0"/>
          <w:sz w:val="44"/>
          <w:szCs w:val="44"/>
        </w:rPr>
      </w:pPr>
      <w:r>
        <w:rPr>
          <w:rFonts w:hint="eastAsia" w:ascii="方正小标宋简体" w:hAnsi="Times New Roman" w:eastAsia="方正小标宋简体" w:cs="宋体"/>
          <w:bCs/>
          <w:kern w:val="0"/>
          <w:sz w:val="44"/>
          <w:szCs w:val="44"/>
        </w:rPr>
        <w:t>的规定》的通知</w:t>
      </w:r>
    </w:p>
    <w:p>
      <w:pPr>
        <w:widowControl/>
        <w:adjustRightInd w:val="0"/>
        <w:snapToGrid w:val="0"/>
        <w:ind w:firstLine="0" w:firstLineChars="0"/>
        <w:jc w:val="center"/>
        <w:rPr>
          <w:rFonts w:ascii="仿宋_GB2312" w:hAnsi="宋体" w:eastAsia="仿宋_GB2312" w:cs="宋体"/>
          <w:kern w:val="0"/>
          <w:sz w:val="32"/>
          <w:szCs w:val="32"/>
        </w:rPr>
      </w:pPr>
    </w:p>
    <w:p>
      <w:pPr>
        <w:widowControl/>
        <w:adjustRightInd w:val="0"/>
        <w:snapToGrid w:val="0"/>
        <w:ind w:firstLine="0" w:firstLineChars="0"/>
        <w:jc w:val="both"/>
        <w:rPr>
          <w:rFonts w:ascii="仿宋_GB2312" w:hAnsi="宋体" w:eastAsia="仿宋_GB2312" w:cs="宋体"/>
          <w:kern w:val="0"/>
          <w:sz w:val="32"/>
          <w:szCs w:val="32"/>
        </w:rPr>
      </w:pPr>
    </w:p>
    <w:p>
      <w:pPr>
        <w:widowControl/>
        <w:adjustRightInd w:val="0"/>
        <w:snapToGrid w:val="0"/>
        <w:ind w:firstLine="0" w:firstLineChars="0"/>
        <w:jc w:val="left"/>
        <w:rPr>
          <w:rFonts w:ascii="宋体" w:hAnsi="宋体" w:cs="宋体"/>
          <w:kern w:val="0"/>
          <w:sz w:val="32"/>
          <w:szCs w:val="32"/>
        </w:rPr>
      </w:pPr>
    </w:p>
    <w:p>
      <w:pPr>
        <w:widowControl/>
        <w:adjustRightInd w:val="0"/>
        <w:snapToGrid w:val="0"/>
        <w:ind w:firstLine="0" w:firstLineChars="0"/>
        <w:jc w:val="left"/>
        <w:rPr>
          <w:rFonts w:ascii="宋体" w:hAnsi="宋体" w:cs="宋体"/>
          <w:kern w:val="0"/>
          <w:sz w:val="32"/>
          <w:szCs w:val="32"/>
        </w:rPr>
      </w:pPr>
      <w:r>
        <w:rPr>
          <w:rFonts w:hint="eastAsia" w:eastAsia="仿宋_GB2312" w:cs="宋体"/>
          <w:kern w:val="0"/>
          <w:sz w:val="32"/>
          <w:szCs w:val="32"/>
        </w:rPr>
        <w:t>各有关单位：</w:t>
      </w:r>
    </w:p>
    <w:p>
      <w:pPr>
        <w:widowControl/>
        <w:adjustRightInd w:val="0"/>
        <w:snapToGrid w:val="0"/>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为正确理解和准确应用2021年《北京市建设工程计价依据——预算消耗量标准》和《北京市房屋修缮工程计价依据——预算消耗量标准》，市住房和城乡建设委制定了《关于执行2021年〈北京市建设工程计价依据——预算消耗量标准〉和〈北京市房屋修缮工程计价依据——预算消耗量标准〉的规定》，现印发给你们，请遵照执行。</w:t>
      </w:r>
    </w:p>
    <w:p>
      <w:pPr>
        <w:widowControl/>
        <w:adjustRightInd w:val="0"/>
        <w:snapToGrid w:val="0"/>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特此通知。</w:t>
      </w:r>
    </w:p>
    <w:p>
      <w:pPr>
        <w:widowControl/>
        <w:adjustRightInd w:val="0"/>
        <w:snapToGrid w:val="0"/>
        <w:ind w:firstLine="640"/>
        <w:jc w:val="left"/>
        <w:rPr>
          <w:rFonts w:ascii="仿宋_GB2312" w:hAnsi="宋体" w:eastAsia="仿宋_GB2312" w:cs="宋体"/>
          <w:kern w:val="0"/>
          <w:sz w:val="32"/>
          <w:szCs w:val="32"/>
        </w:rPr>
      </w:pPr>
    </w:p>
    <w:p>
      <w:pPr>
        <w:widowControl/>
        <w:adjustRightInd w:val="0"/>
        <w:snapToGrid w:val="0"/>
        <w:ind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附件：关于执行2021年《北京市建设工程计价依据——预算消</w:t>
      </w:r>
    </w:p>
    <w:p>
      <w:pPr>
        <w:widowControl/>
        <w:adjustRightInd w:val="0"/>
        <w:snapToGrid w:val="0"/>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耗量标准》和《北京市房屋修缮工程计价依据——预算</w:t>
      </w:r>
    </w:p>
    <w:p>
      <w:pPr>
        <w:widowControl/>
        <w:adjustRightInd w:val="0"/>
        <w:snapToGrid w:val="0"/>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消耗量标准》的规定</w:t>
      </w:r>
    </w:p>
    <w:p>
      <w:pPr>
        <w:widowControl/>
        <w:adjustRightInd w:val="0"/>
        <w:snapToGrid w:val="0"/>
        <w:ind w:firstLine="640"/>
        <w:jc w:val="left"/>
        <w:rPr>
          <w:rFonts w:ascii="仿宋_GB2312" w:hAnsi="宋体" w:eastAsia="仿宋_GB2312" w:cs="宋体"/>
          <w:kern w:val="0"/>
          <w:sz w:val="32"/>
          <w:szCs w:val="32"/>
        </w:rPr>
      </w:pPr>
    </w:p>
    <w:p>
      <w:pPr>
        <w:widowControl/>
        <w:adjustRightInd w:val="0"/>
        <w:snapToGrid w:val="0"/>
        <w:ind w:firstLine="640"/>
        <w:jc w:val="left"/>
        <w:rPr>
          <w:rFonts w:ascii="仿宋_GB2312" w:hAnsi="宋体" w:eastAsia="仿宋_GB2312" w:cs="宋体"/>
          <w:kern w:val="0"/>
          <w:sz w:val="32"/>
          <w:szCs w:val="32"/>
        </w:rPr>
      </w:pPr>
    </w:p>
    <w:p>
      <w:pPr>
        <w:widowControl/>
        <w:wordWrap w:val="0"/>
        <w:adjustRightInd w:val="0"/>
        <w:snapToGrid w:val="0"/>
        <w:ind w:firstLine="0" w:firstLineChars="0"/>
        <w:jc w:val="right"/>
        <w:rPr>
          <w:rFonts w:ascii="宋体" w:hAnsi="宋体" w:cs="宋体"/>
          <w:kern w:val="0"/>
          <w:sz w:val="32"/>
          <w:szCs w:val="32"/>
        </w:rPr>
      </w:pPr>
      <w:r>
        <w:rPr>
          <w:rFonts w:hint="eastAsia" w:ascii="仿宋_GB2312" w:hAnsi="宋体" w:eastAsia="仿宋_GB2312" w:cs="宋体"/>
          <w:kern w:val="0"/>
          <w:sz w:val="32"/>
          <w:szCs w:val="32"/>
        </w:rPr>
        <w:t xml:space="preserve">北京市住房和城乡建设委员会    </w:t>
      </w:r>
    </w:p>
    <w:p>
      <w:pPr>
        <w:widowControl/>
        <w:wordWrap w:val="0"/>
        <w:adjustRightInd w:val="0"/>
        <w:snapToGrid w:val="0"/>
        <w:ind w:firstLine="0" w:firstLineChars="0"/>
        <w:jc w:val="right"/>
        <w:rPr>
          <w:rFonts w:ascii="宋体" w:hAnsi="宋体" w:cs="宋体"/>
          <w:kern w:val="0"/>
          <w:sz w:val="32"/>
          <w:szCs w:val="32"/>
        </w:rPr>
      </w:pPr>
      <w:r>
        <w:rPr>
          <w:rFonts w:hint="eastAsia" w:ascii="仿宋_GB2312" w:hAnsi="宋体" w:eastAsia="仿宋_GB2312" w:cs="宋体"/>
          <w:kern w:val="0"/>
          <w:sz w:val="32"/>
          <w:szCs w:val="32"/>
        </w:rPr>
        <w:t xml:space="preserve">2021年  月  日        </w:t>
      </w:r>
    </w:p>
    <w:p>
      <w:pPr>
        <w:widowControl/>
        <w:tabs>
          <w:tab w:val="left" w:pos="7920"/>
          <w:tab w:val="left" w:pos="8100"/>
          <w:tab w:val="left" w:pos="8280"/>
        </w:tabs>
        <w:adjustRightInd w:val="0"/>
        <w:snapToGrid w:val="0"/>
        <w:ind w:firstLine="0" w:firstLineChars="0"/>
        <w:jc w:val="left"/>
        <w:rPr>
          <w:rFonts w:ascii="宋体" w:hAnsi="宋体" w:cs="宋体"/>
          <w:kern w:val="0"/>
          <w:sz w:val="32"/>
          <w:szCs w:val="32"/>
        </w:rPr>
      </w:pPr>
    </w:p>
    <w:p>
      <w:pPr>
        <w:widowControl/>
        <w:adjustRightInd w:val="0"/>
        <w:snapToGrid w:val="0"/>
        <w:ind w:firstLine="0" w:firstLineChars="0"/>
        <w:jc w:val="center"/>
        <w:rPr>
          <w:rFonts w:ascii="方正小标宋简体" w:hAnsi="Times New Roman" w:eastAsia="方正小标宋简体" w:cs="宋体"/>
          <w:bCs/>
          <w:kern w:val="0"/>
          <w:sz w:val="44"/>
          <w:szCs w:val="44"/>
        </w:rPr>
      </w:pPr>
      <w:r>
        <w:rPr>
          <w:rFonts w:ascii="黑体" w:hAnsi="黑体" w:eastAsia="黑体" w:cs="宋体"/>
          <w:bCs/>
          <w:kern w:val="0"/>
          <w:sz w:val="32"/>
          <w:szCs w:val="32"/>
        </w:rPr>
        <w:br w:type="page"/>
      </w:r>
    </w:p>
    <w:p>
      <w:pPr>
        <w:widowControl/>
        <w:adjustRightInd w:val="0"/>
        <w:snapToGrid w:val="0"/>
        <w:ind w:firstLine="0" w:firstLineChars="0"/>
        <w:jc w:val="center"/>
        <w:rPr>
          <w:rFonts w:ascii="黑体" w:hAnsi="黑体" w:eastAsia="黑体" w:cs="宋体"/>
          <w:bCs/>
          <w:kern w:val="0"/>
          <w:sz w:val="36"/>
          <w:szCs w:val="36"/>
        </w:rPr>
      </w:pPr>
    </w:p>
    <w:p>
      <w:pPr>
        <w:widowControl/>
        <w:adjustRightInd w:val="0"/>
        <w:snapToGrid w:val="0"/>
        <w:ind w:firstLine="0" w:firstLineChars="0"/>
        <w:jc w:val="center"/>
        <w:rPr>
          <w:rFonts w:ascii="黑体" w:hAnsi="黑体" w:eastAsia="黑体" w:cs="宋体"/>
          <w:bCs/>
          <w:kern w:val="0"/>
          <w:sz w:val="36"/>
          <w:szCs w:val="36"/>
        </w:rPr>
      </w:pPr>
      <w:r>
        <w:rPr>
          <w:rFonts w:hint="eastAsia" w:ascii="黑体" w:hAnsi="黑体" w:eastAsia="黑体" w:cs="宋体"/>
          <w:bCs/>
          <w:kern w:val="0"/>
          <w:sz w:val="36"/>
          <w:szCs w:val="36"/>
        </w:rPr>
        <w:t>关于执行2021年《北京市建设工程计价依据</w:t>
      </w:r>
    </w:p>
    <w:p>
      <w:pPr>
        <w:widowControl/>
        <w:adjustRightInd w:val="0"/>
        <w:snapToGrid w:val="0"/>
        <w:ind w:firstLine="0" w:firstLineChars="0"/>
        <w:jc w:val="center"/>
        <w:rPr>
          <w:rFonts w:ascii="黑体" w:hAnsi="黑体" w:eastAsia="黑体" w:cs="宋体"/>
          <w:bCs/>
          <w:kern w:val="0"/>
          <w:sz w:val="36"/>
          <w:szCs w:val="36"/>
        </w:rPr>
      </w:pPr>
      <w:r>
        <w:rPr>
          <w:rFonts w:hint="eastAsia" w:ascii="黑体" w:hAnsi="黑体" w:eastAsia="黑体" w:cs="宋体"/>
          <w:bCs/>
          <w:kern w:val="0"/>
          <w:sz w:val="36"/>
          <w:szCs w:val="36"/>
        </w:rPr>
        <w:t>——预算消耗量标准》和《北京市房屋修缮</w:t>
      </w:r>
    </w:p>
    <w:p>
      <w:pPr>
        <w:widowControl/>
        <w:adjustRightInd w:val="0"/>
        <w:snapToGrid w:val="0"/>
        <w:ind w:firstLine="0" w:firstLineChars="0"/>
        <w:jc w:val="center"/>
        <w:rPr>
          <w:rFonts w:ascii="黑体" w:hAnsi="黑体" w:eastAsia="黑体" w:cs="宋体"/>
          <w:bCs/>
          <w:kern w:val="0"/>
          <w:sz w:val="36"/>
          <w:szCs w:val="36"/>
        </w:rPr>
      </w:pPr>
      <w:r>
        <w:rPr>
          <w:rFonts w:hint="eastAsia" w:ascii="黑体" w:hAnsi="黑体" w:eastAsia="黑体" w:cs="宋体"/>
          <w:bCs/>
          <w:kern w:val="0"/>
          <w:sz w:val="36"/>
          <w:szCs w:val="36"/>
        </w:rPr>
        <w:t>工程计价依据——预算消耗量标准》的规定</w:t>
      </w:r>
    </w:p>
    <w:p>
      <w:pPr>
        <w:widowControl/>
        <w:adjustRightInd w:val="0"/>
        <w:snapToGrid w:val="0"/>
        <w:ind w:firstLine="0" w:firstLineChars="0"/>
        <w:jc w:val="center"/>
        <w:rPr>
          <w:rFonts w:ascii="Times New Roman" w:hAnsi="宋体" w:eastAsia="仿宋_GB2312" w:cs="宋体"/>
          <w:bCs/>
          <w:kern w:val="0"/>
          <w:sz w:val="32"/>
          <w:szCs w:val="32"/>
        </w:rPr>
      </w:pPr>
      <w:r>
        <w:rPr>
          <w:rFonts w:hint="eastAsia" w:ascii="Times New Roman" w:hAnsi="宋体" w:eastAsia="仿宋_GB2312" w:cs="宋体"/>
          <w:bCs/>
          <w:kern w:val="0"/>
          <w:sz w:val="32"/>
          <w:szCs w:val="32"/>
        </w:rPr>
        <w:t>（征求意见稿）</w:t>
      </w:r>
    </w:p>
    <w:p>
      <w:pPr>
        <w:widowControl/>
        <w:adjustRightInd w:val="0"/>
        <w:snapToGrid w:val="0"/>
        <w:ind w:firstLine="0" w:firstLineChars="0"/>
        <w:jc w:val="center"/>
        <w:rPr>
          <w:rFonts w:ascii="宋体" w:hAnsi="宋体" w:cs="宋体"/>
          <w:kern w:val="0"/>
          <w:sz w:val="32"/>
          <w:szCs w:val="32"/>
        </w:rPr>
      </w:pPr>
    </w:p>
    <w:p>
      <w:pPr>
        <w:widowControl/>
        <w:wordWrap w:val="0"/>
        <w:adjustRightInd w:val="0"/>
        <w:snapToGrid w:val="0"/>
        <w:ind w:firstLine="560"/>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 xml:space="preserve">第一条  </w:t>
      </w:r>
      <w:r>
        <w:rPr>
          <w:rFonts w:hint="eastAsia" w:ascii="Times New Roman" w:hAnsi="宋体" w:eastAsia="仿宋_GB2312" w:cs="宋体"/>
          <w:bCs/>
          <w:kern w:val="0"/>
          <w:sz w:val="28"/>
          <w:szCs w:val="28"/>
        </w:rPr>
        <w:t>为规范2021年《北京市建设工程计价依据——预算消耗量标准》和《北京市房屋修缮工程计价依据——预算消耗量标准》（以下简称《预算消耗量标准》）的应用，建立健全我市工程造价市场化形成机制，合理确定和有效控制建设工程造价，提高投资效益，保障工程质量安全，根据现行有关法律法规，制定本规定。</w:t>
      </w:r>
    </w:p>
    <w:p>
      <w:pPr>
        <w:pStyle w:val="2"/>
        <w:wordWrap w:val="0"/>
        <w:ind w:firstLine="560"/>
        <w:rPr>
          <w:rFonts w:ascii="楷体_GB2312" w:hAnsi="宋体" w:eastAsia="楷体_GB2312" w:cs="宋体"/>
          <w:kern w:val="0"/>
          <w:sz w:val="28"/>
          <w:szCs w:val="28"/>
        </w:rPr>
      </w:pPr>
    </w:p>
    <w:p>
      <w:pPr>
        <w:widowControl/>
        <w:tabs>
          <w:tab w:val="left" w:pos="540"/>
        </w:tabs>
        <w:wordWrap w:val="0"/>
        <w:adjustRightInd w:val="0"/>
        <w:snapToGrid w:val="0"/>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第二条  在本市行政区域内新建、扩建和改建的房屋建筑（含装饰装修工程、房屋修缮工程）和市政基础设施工程，依据《预算消耗量标准》确定建筑安装工程费的，适用本规定。</w:t>
      </w:r>
    </w:p>
    <w:p>
      <w:pPr>
        <w:pStyle w:val="2"/>
        <w:wordWrap w:val="0"/>
        <w:ind w:firstLine="560"/>
        <w:rPr>
          <w:rFonts w:ascii="楷体_GB2312" w:hAnsi="宋体" w:eastAsia="楷体_GB2312" w:cs="宋体"/>
          <w:kern w:val="0"/>
          <w:sz w:val="28"/>
          <w:szCs w:val="28"/>
        </w:rPr>
      </w:pP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 xml:space="preserve">第三条  </w:t>
      </w:r>
      <w:r>
        <w:rPr>
          <w:rFonts w:hint="eastAsia" w:ascii="Times New Roman" w:hAnsi="宋体" w:eastAsia="仿宋_GB2312" w:cs="宋体"/>
          <w:bCs/>
          <w:kern w:val="0"/>
          <w:sz w:val="28"/>
          <w:szCs w:val="28"/>
        </w:rPr>
        <w:t>本市建设工程造价管理机构根据对市场工程造价数据的监测情况，在市住房和城乡建设委门户网站发布的《北京工程造价信息》中，按月动态发布《预算消耗量标准》未包括的、组成建筑安装工程费的其他费用项目的费用指标（以下简称“费用指标”）。</w:t>
      </w:r>
    </w:p>
    <w:p>
      <w:pPr>
        <w:widowControl/>
        <w:tabs>
          <w:tab w:val="left" w:pos="540"/>
        </w:tabs>
        <w:wordWrap w:val="0"/>
        <w:adjustRightInd w:val="0"/>
        <w:snapToGrid w:val="0"/>
        <w:ind w:firstLine="560"/>
        <w:jc w:val="left"/>
        <w:rPr>
          <w:rFonts w:ascii="仿宋_GB2312" w:hAnsi="宋体" w:eastAsia="仿宋_GB2312" w:cs="宋体"/>
          <w:kern w:val="0"/>
          <w:sz w:val="28"/>
          <w:szCs w:val="28"/>
        </w:rPr>
      </w:pPr>
    </w:p>
    <w:p>
      <w:pPr>
        <w:widowControl/>
        <w:tabs>
          <w:tab w:val="left" w:pos="540"/>
        </w:tabs>
        <w:wordWrap w:val="0"/>
        <w:adjustRightInd w:val="0"/>
        <w:snapToGrid w:val="0"/>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第四条  </w:t>
      </w:r>
      <w:r>
        <w:rPr>
          <w:rFonts w:hint="eastAsia" w:ascii="Times New Roman" w:hAnsi="宋体" w:eastAsia="仿宋_GB2312" w:cs="宋体"/>
          <w:bCs/>
          <w:kern w:val="0"/>
          <w:sz w:val="28"/>
          <w:szCs w:val="28"/>
        </w:rPr>
        <w:t>招标人编制最高投标限价的规定如下：</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一）《预算消耗量标准》包括的项目，综合单价中人工、材料（设备）、施工机械等施工生产要素（以下简称“施工生产要素”）的数量，应依据《预算消耗量标准》确定。施工生产要素的价格，应依据招标文件所载明基准期</w:t>
      </w:r>
      <w:r>
        <w:rPr>
          <w:rFonts w:hint="eastAsia" w:ascii="仿宋" w:hAnsi="仿宋" w:eastAsia="仿宋" w:cs="宋体"/>
          <w:bCs/>
          <w:kern w:val="0"/>
          <w:sz w:val="28"/>
          <w:szCs w:val="28"/>
        </w:rPr>
        <w:t>（</w:t>
      </w:r>
      <w:r>
        <w:rPr>
          <w:rFonts w:hint="eastAsia" w:ascii="Times New Roman" w:hAnsi="宋体" w:eastAsia="仿宋_GB2312" w:cs="宋体"/>
          <w:bCs/>
          <w:kern w:val="0"/>
          <w:sz w:val="28"/>
          <w:szCs w:val="28"/>
        </w:rPr>
        <w:t>以下简称“基准期”）的《北京工程造价信息》发布的“工程造价信息价”（以下简称“信息价”）确定；《北京工程造价信息》未发布相应信息价的，招标人应通过市场询价等方式合理确定；</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二）《预算消耗量标准》未包括的建筑安装工程费用项目，《北京工程造价信息》发布了相应费用指标的，其费用应依据基准期的费用指标合理确定，但不得低于相应费用指标的中间值，且安全文明施工费和赶工措施增加费等应符合相关文件的规定；</w:t>
      </w:r>
      <w:r>
        <w:rPr>
          <w:rFonts w:ascii="Times New Roman" w:hAnsi="宋体" w:eastAsia="仿宋_GB2312" w:cs="宋体"/>
          <w:bCs/>
          <w:kern w:val="0"/>
          <w:sz w:val="28"/>
          <w:szCs w:val="28"/>
        </w:rPr>
        <w:t xml:space="preserve"> </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（三）风险费可结合发包条件和市场价格波动行情趋势等因素，合理考虑招标文件规定的可调因素之外的风险，计入相应的综合单价中；</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（四）税金应符合国家政策文件的规定，并与工程发包时发包人明确的计税方式相一致的税率确定。</w:t>
      </w:r>
    </w:p>
    <w:p>
      <w:pPr>
        <w:widowControl/>
        <w:tabs>
          <w:tab w:val="left" w:pos="540"/>
        </w:tabs>
        <w:wordWrap w:val="0"/>
        <w:adjustRightInd w:val="0"/>
        <w:snapToGrid w:val="0"/>
        <w:ind w:firstLine="560"/>
        <w:jc w:val="left"/>
        <w:rPr>
          <w:rFonts w:ascii="楷体_GB2312" w:hAnsi="宋体" w:eastAsia="楷体_GB2312" w:cs="宋体"/>
          <w:kern w:val="0"/>
          <w:sz w:val="28"/>
          <w:szCs w:val="28"/>
        </w:rPr>
      </w:pP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 xml:space="preserve">第五条  </w:t>
      </w:r>
      <w:r>
        <w:rPr>
          <w:rFonts w:hint="eastAsia" w:ascii="Times New Roman" w:hAnsi="宋体" w:eastAsia="仿宋_GB2312" w:cs="宋体"/>
          <w:bCs/>
          <w:kern w:val="0"/>
          <w:sz w:val="28"/>
          <w:szCs w:val="28"/>
        </w:rPr>
        <w:t>标底编制应按本规定第四条执行，但可适当考虑市场竞争因素。</w:t>
      </w:r>
    </w:p>
    <w:p>
      <w:pPr>
        <w:widowControl/>
        <w:tabs>
          <w:tab w:val="left" w:pos="540"/>
        </w:tabs>
        <w:adjustRightInd w:val="0"/>
        <w:snapToGrid w:val="0"/>
        <w:ind w:firstLine="560"/>
        <w:jc w:val="left"/>
        <w:rPr>
          <w:rFonts w:ascii="仿宋_GB2312" w:hAnsi="宋体" w:eastAsia="仿宋_GB2312" w:cs="宋体"/>
          <w:kern w:val="0"/>
          <w:sz w:val="28"/>
          <w:szCs w:val="28"/>
        </w:rPr>
      </w:pPr>
    </w:p>
    <w:p>
      <w:pPr>
        <w:widowControl/>
        <w:tabs>
          <w:tab w:val="left" w:pos="540"/>
        </w:tabs>
        <w:adjustRightInd w:val="0"/>
        <w:snapToGrid w:val="0"/>
        <w:ind w:firstLine="560"/>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第六条  投标人确定</w:t>
      </w:r>
      <w:r>
        <w:rPr>
          <w:rFonts w:hint="eastAsia" w:ascii="Times New Roman" w:hAnsi="宋体" w:eastAsia="仿宋_GB2312" w:cs="宋体"/>
          <w:bCs/>
          <w:kern w:val="0"/>
          <w:sz w:val="28"/>
          <w:szCs w:val="28"/>
        </w:rPr>
        <w:t>投标报价或发承包人确定签约合同价的规定如下：</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一）综合单价中施工生产要素的数量，《预算消耗量标准》包括的项目，应依据《预算消耗量标准》确定；《预算消耗量标准》未包括的建筑安装工程费用项目，应依据拟定的施工组织设计及其措施方案等，自主测算确定；</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二）综合单价中施工生产要素的市场价格，由企业自主询价，参考基准期的信息价合理确定；企业管理费、利润和规费，由企业依据有关规定自主测算，参考相应的费用指标合理确定，但社会保险费和住房公积金的各项缴费标准应执行国家和北京市相关主管部门的规定；</w:t>
      </w: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Times New Roman" w:hAnsi="宋体" w:eastAsia="仿宋_GB2312" w:cs="宋体"/>
          <w:bCs/>
          <w:kern w:val="0"/>
          <w:sz w:val="28"/>
          <w:szCs w:val="28"/>
        </w:rPr>
        <w:t>（三）风险费和税金执行本规定第四条第（三）项和第（四）项。</w:t>
      </w:r>
    </w:p>
    <w:p>
      <w:pPr>
        <w:widowControl/>
        <w:tabs>
          <w:tab w:val="left" w:pos="540"/>
        </w:tabs>
        <w:wordWrap w:val="0"/>
        <w:adjustRightInd w:val="0"/>
        <w:snapToGrid w:val="0"/>
        <w:ind w:firstLine="560"/>
        <w:jc w:val="left"/>
        <w:rPr>
          <w:rFonts w:ascii="仿宋_GB2312" w:hAnsi="宋体" w:eastAsia="仿宋_GB2312" w:cs="宋体"/>
          <w:kern w:val="0"/>
          <w:sz w:val="28"/>
          <w:szCs w:val="28"/>
        </w:rPr>
      </w:pPr>
    </w:p>
    <w:p>
      <w:pPr>
        <w:widowControl/>
        <w:tabs>
          <w:tab w:val="left" w:pos="540"/>
        </w:tabs>
        <w:wordWrap w:val="0"/>
        <w:adjustRightInd w:val="0"/>
        <w:snapToGrid w:val="0"/>
        <w:ind w:firstLine="560"/>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 xml:space="preserve">第七条  </w:t>
      </w:r>
      <w:r>
        <w:rPr>
          <w:rFonts w:hint="eastAsia" w:ascii="Times New Roman" w:hAnsi="宋体" w:eastAsia="仿宋_GB2312" w:cs="宋体"/>
          <w:bCs/>
          <w:kern w:val="0"/>
          <w:sz w:val="28"/>
          <w:szCs w:val="28"/>
        </w:rPr>
        <w:t>《预算消耗量标准》实行动态管理，本市建设工程造价管理机构将结合市场实际适时进行调整和完善。</w:t>
      </w:r>
    </w:p>
    <w:p>
      <w:pPr>
        <w:widowControl/>
        <w:adjustRightInd w:val="0"/>
        <w:snapToGrid w:val="0"/>
        <w:ind w:firstLine="565" w:firstLineChars="202"/>
        <w:jc w:val="left"/>
        <w:rPr>
          <w:rFonts w:ascii="楷体_GB2312" w:hAnsi="宋体" w:eastAsia="楷体_GB2312" w:cs="宋体"/>
          <w:kern w:val="0"/>
          <w:sz w:val="28"/>
          <w:szCs w:val="28"/>
        </w:rPr>
      </w:pPr>
    </w:p>
    <w:p>
      <w:pPr>
        <w:widowControl/>
        <w:adjustRightInd w:val="0"/>
        <w:snapToGrid w:val="0"/>
        <w:ind w:firstLine="565" w:firstLineChars="202"/>
        <w:jc w:val="left"/>
        <w:rPr>
          <w:rFonts w:ascii="Times New Roman" w:hAnsi="宋体" w:eastAsia="仿宋_GB2312" w:cs="宋体"/>
          <w:bCs/>
          <w:kern w:val="0"/>
          <w:sz w:val="28"/>
          <w:szCs w:val="28"/>
        </w:rPr>
      </w:pPr>
      <w:r>
        <w:rPr>
          <w:rFonts w:hint="eastAsia" w:ascii="仿宋_GB2312" w:hAnsi="宋体" w:eastAsia="仿宋_GB2312" w:cs="宋体"/>
          <w:kern w:val="0"/>
          <w:sz w:val="28"/>
          <w:szCs w:val="28"/>
        </w:rPr>
        <w:t xml:space="preserve">第八条  </w:t>
      </w:r>
      <w:r>
        <w:rPr>
          <w:rFonts w:hint="eastAsia" w:ascii="Times New Roman" w:hAnsi="宋体" w:eastAsia="仿宋_GB2312" w:cs="宋体"/>
          <w:bCs/>
          <w:kern w:val="0"/>
          <w:sz w:val="28"/>
          <w:szCs w:val="28"/>
        </w:rPr>
        <w:t>本规定自2022年</w:t>
      </w:r>
      <w:r>
        <w:rPr>
          <w:rFonts w:ascii="Times New Roman" w:hAnsi="宋体" w:eastAsia="仿宋_GB2312" w:cs="宋体"/>
          <w:bCs/>
          <w:kern w:val="0"/>
          <w:sz w:val="28"/>
          <w:szCs w:val="28"/>
        </w:rPr>
        <w:t>1</w:t>
      </w:r>
      <w:r>
        <w:rPr>
          <w:rFonts w:hint="eastAsia" w:ascii="Times New Roman" w:hAnsi="宋体" w:eastAsia="仿宋_GB2312" w:cs="宋体"/>
          <w:bCs/>
          <w:kern w:val="0"/>
          <w:sz w:val="28"/>
          <w:szCs w:val="28"/>
        </w:rPr>
        <w:t>月1日起施行。</w:t>
      </w:r>
      <w:bookmarkEnd w:id="0"/>
      <w:r>
        <w:rPr>
          <w:rFonts w:ascii="Times New Roman" w:hAnsi="宋体" w:eastAsia="仿宋_GB2312" w:cs="宋体"/>
          <w:bCs/>
          <w:kern w:val="0"/>
          <w:sz w:val="28"/>
          <w:szCs w:val="28"/>
        </w:rPr>
        <w:t>20</w:t>
      </w:r>
      <w:r>
        <w:rPr>
          <w:rFonts w:hint="eastAsia" w:ascii="Times New Roman" w:hAnsi="宋体" w:eastAsia="仿宋_GB2312" w:cs="宋体"/>
          <w:bCs/>
          <w:kern w:val="0"/>
          <w:sz w:val="28"/>
          <w:szCs w:val="28"/>
        </w:rPr>
        <w:t>12年《北京市建设工程计价依据——预算定额》、</w:t>
      </w:r>
      <w:r>
        <w:rPr>
          <w:rFonts w:ascii="Times New Roman" w:hAnsi="宋体" w:eastAsia="仿宋_GB2312" w:cs="宋体"/>
          <w:bCs/>
          <w:kern w:val="0"/>
          <w:sz w:val="28"/>
          <w:szCs w:val="28"/>
        </w:rPr>
        <w:t>20</w:t>
      </w:r>
      <w:r>
        <w:rPr>
          <w:rFonts w:hint="eastAsia" w:ascii="Times New Roman" w:hAnsi="宋体" w:eastAsia="仿宋_GB2312" w:cs="宋体"/>
          <w:bCs/>
          <w:kern w:val="0"/>
          <w:sz w:val="28"/>
          <w:szCs w:val="28"/>
        </w:rPr>
        <w:t>12年《北京市房屋修缮工程计价依据——预算定额》、</w:t>
      </w:r>
      <w:r>
        <w:rPr>
          <w:rFonts w:ascii="Times New Roman" w:hAnsi="宋体" w:eastAsia="仿宋_GB2312" w:cs="宋体"/>
          <w:bCs/>
          <w:kern w:val="0"/>
          <w:sz w:val="28"/>
          <w:szCs w:val="28"/>
        </w:rPr>
        <w:t>20</w:t>
      </w:r>
      <w:r>
        <w:rPr>
          <w:rFonts w:hint="eastAsia" w:ascii="Times New Roman" w:hAnsi="宋体" w:eastAsia="仿宋_GB2312" w:cs="宋体"/>
          <w:bCs/>
          <w:kern w:val="0"/>
          <w:sz w:val="28"/>
          <w:szCs w:val="28"/>
        </w:rPr>
        <w:t>17年《〈北京市建设工程计价依据——预算消耗量定额〉绿色建筑工程》和</w:t>
      </w:r>
      <w:r>
        <w:rPr>
          <w:rFonts w:ascii="Times New Roman" w:hAnsi="宋体" w:eastAsia="仿宋_GB2312" w:cs="宋体"/>
          <w:bCs/>
          <w:kern w:val="0"/>
          <w:sz w:val="28"/>
          <w:szCs w:val="28"/>
        </w:rPr>
        <w:t>20</w:t>
      </w:r>
      <w:r>
        <w:rPr>
          <w:rFonts w:hint="eastAsia" w:ascii="Times New Roman" w:hAnsi="宋体" w:eastAsia="仿宋_GB2312" w:cs="宋体"/>
          <w:bCs/>
          <w:kern w:val="0"/>
          <w:sz w:val="28"/>
          <w:szCs w:val="28"/>
        </w:rPr>
        <w:t>17年《〈北京市建设工程计价依据——预算消耗量定额〉装配式房屋建筑工程》同时停止使用。</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58"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0D"/>
    <w:rsid w:val="000A578D"/>
    <w:rsid w:val="000F7442"/>
    <w:rsid w:val="001B4E01"/>
    <w:rsid w:val="001D05AA"/>
    <w:rsid w:val="00331C8C"/>
    <w:rsid w:val="00366284"/>
    <w:rsid w:val="00461FB4"/>
    <w:rsid w:val="004E559A"/>
    <w:rsid w:val="004F3CFF"/>
    <w:rsid w:val="00592F65"/>
    <w:rsid w:val="00660CE4"/>
    <w:rsid w:val="007E0E4B"/>
    <w:rsid w:val="0094214A"/>
    <w:rsid w:val="00A16D3D"/>
    <w:rsid w:val="00A7548D"/>
    <w:rsid w:val="00AA29A5"/>
    <w:rsid w:val="00BD1C83"/>
    <w:rsid w:val="00BD2B0D"/>
    <w:rsid w:val="00C538B7"/>
    <w:rsid w:val="00D90224"/>
    <w:rsid w:val="00DC7237"/>
    <w:rsid w:val="00E25912"/>
    <w:rsid w:val="00F145A9"/>
    <w:rsid w:val="00F547CA"/>
    <w:rsid w:val="00FA268D"/>
    <w:rsid w:val="3DD2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unhideWhenUsed/>
    <w:uiPriority w:val="99"/>
    <w:pPr>
      <w:jc w:val="left"/>
    </w:pPr>
  </w:style>
  <w:style w:type="paragraph" w:styleId="3">
    <w:name w:val="footer"/>
    <w:basedOn w:val="1"/>
    <w:link w:val="8"/>
    <w:unhideWhenUsed/>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文字 Char"/>
    <w:basedOn w:val="6"/>
    <w:link w:val="2"/>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1483</Characters>
  <Lines>12</Lines>
  <Paragraphs>3</Paragraphs>
  <TotalTime>47</TotalTime>
  <ScaleCrop>false</ScaleCrop>
  <LinksUpToDate>false</LinksUpToDate>
  <CharactersWithSpaces>1740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2021-05-19T01:24:00Z</dcterms:created>
  <dc:creator>111</dc:creator>
  <cp:lastModifiedBy>力可</cp:lastModifiedBy>
  <cp:lastPrinted>2021-05-19T01:43:00Z</cp:lastPrinted>
  <dcterms:modified xsi:type="dcterms:W3CDTF">2021-10-27T08:17:16Z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1D2C873DFBAE41F4BBD31923701973F0</vt:lpwstr>
  </property>
</Properties>
</file>