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北京市定价目录（修订</w:t>
      </w:r>
      <w:r>
        <w:rPr>
          <w:rFonts w:hint="eastAsia" w:ascii="方正小标宋简体" w:hAnsi="宋体" w:eastAsia="方正小标宋简体"/>
          <w:sz w:val="44"/>
          <w:szCs w:val="44"/>
          <w:highlight w:val="none"/>
          <w:lang w:eastAsia="zh-CN"/>
        </w:rPr>
        <w:t>征求意见</w:t>
      </w:r>
      <w:r>
        <w:rPr>
          <w:rFonts w:hint="eastAsia" w:ascii="方正小标宋简体" w:hAnsi="宋体" w:eastAsia="方正小标宋简体"/>
          <w:sz w:val="44"/>
          <w:szCs w:val="44"/>
          <w:highlight w:val="none"/>
        </w:rPr>
        <w:t>稿）</w:t>
      </w:r>
    </w:p>
    <w:tbl>
      <w:tblPr>
        <w:tblStyle w:val="3"/>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02"/>
        <w:gridCol w:w="706"/>
        <w:gridCol w:w="4889"/>
        <w:gridCol w:w="2415"/>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721" w:type="dxa"/>
            <w:tcBorders>
              <w:tl2br w:val="nil"/>
              <w:tr2bl w:val="nil"/>
            </w:tcBorders>
            <w:noWrap w:val="0"/>
            <w:vAlign w:val="center"/>
          </w:tcPr>
          <w:p>
            <w:pPr>
              <w:widowControl/>
              <w:spacing w:line="320" w:lineRule="exact"/>
              <w:jc w:val="center"/>
              <w:rPr>
                <w:rFonts w:hint="eastAsia" w:ascii="黑体" w:eastAsia="黑体" w:cs="宋体"/>
                <w:bCs/>
                <w:kern w:val="0"/>
                <w:sz w:val="24"/>
                <w:highlight w:val="none"/>
              </w:rPr>
            </w:pPr>
            <w:r>
              <w:rPr>
                <w:rFonts w:hint="eastAsia" w:ascii="黑体" w:hAnsi="宋体" w:eastAsia="黑体" w:cs="宋体"/>
                <w:bCs/>
                <w:kern w:val="0"/>
                <w:sz w:val="24"/>
                <w:highlight w:val="none"/>
              </w:rPr>
              <w:t>序号</w:t>
            </w:r>
          </w:p>
        </w:tc>
        <w:tc>
          <w:tcPr>
            <w:tcW w:w="1202" w:type="dxa"/>
            <w:tcBorders>
              <w:tl2br w:val="nil"/>
              <w:tr2bl w:val="nil"/>
            </w:tcBorders>
            <w:noWrap w:val="0"/>
            <w:vAlign w:val="center"/>
          </w:tcPr>
          <w:p>
            <w:pPr>
              <w:widowControl/>
              <w:spacing w:line="320" w:lineRule="exact"/>
              <w:jc w:val="center"/>
              <w:rPr>
                <w:rFonts w:hint="eastAsia" w:ascii="黑体" w:eastAsia="黑体" w:cs="宋体"/>
                <w:bCs/>
                <w:color w:val="333333"/>
                <w:kern w:val="0"/>
                <w:sz w:val="24"/>
                <w:highlight w:val="none"/>
              </w:rPr>
            </w:pPr>
            <w:r>
              <w:rPr>
                <w:rFonts w:hint="eastAsia" w:ascii="黑体" w:hAnsi="宋体" w:eastAsia="黑体" w:cs="宋体"/>
                <w:bCs/>
                <w:color w:val="333333"/>
                <w:kern w:val="0"/>
                <w:sz w:val="24"/>
                <w:highlight w:val="none"/>
              </w:rPr>
              <w:t>项目</w:t>
            </w:r>
          </w:p>
        </w:tc>
        <w:tc>
          <w:tcPr>
            <w:tcW w:w="5595" w:type="dxa"/>
            <w:gridSpan w:val="2"/>
            <w:tcBorders>
              <w:tl2br w:val="nil"/>
              <w:tr2bl w:val="nil"/>
            </w:tcBorders>
            <w:noWrap w:val="0"/>
            <w:vAlign w:val="center"/>
          </w:tcPr>
          <w:p>
            <w:pPr>
              <w:widowControl/>
              <w:spacing w:line="320" w:lineRule="exact"/>
              <w:jc w:val="center"/>
              <w:rPr>
                <w:rFonts w:hint="eastAsia" w:ascii="黑体" w:eastAsia="黑体" w:cs="宋体"/>
                <w:bCs/>
                <w:color w:val="333333"/>
                <w:kern w:val="0"/>
                <w:sz w:val="24"/>
                <w:highlight w:val="none"/>
              </w:rPr>
            </w:pPr>
            <w:r>
              <w:rPr>
                <w:rFonts w:hint="eastAsia" w:ascii="黑体" w:hAnsi="宋体" w:eastAsia="黑体" w:cs="宋体"/>
                <w:bCs/>
                <w:color w:val="333333"/>
                <w:kern w:val="0"/>
                <w:sz w:val="24"/>
                <w:highlight w:val="none"/>
              </w:rPr>
              <w:t>定价内容</w:t>
            </w:r>
          </w:p>
        </w:tc>
        <w:tc>
          <w:tcPr>
            <w:tcW w:w="2415" w:type="dxa"/>
            <w:tcBorders>
              <w:tl2br w:val="nil"/>
              <w:tr2bl w:val="nil"/>
            </w:tcBorders>
            <w:noWrap w:val="0"/>
            <w:vAlign w:val="center"/>
          </w:tcPr>
          <w:p>
            <w:pPr>
              <w:widowControl/>
              <w:spacing w:line="320" w:lineRule="exact"/>
              <w:jc w:val="center"/>
              <w:rPr>
                <w:rFonts w:hint="eastAsia" w:ascii="黑体" w:eastAsia="黑体" w:cs="宋体"/>
                <w:bCs/>
                <w:color w:val="333333"/>
                <w:kern w:val="0"/>
                <w:sz w:val="24"/>
                <w:highlight w:val="none"/>
              </w:rPr>
            </w:pPr>
            <w:r>
              <w:rPr>
                <w:rFonts w:hint="eastAsia" w:ascii="黑体" w:hAnsi="宋体" w:eastAsia="黑体" w:cs="宋体"/>
                <w:bCs/>
                <w:color w:val="333333"/>
                <w:kern w:val="0"/>
                <w:sz w:val="24"/>
                <w:highlight w:val="none"/>
              </w:rPr>
              <w:t>定价部门</w:t>
            </w:r>
          </w:p>
        </w:tc>
        <w:tc>
          <w:tcPr>
            <w:tcW w:w="4366" w:type="dxa"/>
            <w:tcBorders>
              <w:tl2br w:val="nil"/>
              <w:tr2bl w:val="nil"/>
            </w:tcBorders>
            <w:noWrap w:val="0"/>
            <w:vAlign w:val="center"/>
          </w:tcPr>
          <w:p>
            <w:pPr>
              <w:widowControl/>
              <w:spacing w:line="320" w:lineRule="exact"/>
              <w:jc w:val="center"/>
              <w:rPr>
                <w:rFonts w:hint="eastAsia" w:ascii="黑体" w:eastAsia="黑体" w:cs="宋体"/>
                <w:bCs/>
                <w:kern w:val="0"/>
                <w:sz w:val="24"/>
                <w:highlight w:val="none"/>
              </w:rPr>
            </w:pPr>
            <w:r>
              <w:rPr>
                <w:rFonts w:hint="eastAsia" w:ascii="黑体" w:hAnsi="宋体" w:eastAsia="黑体" w:cs="宋体"/>
                <w:bCs/>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1"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p>
        </w:tc>
        <w:tc>
          <w:tcPr>
            <w:tcW w:w="1202"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供水</w:t>
            </w:r>
          </w:p>
        </w:tc>
        <w:tc>
          <w:tcPr>
            <w:tcW w:w="706" w:type="dxa"/>
            <w:vMerge w:val="restart"/>
            <w:tcBorders>
              <w:tl2br w:val="nil"/>
              <w:tr2bl w:val="nil"/>
            </w:tcBorders>
            <w:noWrap w:val="0"/>
            <w:vAlign w:val="center"/>
          </w:tcPr>
          <w:p>
            <w:pPr>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水利工程供水</w:t>
            </w:r>
          </w:p>
        </w:tc>
        <w:tc>
          <w:tcPr>
            <w:tcW w:w="4889"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市内跨区和市属水利工程的供水价格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vMerge w:val="restart"/>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水利工程由用户自建自用和通过协议明确由</w:t>
            </w:r>
            <w:r>
              <w:rPr>
                <w:rFonts w:hint="eastAsia" w:ascii="仿宋_GB2312" w:hAnsi="仿宋_GB2312" w:eastAsia="仿宋_GB2312" w:cs="仿宋_GB2312"/>
                <w:kern w:val="0"/>
                <w:sz w:val="24"/>
                <w:highlight w:val="none"/>
                <w:lang w:eastAsia="zh-CN"/>
              </w:rPr>
              <w:t>供需</w:t>
            </w:r>
            <w:r>
              <w:rPr>
                <w:rFonts w:hint="eastAsia" w:ascii="仿宋_GB2312" w:hAnsi="仿宋_GB2312" w:eastAsia="仿宋_GB2312" w:cs="仿宋_GB2312"/>
                <w:kern w:val="0"/>
                <w:sz w:val="24"/>
                <w:highlight w:val="none"/>
              </w:rPr>
              <w:t>双方协商定价的部分除外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706" w:type="dxa"/>
            <w:vMerge w:val="continue"/>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c>
          <w:tcPr>
            <w:tcW w:w="4889"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区属水利工程的供水价格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授权区人民政府</w:t>
            </w:r>
          </w:p>
        </w:tc>
        <w:tc>
          <w:tcPr>
            <w:tcW w:w="4366" w:type="dxa"/>
            <w:vMerge w:val="continue"/>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自来水销售价格</w:t>
            </w:r>
          </w:p>
        </w:tc>
        <w:tc>
          <w:tcPr>
            <w:tcW w:w="2415"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农村村民自建、自管的自来水价格除外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1202"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输配电</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市级以下电网输配电价</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w:t>
            </w:r>
          </w:p>
        </w:tc>
        <w:tc>
          <w:tcPr>
            <w:tcW w:w="1202"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油气管道运输和燃气</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本市管道天然气城市管网配气价格和销售价格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各区辖区内管道液化石油气、压缩天然气销售价格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授权区人民政府</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市内管道运输价格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企业内部自用管道除外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w:t>
            </w:r>
          </w:p>
        </w:tc>
        <w:tc>
          <w:tcPr>
            <w:tcW w:w="1202"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供热</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本市常规电厂热力出厂价格</w:t>
            </w:r>
          </w:p>
        </w:tc>
        <w:tc>
          <w:tcPr>
            <w:tcW w:w="2415"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城市集中供热管网和区域锅炉供热销售价格</w:t>
            </w:r>
          </w:p>
        </w:tc>
        <w:tc>
          <w:tcPr>
            <w:tcW w:w="2415"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供方和非居民终端用户通过协议明确由双方协商定价的供热价格除外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1" w:type="dxa"/>
            <w:vMerge w:val="continue"/>
            <w:tcBorders>
              <w:tl2br w:val="nil"/>
              <w:tr2bl w:val="nil"/>
            </w:tcBorders>
            <w:noWrap w:val="0"/>
            <w:vAlign w:val="center"/>
          </w:tcPr>
          <w:p>
            <w:pPr>
              <w:widowControl/>
              <w:spacing w:line="320" w:lineRule="exact"/>
              <w:jc w:val="center"/>
              <w:rPr>
                <w:rFonts w:ascii="宋体" w:hAnsi="宋体" w:cs="宋体"/>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各区辖区内通过地热、热泵等新供热方式生产的供热销售价格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授权区人民政府</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供方和非居民终端用户通过协议明确由双方协商定价的供热价格除外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restart"/>
            <w:tcBorders>
              <w:tl2br w:val="nil"/>
              <w:tr2bl w:val="nil"/>
            </w:tcBorders>
            <w:noWrap w:val="0"/>
            <w:vAlign w:val="center"/>
          </w:tcPr>
          <w:p>
            <w:pPr>
              <w:widowControl/>
              <w:spacing w:line="280" w:lineRule="exact"/>
              <w:jc w:val="center"/>
              <w:rPr>
                <w:rFonts w:ascii="宋体" w:hAnsi="宋体" w:cs="宋体"/>
                <w:kern w:val="0"/>
                <w:sz w:val="24"/>
                <w:highlight w:val="none"/>
              </w:rPr>
            </w:pPr>
            <w:r>
              <w:rPr>
                <w:rFonts w:hint="eastAsia" w:ascii="宋体" w:hAnsi="宋体" w:cs="宋体"/>
                <w:kern w:val="0"/>
                <w:sz w:val="24"/>
                <w:highlight w:val="none"/>
              </w:rPr>
              <w:t>5</w:t>
            </w:r>
          </w:p>
        </w:tc>
        <w:tc>
          <w:tcPr>
            <w:tcW w:w="1202" w:type="dxa"/>
            <w:vMerge w:val="restart"/>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保障性</w:t>
            </w:r>
          </w:p>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住房</w:t>
            </w:r>
          </w:p>
        </w:tc>
        <w:tc>
          <w:tcPr>
            <w:tcW w:w="5595" w:type="dxa"/>
            <w:gridSpan w:val="2"/>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公有住房租金标准</w:t>
            </w:r>
          </w:p>
        </w:tc>
        <w:tc>
          <w:tcPr>
            <w:tcW w:w="2415" w:type="dxa"/>
            <w:vMerge w:val="restart"/>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市住房城乡建设主管部门会同市价格主管部门、市财政部门</w:t>
            </w:r>
          </w:p>
        </w:tc>
        <w:tc>
          <w:tcPr>
            <w:tcW w:w="4366" w:type="dxa"/>
            <w:vMerge w:val="restart"/>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1"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1202"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按国家房改政策出售的公有住房销售成本价格</w:t>
            </w:r>
          </w:p>
        </w:tc>
        <w:tc>
          <w:tcPr>
            <w:tcW w:w="2415"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lang w:eastAsia="zh-CN"/>
              </w:rPr>
            </w:pPr>
          </w:p>
        </w:tc>
        <w:tc>
          <w:tcPr>
            <w:tcW w:w="4366" w:type="dxa"/>
            <w:vMerge w:val="continue"/>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1"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1202"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保障性住房租金、销售价格</w:t>
            </w:r>
          </w:p>
        </w:tc>
        <w:tc>
          <w:tcPr>
            <w:tcW w:w="2415" w:type="dxa"/>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市住房城乡建设主管部门</w:t>
            </w:r>
          </w:p>
        </w:tc>
        <w:tc>
          <w:tcPr>
            <w:tcW w:w="4366"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保障性住房的租金标准或销售价格，由市住房城乡建设主管部门、相关区政府管理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vMerge w:val="restart"/>
            <w:tcBorders>
              <w:tl2br w:val="nil"/>
              <w:tr2bl w:val="nil"/>
            </w:tcBorders>
            <w:noWrap w:val="0"/>
            <w:vAlign w:val="center"/>
          </w:tcPr>
          <w:p>
            <w:pPr>
              <w:widowControl/>
              <w:spacing w:line="280" w:lineRule="exact"/>
              <w:jc w:val="center"/>
              <w:rPr>
                <w:rFonts w:ascii="宋体" w:hAnsi="宋体" w:cs="宋体"/>
                <w:kern w:val="0"/>
                <w:sz w:val="24"/>
                <w:highlight w:val="none"/>
              </w:rPr>
            </w:pPr>
            <w:r>
              <w:rPr>
                <w:rFonts w:hint="eastAsia" w:ascii="宋体" w:hAnsi="宋体" w:cs="宋体"/>
                <w:kern w:val="0"/>
                <w:sz w:val="24"/>
                <w:highlight w:val="none"/>
              </w:rPr>
              <w:t>6</w:t>
            </w:r>
          </w:p>
        </w:tc>
        <w:tc>
          <w:tcPr>
            <w:tcW w:w="1202" w:type="dxa"/>
            <w:vMerge w:val="restart"/>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rPr>
              <w:br w:type="textWrapping"/>
            </w:r>
            <w:r>
              <w:rPr>
                <w:rFonts w:hint="eastAsia" w:ascii="仿宋_GB2312" w:hAnsi="仿宋_GB2312" w:eastAsia="仿宋_GB2312" w:cs="仿宋_GB2312"/>
                <w:kern w:val="0"/>
                <w:sz w:val="24"/>
                <w:highlight w:val="none"/>
              </w:rPr>
              <w:t>运输</w:t>
            </w:r>
          </w:p>
        </w:tc>
        <w:tc>
          <w:tcPr>
            <w:tcW w:w="706" w:type="dxa"/>
            <w:vMerge w:val="restart"/>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车辆</w:t>
            </w:r>
          </w:p>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通行</w:t>
            </w:r>
          </w:p>
        </w:tc>
        <w:tc>
          <w:tcPr>
            <w:tcW w:w="4889"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本市行政区域内政府还贷公路车辆通行费</w:t>
            </w:r>
          </w:p>
        </w:tc>
        <w:tc>
          <w:tcPr>
            <w:tcW w:w="2415" w:type="dxa"/>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市交通主管部门会同市价格主管部门、市财政部门</w:t>
            </w:r>
          </w:p>
        </w:tc>
        <w:tc>
          <w:tcPr>
            <w:tcW w:w="4366"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1"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1202"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706" w:type="dxa"/>
            <w:vMerge w:val="continue"/>
            <w:tcBorders>
              <w:tl2br w:val="nil"/>
              <w:tr2bl w:val="nil"/>
            </w:tcBorders>
            <w:noWrap w:val="0"/>
            <w:vAlign w:val="center"/>
          </w:tcPr>
          <w:p>
            <w:pPr>
              <w:widowControl/>
              <w:spacing w:line="280" w:lineRule="exact"/>
              <w:jc w:val="left"/>
              <w:rPr>
                <w:rFonts w:ascii="宋体" w:hAnsi="宋体" w:cs="宋体"/>
                <w:kern w:val="0"/>
                <w:sz w:val="24"/>
                <w:highlight w:val="none"/>
              </w:rPr>
            </w:pPr>
          </w:p>
        </w:tc>
        <w:tc>
          <w:tcPr>
            <w:tcW w:w="4889"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本市行政区域内经营性公路车辆通行费</w:t>
            </w:r>
          </w:p>
        </w:tc>
        <w:tc>
          <w:tcPr>
            <w:tcW w:w="2415" w:type="dxa"/>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市交通主管部门会同市价格主管部门</w:t>
            </w:r>
          </w:p>
        </w:tc>
        <w:tc>
          <w:tcPr>
            <w:tcW w:w="4366"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1202"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706" w:type="dxa"/>
            <w:vMerge w:val="restart"/>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城市</w:t>
            </w:r>
          </w:p>
          <w:p>
            <w:pPr>
              <w:widowControl/>
              <w:spacing w:line="280" w:lineRule="exact"/>
              <w:jc w:val="left"/>
              <w:rPr>
                <w:rFonts w:ascii="宋体" w:hAnsi="宋体" w:cs="宋体"/>
                <w:kern w:val="0"/>
                <w:sz w:val="24"/>
                <w:highlight w:val="none"/>
              </w:rPr>
            </w:pPr>
            <w:r>
              <w:rPr>
                <w:rFonts w:hint="eastAsia" w:ascii="仿宋_GB2312" w:hAnsi="仿宋_GB2312" w:eastAsia="仿宋_GB2312" w:cs="仿宋_GB2312"/>
                <w:kern w:val="0"/>
                <w:sz w:val="24"/>
                <w:highlight w:val="none"/>
              </w:rPr>
              <w:t>客运</w:t>
            </w:r>
          </w:p>
        </w:tc>
        <w:tc>
          <w:tcPr>
            <w:tcW w:w="4889"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城市公共电汽车、轨道交通基础票价</w:t>
            </w:r>
          </w:p>
        </w:tc>
        <w:tc>
          <w:tcPr>
            <w:tcW w:w="2415" w:type="dxa"/>
            <w:vMerge w:val="restart"/>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p>
            <w:pPr>
              <w:widowControl/>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授权区人民政府</w:t>
            </w:r>
          </w:p>
        </w:tc>
        <w:tc>
          <w:tcPr>
            <w:tcW w:w="4366"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其中郊区客运票价授权区人民政府制定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1202" w:type="dxa"/>
            <w:vMerge w:val="continue"/>
            <w:tcBorders>
              <w:tl2br w:val="nil"/>
              <w:tr2bl w:val="nil"/>
            </w:tcBorders>
            <w:noWrap w:val="0"/>
            <w:vAlign w:val="center"/>
          </w:tcPr>
          <w:p>
            <w:pPr>
              <w:widowControl/>
              <w:spacing w:line="280" w:lineRule="exact"/>
              <w:jc w:val="center"/>
              <w:rPr>
                <w:rFonts w:ascii="宋体" w:hAnsi="宋体" w:cs="宋体"/>
                <w:kern w:val="0"/>
                <w:sz w:val="24"/>
                <w:highlight w:val="none"/>
              </w:rPr>
            </w:pPr>
          </w:p>
        </w:tc>
        <w:tc>
          <w:tcPr>
            <w:tcW w:w="706" w:type="dxa"/>
            <w:vMerge w:val="continue"/>
            <w:tcBorders>
              <w:tl2br w:val="nil"/>
              <w:tr2bl w:val="nil"/>
            </w:tcBorders>
            <w:noWrap w:val="0"/>
            <w:vAlign w:val="center"/>
          </w:tcPr>
          <w:p>
            <w:pPr>
              <w:widowControl/>
              <w:spacing w:line="280" w:lineRule="exact"/>
              <w:jc w:val="left"/>
              <w:rPr>
                <w:rFonts w:ascii="宋体" w:hAnsi="宋体" w:cs="宋体"/>
                <w:kern w:val="0"/>
                <w:sz w:val="24"/>
                <w:highlight w:val="none"/>
              </w:rPr>
            </w:pPr>
          </w:p>
        </w:tc>
        <w:tc>
          <w:tcPr>
            <w:tcW w:w="4889"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eastAsia="仿宋_GB2312"/>
                <w:bCs/>
                <w:sz w:val="24"/>
                <w:highlight w:val="none"/>
              </w:rPr>
              <w:t>客运出租汽车运价、燃油附加费标准</w:t>
            </w:r>
          </w:p>
        </w:tc>
        <w:tc>
          <w:tcPr>
            <w:tcW w:w="2415"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p>
        </w:tc>
        <w:tc>
          <w:tcPr>
            <w:tcW w:w="4366" w:type="dxa"/>
            <w:tcBorders>
              <w:tl2br w:val="nil"/>
              <w:tr2bl w:val="nil"/>
            </w:tcBorders>
            <w:noWrap w:val="0"/>
            <w:vAlign w:val="center"/>
          </w:tcPr>
          <w:p>
            <w:pPr>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网络预约出租汽车、旅游客运汽车除外。</w:t>
            </w:r>
          </w:p>
          <w:p>
            <w:pPr>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其中郊区区域运营电动小客车运价授权区人民政府制定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p>
        </w:tc>
        <w:tc>
          <w:tcPr>
            <w:tcW w:w="706" w:type="dxa"/>
            <w:vMerge w:val="restart"/>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车辆</w:t>
            </w:r>
          </w:p>
          <w:p>
            <w:pPr>
              <w:widowControl/>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停放</w:t>
            </w:r>
          </w:p>
        </w:tc>
        <w:tc>
          <w:tcPr>
            <w:tcW w:w="4889" w:type="dxa"/>
            <w:tcBorders>
              <w:tl2br w:val="nil"/>
              <w:tr2bl w:val="nil"/>
            </w:tcBorders>
            <w:noWrap w:val="0"/>
            <w:vAlign w:val="center"/>
          </w:tcPr>
          <w:p>
            <w:pPr>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驻车换乘停车场收费</w:t>
            </w:r>
          </w:p>
        </w:tc>
        <w:tc>
          <w:tcPr>
            <w:tcW w:w="2415" w:type="dxa"/>
            <w:tcBorders>
              <w:tl2br w:val="nil"/>
              <w:tr2bl w:val="nil"/>
            </w:tcBorders>
            <w:noWrap w:val="0"/>
            <w:vAlign w:val="center"/>
          </w:tcPr>
          <w:p>
            <w:pPr>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1"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280" w:lineRule="exact"/>
              <w:jc w:val="center"/>
              <w:rPr>
                <w:rFonts w:hint="eastAsia" w:ascii="仿宋_GB2312" w:hAnsi="仿宋_GB2312" w:eastAsia="仿宋_GB2312" w:cs="仿宋_GB2312"/>
                <w:kern w:val="0"/>
                <w:sz w:val="24"/>
                <w:highlight w:val="none"/>
              </w:rPr>
            </w:pPr>
          </w:p>
        </w:tc>
        <w:tc>
          <w:tcPr>
            <w:tcW w:w="706" w:type="dxa"/>
            <w:vMerge w:val="continue"/>
            <w:tcBorders>
              <w:tl2br w:val="nil"/>
              <w:tr2bl w:val="nil"/>
            </w:tcBorders>
            <w:noWrap w:val="0"/>
            <w:vAlign w:val="center"/>
          </w:tcPr>
          <w:p>
            <w:pPr>
              <w:widowControl/>
              <w:spacing w:line="280" w:lineRule="exact"/>
              <w:jc w:val="left"/>
              <w:rPr>
                <w:rFonts w:hint="eastAsia" w:ascii="仿宋_GB2312" w:hAnsi="仿宋_GB2312" w:eastAsia="仿宋_GB2312" w:cs="仿宋_GB2312"/>
                <w:kern w:val="0"/>
                <w:sz w:val="24"/>
                <w:highlight w:val="none"/>
              </w:rPr>
            </w:pPr>
          </w:p>
        </w:tc>
        <w:tc>
          <w:tcPr>
            <w:tcW w:w="4889" w:type="dxa"/>
            <w:tcBorders>
              <w:tl2br w:val="nil"/>
              <w:tr2bl w:val="nil"/>
            </w:tcBorders>
            <w:noWrap w:val="0"/>
            <w:vAlign w:val="center"/>
          </w:tcPr>
          <w:p>
            <w:pPr>
              <w:spacing w:line="28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道路停车占道费</w:t>
            </w:r>
          </w:p>
        </w:tc>
        <w:tc>
          <w:tcPr>
            <w:tcW w:w="2415" w:type="dxa"/>
            <w:tcBorders>
              <w:tl2br w:val="nil"/>
              <w:tr2bl w:val="nil"/>
            </w:tcBorders>
            <w:noWrap w:val="0"/>
            <w:vAlign w:val="center"/>
          </w:tcPr>
          <w:p>
            <w:pPr>
              <w:spacing w:line="28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市价格主管部门会同市财政部门、市交通主管部门</w:t>
            </w:r>
          </w:p>
        </w:tc>
        <w:tc>
          <w:tcPr>
            <w:tcW w:w="4366" w:type="dxa"/>
            <w:tcBorders>
              <w:tl2br w:val="nil"/>
              <w:tr2bl w:val="nil"/>
            </w:tcBorders>
            <w:noWrap w:val="0"/>
            <w:vAlign w:val="center"/>
          </w:tcPr>
          <w:p>
            <w:pPr>
              <w:spacing w:line="28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21"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w:t>
            </w:r>
          </w:p>
        </w:tc>
        <w:tc>
          <w:tcPr>
            <w:tcW w:w="1202"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教育</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列入本市教育行政主管部门颁布的中小学用书目录的教材和进入市教育行政主管部门评议公告的教辅材料印张单价和零售价格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市价格主管部门会同</w:t>
            </w:r>
          </w:p>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市出版行政部门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公办全日制学历教育（包括高等教育、中等职业教育、普通高中）、公办成人学历教育学费</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公办全日制幼儿园保育教育费</w:t>
            </w:r>
          </w:p>
        </w:tc>
        <w:tc>
          <w:tcPr>
            <w:tcW w:w="2415"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市价格主管部门会同</w:t>
            </w:r>
          </w:p>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市财政部门</w:t>
            </w:r>
          </w:p>
        </w:tc>
        <w:tc>
          <w:tcPr>
            <w:tcW w:w="4366" w:type="dxa"/>
            <w:vMerge w:val="restart"/>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公办全日制学历教育不包括中外合作办学项目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公办全日制学历教育（包括高等教育、中等职业教育）、公办全日制幼儿园住宿费</w:t>
            </w:r>
          </w:p>
        </w:tc>
        <w:tc>
          <w:tcPr>
            <w:tcW w:w="2415"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4366" w:type="dxa"/>
            <w:vMerge w:val="continue"/>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公办中小学教育、公办成人学历教育住宿费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授权区人民政府</w:t>
            </w:r>
          </w:p>
        </w:tc>
        <w:tc>
          <w:tcPr>
            <w:tcW w:w="4366" w:type="dxa"/>
            <w:tcBorders>
              <w:tl2br w:val="nil"/>
              <w:tr2bl w:val="nil"/>
            </w:tcBorders>
            <w:noWrap w:val="0"/>
            <w:vAlign w:val="center"/>
          </w:tcPr>
          <w:p>
            <w:pPr>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240" w:lineRule="auto"/>
              <w:jc w:val="left"/>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sz w:val="24"/>
                <w:highlight w:val="none"/>
              </w:rPr>
              <w:t>义务教育阶段学科类校外培训收费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sz w:val="24"/>
                <w:highlight w:val="none"/>
              </w:rPr>
              <w:t>市价格主管部门会同市教育行政部门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lang w:eastAsia="zh-CN"/>
              </w:rPr>
              <w:t>对</w:t>
            </w:r>
            <w:r>
              <w:rPr>
                <w:rFonts w:hint="eastAsia" w:ascii="仿宋_GB2312" w:hAnsi="仿宋_GB2312" w:eastAsia="仿宋_GB2312" w:cs="仿宋_GB2312"/>
                <w:sz w:val="24"/>
                <w:highlight w:val="none"/>
              </w:rPr>
              <w:t>面向普通高中学生的学科类校外培训收费的管理，参照执行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1"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w:t>
            </w:r>
          </w:p>
        </w:tc>
        <w:tc>
          <w:tcPr>
            <w:tcW w:w="1202"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医疗</w:t>
            </w:r>
          </w:p>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服务</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公立医疗机构提供的基本医疗服务价格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市医疗保障部门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9</w:t>
            </w:r>
          </w:p>
        </w:tc>
        <w:tc>
          <w:tcPr>
            <w:tcW w:w="1202"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环境</w:t>
            </w:r>
          </w:p>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保护</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spacing w:val="-10"/>
                <w:kern w:val="0"/>
                <w:sz w:val="24"/>
                <w:szCs w:val="24"/>
                <w:highlight w:val="none"/>
                <w:lang w:val="en-US" w:eastAsia="zh-CN" w:bidi="ar-SA"/>
              </w:rPr>
            </w:pPr>
            <w:r>
              <w:rPr>
                <w:rFonts w:hint="eastAsia" w:ascii="仿宋_GB2312" w:hAnsi="仿宋_GB2312" w:eastAsia="仿宋_GB2312" w:cs="仿宋_GB2312"/>
                <w:spacing w:val="-10"/>
                <w:kern w:val="0"/>
                <w:sz w:val="24"/>
                <w:highlight w:val="none"/>
                <w:lang w:eastAsia="zh-CN"/>
              </w:rPr>
              <w:t>污水处理费</w:t>
            </w:r>
          </w:p>
        </w:tc>
        <w:tc>
          <w:tcPr>
            <w:tcW w:w="2415" w:type="dxa"/>
            <w:tcBorders>
              <w:tl2br w:val="nil"/>
              <w:tr2bl w:val="nil"/>
            </w:tcBorders>
            <w:noWrap w:val="0"/>
            <w:vAlign w:val="center"/>
          </w:tcPr>
          <w:p>
            <w:pPr>
              <w:widowControl/>
              <w:spacing w:line="320" w:lineRule="exact"/>
              <w:jc w:val="center"/>
              <w:rPr>
                <w:rFonts w:hint="eastAsia" w:ascii="仿宋_GB2312" w:hAnsi="Calibri" w:eastAsia="仿宋_GB2312"/>
                <w:bCs/>
                <w:kern w:val="2"/>
                <w:sz w:val="24"/>
                <w:szCs w:val="24"/>
                <w:highlight w:val="none"/>
                <w:lang w:val="en-US" w:eastAsia="zh-CN" w:bidi="ar-SA"/>
              </w:rPr>
            </w:pPr>
            <w:r>
              <w:rPr>
                <w:rFonts w:hint="eastAsia" w:ascii="仿宋_GB2312" w:eastAsia="仿宋_GB2312"/>
                <w:bCs/>
                <w:sz w:val="24"/>
                <w:highlight w:val="none"/>
                <w:lang w:val="en-US" w:eastAsia="zh-CN"/>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生活垃圾处理收费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eastAsia="仿宋_GB2312"/>
                <w:bCs/>
                <w:sz w:val="24"/>
                <w:highlight w:val="none"/>
              </w:rPr>
              <w:t>市价格主管部门会同市城市管理部门、市财政部门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pacing w:val="-10"/>
                <w:kern w:val="0"/>
                <w:sz w:val="24"/>
                <w:highlight w:val="none"/>
              </w:rPr>
              <w:t>医疗废物处置收费</w:t>
            </w:r>
          </w:p>
        </w:tc>
        <w:tc>
          <w:tcPr>
            <w:tcW w:w="2415" w:type="dxa"/>
            <w:tcBorders>
              <w:tl2br w:val="nil"/>
              <w:tr2bl w:val="nil"/>
            </w:tcBorders>
            <w:noWrap w:val="0"/>
            <w:vAlign w:val="center"/>
          </w:tcPr>
          <w:p>
            <w:pPr>
              <w:widowControl/>
              <w:spacing w:line="320" w:lineRule="exact"/>
              <w:jc w:val="center"/>
              <w:rPr>
                <w:rFonts w:hint="eastAsia" w:ascii="仿宋_GB2312" w:eastAsia="仿宋_GB2312"/>
                <w:bCs/>
                <w:sz w:val="24"/>
                <w:highlight w:val="none"/>
                <w:lang w:val="en-US" w:eastAsia="zh-CN"/>
              </w:rPr>
            </w:pPr>
            <w:r>
              <w:rPr>
                <w:rFonts w:hint="eastAsia" w:ascii="仿宋_GB2312" w:eastAsia="仿宋_GB2312"/>
                <w:bCs/>
                <w:sz w:val="24"/>
                <w:highlight w:val="none"/>
                <w:lang w:val="en-US" w:eastAsia="zh-CN"/>
              </w:rPr>
              <w:t>市价格主管部门会同市生态环境部门、市卫生健康部门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pacing w:val="-10"/>
                <w:kern w:val="0"/>
                <w:sz w:val="24"/>
                <w:highlight w:val="none"/>
              </w:rPr>
              <w:t>定价范围仅包括医疗废物处置环节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restart"/>
            <w:tcBorders>
              <w:tl2br w:val="nil"/>
              <w:tr2bl w:val="nil"/>
            </w:tcBorders>
            <w:noWrap w:val="0"/>
            <w:vAlign w:val="center"/>
          </w:tcPr>
          <w:p>
            <w:pPr>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c>
          <w:tcPr>
            <w:tcW w:w="1202"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文化</w:t>
            </w:r>
          </w:p>
          <w:p>
            <w:pPr>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旅游</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有线电视基本收视维护费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vMerge w:val="restart"/>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利用公共资源建设的景区门票价格以及景区内的游览场所、交通</w:t>
            </w:r>
            <w:r>
              <w:rPr>
                <w:rFonts w:hint="eastAsia" w:ascii="仿宋_GB2312" w:hAnsi="仿宋_GB2312" w:eastAsia="仿宋_GB2312" w:cs="仿宋_GB2312"/>
                <w:kern w:val="0"/>
                <w:sz w:val="24"/>
                <w:highlight w:val="none"/>
                <w:lang w:eastAsia="zh-CN"/>
              </w:rPr>
              <w:t>运输服务价格</w:t>
            </w:r>
          </w:p>
        </w:tc>
        <w:tc>
          <w:tcPr>
            <w:tcW w:w="2415"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spacing w:val="-10"/>
                <w:kern w:val="0"/>
                <w:sz w:val="24"/>
                <w:highlight w:val="none"/>
                <w:lang w:eastAsia="zh-CN"/>
              </w:rPr>
            </w:pPr>
            <w:r>
              <w:rPr>
                <w:rFonts w:hint="eastAsia" w:ascii="仿宋_GB2312" w:hAnsi="仿宋_GB2312" w:eastAsia="仿宋_GB2312" w:cs="仿宋_GB2312"/>
                <w:spacing w:val="-10"/>
                <w:kern w:val="0"/>
                <w:sz w:val="24"/>
                <w:highlight w:val="none"/>
              </w:rPr>
              <w:t>定价范围包括故宫、十三陵、八达岭长城、颐和园、天坛公园、北京植物园、北京动物园、香山公园、北海公园、景山公园、陶然亭公园、玉渊潭公园、中山公园</w:t>
            </w:r>
            <w:r>
              <w:rPr>
                <w:rFonts w:hint="eastAsia" w:ascii="仿宋_GB2312" w:hAnsi="仿宋_GB2312" w:eastAsia="仿宋_GB2312" w:cs="仿宋_GB2312"/>
                <w:spacing w:val="-10"/>
                <w:kern w:val="0"/>
                <w:sz w:val="24"/>
                <w:highlight w:val="none"/>
                <w:lang w:eastAsia="zh-CN"/>
              </w:rPr>
              <w:t>；</w:t>
            </w:r>
          </w:p>
          <w:p>
            <w:pPr>
              <w:widowControl/>
              <w:spacing w:line="320" w:lineRule="exact"/>
              <w:jc w:val="left"/>
              <w:rPr>
                <w:rFonts w:hint="eastAsia" w:ascii="仿宋_GB2312" w:hAnsi="仿宋_GB2312" w:eastAsia="仿宋_GB2312" w:cs="仿宋_GB2312"/>
                <w:spacing w:val="-10"/>
                <w:kern w:val="0"/>
                <w:sz w:val="24"/>
                <w:highlight w:val="none"/>
                <w:lang w:val="en-US" w:eastAsia="zh-CN"/>
              </w:rPr>
            </w:pPr>
            <w:r>
              <w:rPr>
                <w:rFonts w:hint="eastAsia" w:ascii="仿宋_GB2312" w:hAnsi="仿宋_GB2312" w:eastAsia="仿宋_GB2312" w:cs="仿宋_GB2312"/>
                <w:spacing w:val="-10"/>
                <w:kern w:val="0"/>
                <w:sz w:val="24"/>
                <w:highlight w:val="none"/>
                <w:lang w:eastAsia="zh-CN"/>
              </w:rPr>
              <w:t>形成竞争的交通运输服务除外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区辖区内市价格主管部门定价范围以外的，利用公共资源建设的景区的门票以及景区内的游览场所、交通</w:t>
            </w:r>
            <w:r>
              <w:rPr>
                <w:rFonts w:hint="eastAsia" w:ascii="仿宋_GB2312" w:hAnsi="仿宋_GB2312" w:eastAsia="仿宋_GB2312" w:cs="仿宋_GB2312"/>
                <w:kern w:val="0"/>
                <w:sz w:val="24"/>
                <w:highlight w:val="none"/>
                <w:lang w:eastAsia="zh-CN"/>
              </w:rPr>
              <w:t>运输服务价格</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授权区人民政府</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pacing w:val="-10"/>
                <w:kern w:val="0"/>
                <w:sz w:val="24"/>
                <w:highlight w:val="none"/>
                <w:lang w:eastAsia="zh-CN"/>
              </w:rPr>
              <w:t>形成竞争的交通运输服务除外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1"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w:t>
            </w:r>
          </w:p>
        </w:tc>
        <w:tc>
          <w:tcPr>
            <w:tcW w:w="1202"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基本养老服务</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政府投资建设并运营管理的养老服务机构的基本养老服务费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市民政主管部门、</w:t>
            </w:r>
          </w:p>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授权区人民政府</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定价范围包括床位费、生活照料费。其中街道（乡镇）属和区属公办养老机构基本养老服务费授权区人民政府制定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1"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w:t>
            </w:r>
          </w:p>
        </w:tc>
        <w:tc>
          <w:tcPr>
            <w:tcW w:w="1202" w:type="dxa"/>
            <w:vMerge w:val="restart"/>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殡葬服务</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殡葬基本服务收费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市民政主管部门会同市价格主管部门、市财政部门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定价范围包括遗体接运费、存放冷藏费（含医院太平间）、火化费、骨灰存放费（民政部门提供的除墓地外的骨灰存放服务）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殡葬其他服务收费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市民政主管部门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定价范围包括有偿服务公墓墓穴租赁费、管理费，遗体整容、遗体防腐、吊唁设施及设备租赁费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1202" w:type="dxa"/>
            <w:vMerge w:val="continue"/>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回民殡葬基本服务收费</w:t>
            </w:r>
          </w:p>
        </w:tc>
        <w:tc>
          <w:tcPr>
            <w:tcW w:w="241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市民族事务主管部门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定价范围包括墓穴占地费、墓穴管理费、遗体接运费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noWrap w:val="0"/>
            <w:vAlign w:val="center"/>
          </w:tcPr>
          <w:p>
            <w:pPr>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w:t>
            </w:r>
          </w:p>
        </w:tc>
        <w:tc>
          <w:tcPr>
            <w:tcW w:w="1202" w:type="dxa"/>
            <w:tcBorders>
              <w:tl2br w:val="nil"/>
              <w:tr2bl w:val="nil"/>
            </w:tcBorders>
            <w:noWrap w:val="0"/>
            <w:vAlign w:val="center"/>
          </w:tcPr>
          <w:p>
            <w:pPr>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重要专业服务</w:t>
            </w:r>
          </w:p>
        </w:tc>
        <w:tc>
          <w:tcPr>
            <w:tcW w:w="5595" w:type="dxa"/>
            <w:gridSpan w:val="2"/>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司法服务收费</w:t>
            </w:r>
          </w:p>
        </w:tc>
        <w:tc>
          <w:tcPr>
            <w:tcW w:w="2415" w:type="dxa"/>
            <w:tcBorders>
              <w:tl2br w:val="nil"/>
              <w:tr2bl w:val="nil"/>
            </w:tcBorders>
            <w:noWrap w:val="0"/>
            <w:vAlign w:val="center"/>
          </w:tcPr>
          <w:p>
            <w:pPr>
              <w:spacing w:line="32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市价格主管部门会同市司法行政部门</w:t>
            </w:r>
          </w:p>
        </w:tc>
        <w:tc>
          <w:tcPr>
            <w:tcW w:w="4366" w:type="dxa"/>
            <w:tcBorders>
              <w:tl2br w:val="nil"/>
              <w:tr2bl w:val="nil"/>
            </w:tcBorders>
            <w:noWrap w:val="0"/>
            <w:vAlign w:val="center"/>
          </w:tcPr>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定价范围包括公证服务收费和司法鉴定服务收费。</w:t>
            </w:r>
          </w:p>
          <w:p>
            <w:pPr>
              <w:widowControl/>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其中，公证服务具体收费项目目录由市价格主管部门会同市司法行政部门制定公布。</w:t>
            </w:r>
          </w:p>
          <w:p>
            <w:pPr>
              <w:spacing w:line="32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司法鉴定服务收费定价范围包括为本市各级人民法院审判工作提供的法医类、物证类、声像资料类司法鉴定收费</w:t>
            </w:r>
          </w:p>
        </w:tc>
      </w:tr>
    </w:tbl>
    <w:p>
      <w:pPr>
        <w:widowControl/>
        <w:ind w:left="0" w:firstLine="0" w:firstLineChars="0"/>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rPr>
        <w:t>说明：一、本定价目录不包含中央定价项目内容，在本市行政区域内凡涉及中央定价（国家发展改革委和国务院有关部门）的定价项目、定价内容一律按中央定价目录执行。</w:t>
      </w:r>
    </w:p>
    <w:p>
      <w:pPr>
        <w:widowControl/>
        <w:ind w:firstLine="720" w:firstLineChars="3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二、列入本目录的定价内容，包括定价项目的具体价格、收费标准、基准价及浮动幅度以及相关的定价机制、办法、规则等。</w:t>
      </w:r>
      <w:r>
        <w:rPr>
          <w:rFonts w:hint="eastAsia" w:ascii="仿宋_GB2312" w:hAnsi="仿宋_GB2312" w:eastAsia="仿宋_GB2312" w:cs="仿宋_GB2312"/>
          <w:kern w:val="0"/>
          <w:sz w:val="24"/>
          <w:highlight w:val="none"/>
          <w:lang w:eastAsia="zh-CN"/>
        </w:rPr>
        <w:t>对涉及民生的价格和收费，充分考虑社会承受能力，进行合理监管，保障困难群众生活。</w:t>
      </w:r>
    </w:p>
    <w:p>
      <w:pPr>
        <w:widowControl/>
        <w:ind w:firstLine="720" w:firstLineChars="3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三、法律、行政法规明确规定实行政府定价、政府指导价的项目，自动进入本目录；法律、行政法规明确规定实行市场调节价的项目，自动退出本目录。</w:t>
      </w:r>
      <w:r>
        <w:rPr>
          <w:rFonts w:hint="eastAsia" w:ascii="仿宋_GB2312" w:hAnsi="仿宋_GB2312" w:eastAsia="仿宋_GB2312" w:cs="仿宋_GB2312"/>
          <w:kern w:val="0"/>
          <w:sz w:val="24"/>
          <w:highlight w:val="none"/>
          <w:lang w:eastAsia="zh-CN"/>
        </w:rPr>
        <w:t>根据价格领域简政放权、放管结合、优化服务等改革进展，定期修订本目录。</w:t>
      </w:r>
      <w:r>
        <w:rPr>
          <w:rFonts w:hint="eastAsia" w:ascii="仿宋_GB2312" w:hAnsi="仿宋_GB2312" w:eastAsia="仿宋_GB2312" w:cs="仿宋_GB2312"/>
          <w:kern w:val="0"/>
          <w:sz w:val="24"/>
          <w:highlight w:val="none"/>
        </w:rPr>
        <w:t>按规定需报市人民政府批准的定价项目，按程序上报市人民政府。</w:t>
      </w:r>
    </w:p>
    <w:p>
      <w:pPr>
        <w:widowControl/>
        <w:ind w:firstLine="720" w:firstLineChars="3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四、</w:t>
      </w:r>
      <w:r>
        <w:rPr>
          <w:rFonts w:hint="eastAsia" w:ascii="仿宋_GB2312" w:hAnsi="仿宋_GB2312" w:eastAsia="仿宋_GB2312" w:cs="仿宋_GB2312"/>
          <w:kern w:val="0"/>
          <w:sz w:val="24"/>
          <w:highlight w:val="none"/>
          <w:lang w:eastAsia="zh-CN"/>
        </w:rPr>
        <w:t>尚未通过市场交易形成价格、在市内消纳的水电、气电等非中央定价项目的电量上网电价由市价格主管部门制定，尚未通过市场交易形成价格的销售电价暂按现行办法管理，视电力市场化改革进程适时放开由市场形成。居民、农业等优先购电电量的销售电价，由国务院价格主管部门制定定价原则和总体水平，市价格主管部门制定具体价格水平。高可靠性供电费、系统备用费暂按现行办法管理，由市价格主管部门制定。</w:t>
      </w:r>
    </w:p>
    <w:p>
      <w:pPr>
        <w:widowControl/>
        <w:ind w:firstLine="720" w:firstLineChars="3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五、有线电视相关收费（网络工程、入网、搬迁</w:t>
      </w:r>
      <w:r>
        <w:rPr>
          <w:rFonts w:ascii="仿宋_GB2312" w:hAnsi="仿宋_GB2312" w:eastAsia="仿宋_GB2312" w:cs="仿宋_GB2312"/>
          <w:kern w:val="0"/>
          <w:sz w:val="24"/>
          <w:highlight w:val="none"/>
        </w:rPr>
        <w:t>、停、复收费</w:t>
      </w:r>
      <w:r>
        <w:rPr>
          <w:rFonts w:hint="eastAsia" w:ascii="仿宋_GB2312" w:hAnsi="仿宋_GB2312" w:eastAsia="仿宋_GB2312" w:cs="仿宋_GB2312"/>
          <w:kern w:val="0"/>
          <w:sz w:val="24"/>
          <w:highlight w:val="none"/>
        </w:rPr>
        <w:t>）暂按现行办法管理。</w:t>
      </w:r>
    </w:p>
    <w:p>
      <w:pPr>
        <w:widowControl/>
        <w:ind w:firstLine="720" w:firstLineChars="3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六、</w:t>
      </w:r>
      <w:r>
        <w:rPr>
          <w:rFonts w:hint="eastAsia" w:ascii="仿宋_GB2312" w:hAnsi="仿宋_GB2312" w:eastAsia="仿宋_GB2312" w:cs="仿宋_GB2312"/>
          <w:i w:val="0"/>
          <w:iCs w:val="0"/>
          <w:caps w:val="0"/>
          <w:spacing w:val="0"/>
          <w:kern w:val="0"/>
          <w:sz w:val="24"/>
          <w:szCs w:val="24"/>
          <w:highlight w:val="none"/>
          <w:shd w:val="clear" w:color="auto" w:fill="auto"/>
        </w:rPr>
        <w:t>成品油价格</w:t>
      </w:r>
      <w:r>
        <w:rPr>
          <w:rFonts w:hint="eastAsia" w:ascii="仿宋_GB2312" w:hAnsi="仿宋_GB2312" w:eastAsia="仿宋_GB2312" w:cs="仿宋_GB2312"/>
          <w:kern w:val="0"/>
          <w:sz w:val="24"/>
          <w:highlight w:val="none"/>
        </w:rPr>
        <w:t>继续按照现行办法管理。</w:t>
      </w:r>
    </w:p>
    <w:p>
      <w:pPr>
        <w:widowControl/>
        <w:ind w:firstLine="720" w:firstLineChars="300"/>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七、行政事业性收费项目和标准的审批属于政府内部审批事项，继续按现行办法管理。</w:t>
      </w:r>
    </w:p>
    <w:p>
      <w:pPr>
        <w:rPr>
          <w:highlight w:val="none"/>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367F2"/>
    <w:rsid w:val="30B36775"/>
    <w:rsid w:val="4233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样式2"/>
    <w:basedOn w:val="1"/>
    <w:qFormat/>
    <w:uiPriority w:val="0"/>
    <w:rPr>
      <w:rFonts w:asciiTheme="minorAscii" w:hAnsiTheme="minorAscii"/>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2021-09-24T03:22:00Z</dcterms:created>
  <dc:creator>张宇琪</dc:creator>
  <cp:lastModifiedBy>张宇琪</cp:lastModifiedBy>
  <dcterms:modified xsi:type="dcterms:W3CDTF">2021-09-24T03:23:35Z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8C4D3A0F9D6A41AD9CE70DE1167D9631</vt:lpwstr>
  </property>
</Properties>
</file>