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color w:val="000000"/>
          <w:sz w:val="44"/>
          <w:szCs w:val="44"/>
          <w:u w:val="none"/>
          <w:lang w:val="en-US" w:eastAsia="zh-CN"/>
        </w:rPr>
      </w:pPr>
      <w:r>
        <w:rPr>
          <w:rFonts w:hint="eastAsia" w:ascii="宋体" w:hAnsi="宋体" w:eastAsia="方正小标宋简体" w:cs="方正小标宋简体"/>
          <w:b w:val="0"/>
          <w:bCs w:val="0"/>
          <w:color w:val="000000"/>
          <w:sz w:val="44"/>
          <w:szCs w:val="44"/>
          <w:u w:val="none"/>
          <w:lang w:val="en-US" w:eastAsia="zh-CN"/>
        </w:rPr>
        <w:t>北京市电动汽车</w:t>
      </w:r>
      <w:r>
        <w:rPr>
          <w:rFonts w:hint="eastAsia" w:eastAsia="方正小标宋简体" w:cs="方正小标宋简体"/>
          <w:b w:val="0"/>
          <w:bCs w:val="0"/>
          <w:color w:val="000000"/>
          <w:sz w:val="44"/>
          <w:szCs w:val="44"/>
          <w:u w:val="none"/>
          <w:lang w:val="en-US" w:eastAsia="zh-CN"/>
        </w:rPr>
        <w:t>社会公用</w:t>
      </w:r>
      <w:r>
        <w:rPr>
          <w:rFonts w:hint="eastAsia" w:ascii="宋体" w:hAnsi="宋体" w:eastAsia="方正小标宋简体" w:cs="方正小标宋简体"/>
          <w:b w:val="0"/>
          <w:bCs w:val="0"/>
          <w:color w:val="000000"/>
          <w:sz w:val="44"/>
          <w:szCs w:val="44"/>
          <w:u w:val="none"/>
          <w:lang w:val="en-US" w:eastAsia="zh-CN"/>
        </w:rPr>
        <w:t>充换电设施</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color w:val="000000"/>
          <w:sz w:val="44"/>
          <w:szCs w:val="44"/>
          <w:u w:val="none"/>
          <w:lang w:val="en-US" w:eastAsia="zh-CN"/>
        </w:rPr>
      </w:pPr>
      <w:r>
        <w:rPr>
          <w:rFonts w:hint="eastAsia" w:ascii="宋体" w:hAnsi="宋体" w:eastAsia="方正小标宋简体" w:cs="方正小标宋简体"/>
          <w:b w:val="0"/>
          <w:bCs w:val="0"/>
          <w:color w:val="000000"/>
          <w:sz w:val="44"/>
          <w:szCs w:val="44"/>
          <w:u w:val="none"/>
          <w:lang w:val="en-US" w:eastAsia="zh-CN"/>
        </w:rPr>
        <w:t>运营考核奖励</w:t>
      </w:r>
      <w:r>
        <w:rPr>
          <w:rFonts w:hint="eastAsia" w:eastAsia="方正小标宋简体" w:cs="方正小标宋简体"/>
          <w:b w:val="0"/>
          <w:bCs w:val="0"/>
          <w:color w:val="000000"/>
          <w:sz w:val="44"/>
          <w:szCs w:val="44"/>
          <w:u w:val="none"/>
          <w:lang w:val="en-US" w:eastAsia="zh-CN"/>
        </w:rPr>
        <w:t>暂行</w:t>
      </w:r>
      <w:r>
        <w:rPr>
          <w:rFonts w:hint="eastAsia" w:ascii="宋体" w:hAnsi="宋体" w:eastAsia="方正小标宋简体" w:cs="方正小标宋简体"/>
          <w:b w:val="0"/>
          <w:bCs w:val="0"/>
          <w:color w:val="000000"/>
          <w:sz w:val="44"/>
          <w:szCs w:val="44"/>
          <w:u w:val="none"/>
          <w:lang w:val="en-US" w:eastAsia="zh-CN"/>
        </w:rPr>
        <w:t>办法</w:t>
      </w:r>
    </w:p>
    <w:p>
      <w:pPr>
        <w:pStyle w:val="2"/>
        <w:keepNext w:val="0"/>
        <w:keepLines w:val="0"/>
        <w:pageBreakBefore w:val="0"/>
        <w:kinsoku/>
        <w:overflowPunct/>
        <w:topLinePunct w:val="0"/>
        <w:autoSpaceDE/>
        <w:autoSpaceDN/>
        <w:bidi w:val="0"/>
        <w:adjustRightInd/>
        <w:snapToGrid/>
        <w:spacing w:after="0" w:afterLines="0" w:line="560" w:lineRule="exact"/>
        <w:ind w:right="0" w:rightChars="0"/>
        <w:jc w:val="center"/>
        <w:textAlignment w:val="auto"/>
        <w:outlineLvl w:val="9"/>
        <w:rPr>
          <w:rFonts w:hint="eastAsia" w:ascii="宋体" w:hAnsi="宋体" w:eastAsia="仿宋_GB2312"/>
          <w:b w:val="0"/>
          <w:bCs w:val="0"/>
          <w:color w:val="000000"/>
          <w:sz w:val="32"/>
          <w:szCs w:val="32"/>
          <w:u w:val="none"/>
          <w:lang w:val="en-US" w:eastAsia="zh-CN"/>
        </w:rPr>
      </w:pPr>
      <w:r>
        <w:rPr>
          <w:rFonts w:hint="eastAsia"/>
          <w:b w:val="0"/>
          <w:bCs w:val="0"/>
          <w:color w:val="000000"/>
          <w:sz w:val="32"/>
          <w:szCs w:val="32"/>
          <w:u w:val="none"/>
          <w:lang w:val="en-US" w:eastAsia="zh-CN"/>
        </w:rPr>
        <w:t>（征求意见稿）</w:t>
      </w:r>
    </w:p>
    <w:p>
      <w:pPr>
        <w:pStyle w:val="3"/>
        <w:rPr>
          <w:rFonts w:hint="eastAsia"/>
          <w:lang w:val="en-US" w:eastAsia="zh-CN"/>
        </w:rPr>
      </w:pPr>
    </w:p>
    <w:p>
      <w:pPr>
        <w:pStyle w:val="2"/>
        <w:keepNext w:val="0"/>
        <w:keepLines w:val="0"/>
        <w:pageBreakBefore w:val="0"/>
        <w:numPr>
          <w:ilvl w:val="0"/>
          <w:numId w:val="1"/>
        </w:numPr>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b w:val="0"/>
          <w:bCs w:val="0"/>
          <w:color w:val="000000"/>
          <w:sz w:val="32"/>
          <w:szCs w:val="32"/>
          <w:u w:val="none"/>
          <w:lang w:val="en-US" w:eastAsia="zh-CN"/>
        </w:rPr>
        <w:t xml:space="preserve"> </w:t>
      </w:r>
      <w:r>
        <w:rPr>
          <w:rFonts w:hint="eastAsia" w:cs="Times New Roman"/>
          <w:b w:val="0"/>
          <w:bCs w:val="0"/>
          <w:color w:val="000000"/>
          <w:sz w:val="32"/>
          <w:szCs w:val="32"/>
          <w:u w:val="none"/>
          <w:lang w:val="en-US" w:eastAsia="zh-CN"/>
        </w:rPr>
        <w:t>根据国务院办公厅《新能源汽车产业发展规划（2021-2035）》、财政部等五部门《关于“十三五”新能源汽车充电基础设施奖励政策及加强新能</w:t>
      </w:r>
      <w:r>
        <w:rPr>
          <w:rFonts w:hint="eastAsia" w:ascii="宋体" w:hAnsi="宋体" w:eastAsia="仿宋_GB2312"/>
          <w:b w:val="0"/>
          <w:bCs w:val="0"/>
          <w:color w:val="000000"/>
          <w:sz w:val="32"/>
          <w:szCs w:val="32"/>
          <w:u w:val="none"/>
          <w:lang w:val="en-US" w:eastAsia="zh-CN"/>
        </w:rPr>
        <w:t>源汽车推广应用的通知》（财建〔2016〕7号）</w:t>
      </w:r>
      <w:r>
        <w:rPr>
          <w:rFonts w:hint="eastAsia"/>
          <w:b w:val="0"/>
          <w:bCs w:val="0"/>
          <w:color w:val="000000"/>
          <w:sz w:val="32"/>
          <w:szCs w:val="32"/>
          <w:u w:val="none"/>
          <w:lang w:val="en-US" w:eastAsia="zh-CN"/>
        </w:rPr>
        <w:t>、市政府办公厅《关于进一步加强电动汽车充电基础设施建设和管理的实施意见》（京政办发〔2017〕36号）</w:t>
      </w:r>
      <w:r>
        <w:rPr>
          <w:rFonts w:hint="eastAsia" w:ascii="宋体" w:hAnsi="宋体" w:eastAsia="仿宋_GB2312"/>
          <w:b w:val="0"/>
          <w:bCs w:val="0"/>
          <w:color w:val="000000"/>
          <w:sz w:val="32"/>
          <w:szCs w:val="32"/>
          <w:u w:val="none"/>
          <w:lang w:val="en-US" w:eastAsia="zh-CN"/>
        </w:rPr>
        <w:t>及新型基础设施建设</w:t>
      </w:r>
      <w:r>
        <w:rPr>
          <w:rFonts w:hint="eastAsia"/>
          <w:b w:val="0"/>
          <w:bCs w:val="0"/>
          <w:color w:val="000000"/>
          <w:sz w:val="32"/>
          <w:szCs w:val="32"/>
          <w:u w:val="none"/>
          <w:lang w:val="en-US" w:eastAsia="zh-CN"/>
        </w:rPr>
        <w:t>等相关</w:t>
      </w:r>
      <w:r>
        <w:rPr>
          <w:rFonts w:hint="eastAsia" w:ascii="宋体" w:hAnsi="宋体" w:eastAsia="仿宋_GB2312"/>
          <w:b w:val="0"/>
          <w:bCs w:val="0"/>
          <w:color w:val="000000"/>
          <w:sz w:val="32"/>
          <w:szCs w:val="32"/>
          <w:u w:val="none"/>
          <w:lang w:val="en-US" w:eastAsia="zh-CN"/>
        </w:rPr>
        <w:t>要求，进一步加强本市电动汽车社会公用充换电设施运营管理，促进运营服务品质升级，提升电动汽车充换电保障能力，促进电动汽车推广应用，结合本市实际，制订本办法。</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第二条</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本办法适用的充换电设施包括社会公用充电设施、换电设施，其中：充电设施指在社会公共停车场或可用于充电服务的停车场所内建设，向社会开放的、为电动汽车提供充电服务的经营性充电设施。换电设施指采用电池更换模式为电动汽车提供电能补给的设施。</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第三条</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申请运营考核奖励的充换电设施应当符合以下条件：</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(一)充换电设施产品、建设施工、竣工验收、运营管理符合国家和本市相关标准规范。</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(二)充换电设施投资建设企业营业执照的经营范围中含有电动汽车充换电设施建设运营、机动车充电销售等相关内容。</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（三）充换电设施应具有责任保险或财产损失保险，且与场地权属（管理）单位签订安全生产管理协议，或者在有关合同中明确各自的安全生产管理职责。</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（四）充换电设施应接入市级充电设施管理平台，满足功率接入要求，并实现充换电设施状态信息互联互通。</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第四条  以充换电设施的充电量为基准，结合对充换电站运营的考核评价等级，给予充换电设施投资建设企业一定的财政资金奖励。评选充换电服务示范站，并加大奖励支持。</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第五条</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充换电设施运营考核奖励标准由市城市管理委会同市财政局确定。</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第六条</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充换电站运营考核评价及充换电服务示范站遴选方法由市城市管理委根据本市充换电设施建设运营情况制定。</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第七条</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市城市管理委负责组织开展运营考核奖励资金的申报、核查、评审及发放等工作，实施细则另行制定。具体申报、核查、评审等工作可以委托第三方机构承担。</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第八条</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市财政局负责</w:t>
      </w:r>
      <w:r>
        <w:rPr>
          <w:rFonts w:hint="eastAsia"/>
          <w:b w:val="0"/>
          <w:bCs w:val="0"/>
          <w:color w:val="000000"/>
          <w:sz w:val="32"/>
          <w:szCs w:val="32"/>
          <w:u w:val="none"/>
          <w:lang w:val="en-US" w:eastAsia="zh-CN"/>
        </w:rPr>
        <w:t>安排</w:t>
      </w:r>
      <w:r>
        <w:rPr>
          <w:rFonts w:hint="eastAsia" w:ascii="宋体" w:hAnsi="宋体" w:eastAsia="仿宋_GB2312"/>
          <w:b w:val="0"/>
          <w:bCs w:val="0"/>
          <w:color w:val="000000"/>
          <w:sz w:val="32"/>
          <w:szCs w:val="32"/>
          <w:u w:val="none"/>
          <w:lang w:val="en-US" w:eastAsia="zh-CN"/>
        </w:rPr>
        <w:t>奖补资金，</w:t>
      </w:r>
      <w:r>
        <w:rPr>
          <w:rFonts w:hint="eastAsia"/>
          <w:b w:val="0"/>
          <w:bCs w:val="0"/>
          <w:color w:val="000000"/>
          <w:sz w:val="32"/>
          <w:szCs w:val="32"/>
          <w:u w:val="none"/>
          <w:lang w:val="en-US" w:eastAsia="zh-CN"/>
        </w:rPr>
        <w:t>做好资金保障工作。</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第九条</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申请运营考核奖励资金的单位，对提交申请材料及充换电站评价相关材料的真实性负责。对提供虚假信息、骗取财政奖补资金的单位，由市城市管理委会同市财政局等部门取消其奖励资格，追缴奖励资金；构成犯罪的，移送相关部门依法追究责任。</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第十条</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本办法从印发之日起实施，有效期至2023年12月31日。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Garamond">
    <w:altName w:val="PMingLiU-ExtB"/>
    <w:panose1 w:val="02020404030301010803"/>
    <w:charset w:val="00"/>
    <w:family w:val="roman"/>
    <w:pitch w:val="default"/>
    <w:sig w:usb0="00000000"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23182"/>
    <w:multiLevelType w:val="singleLevel"/>
    <w:tmpl w:val="60A23182"/>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553C4"/>
    <w:rsid w:val="0A7C359F"/>
    <w:rsid w:val="224D317E"/>
    <w:rsid w:val="3C990787"/>
    <w:rsid w:val="3FB13A19"/>
    <w:rsid w:val="414A48F9"/>
    <w:rsid w:val="44CC3D2E"/>
    <w:rsid w:val="4B9E5081"/>
    <w:rsid w:val="4FD742E3"/>
    <w:rsid w:val="54B604F2"/>
    <w:rsid w:val="57D82F82"/>
    <w:rsid w:val="58412254"/>
    <w:rsid w:val="5C6A10BD"/>
    <w:rsid w:val="61BB5CEE"/>
    <w:rsid w:val="642C2A80"/>
    <w:rsid w:val="6A847B07"/>
    <w:rsid w:val="71B1742E"/>
    <w:rsid w:val="73EB7E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彭霞〖办公室〗</cp:lastModifiedBy>
  <cp:lastPrinted>2021-05-18T03:47:00Z</cp:lastPrinted>
  <dcterms:modified xsi:type="dcterms:W3CDTF">2021-06-18T10:08:09Z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