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53F2BD">
      <w:pPr>
        <w:keepNext w:val="0"/>
        <w:keepLines w:val="0"/>
        <w:pageBreakBefore w:val="0"/>
        <w:kinsoku/>
        <w:wordWrap/>
        <w:overflowPunct/>
        <w:topLinePunct w:val="0"/>
        <w:autoSpaceDE/>
        <w:autoSpaceDN/>
        <w:bidi w:val="0"/>
        <w:adjustRightInd/>
        <w:spacing w:after="0" w:line="560" w:lineRule="exact"/>
        <w:ind w:left="0" w:leftChars="0" w:right="0" w:rightChars="0" w:firstLine="0" w:firstLineChars="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428890F5">
      <w:pPr>
        <w:pStyle w:val="4"/>
        <w:rPr>
          <w:rFonts w:hint="eastAsia"/>
          <w:lang w:val="en-US" w:eastAsia="zh-CN"/>
        </w:rPr>
      </w:pPr>
    </w:p>
    <w:p w14:paraId="46866DD1">
      <w:pPr>
        <w:keepNext w:val="0"/>
        <w:keepLines w:val="0"/>
        <w:pageBreakBefore w:val="0"/>
        <w:kinsoku/>
        <w:wordWrap/>
        <w:overflowPunct/>
        <w:topLinePunct w:val="0"/>
        <w:autoSpaceDE/>
        <w:autoSpaceDN/>
        <w:bidi w:val="0"/>
        <w:adjustRightInd/>
        <w:spacing w:after="0" w:line="560" w:lineRule="exact"/>
        <w:ind w:left="0" w:leftChars="0" w:right="0" w:rightChars="0" w:firstLine="0" w:firstLineChars="0"/>
        <w:jc w:val="center"/>
        <w:textAlignment w:val="auto"/>
        <w:rPr>
          <w:rFonts w:hint="eastAsia" w:ascii="方正小标宋简体" w:hAnsi="方正小标宋简体" w:eastAsia="方正小标宋简体"/>
          <w:sz w:val="44"/>
          <w:lang w:val="en-US" w:eastAsia="zh-CN"/>
        </w:rPr>
      </w:pPr>
      <w:r>
        <w:rPr>
          <w:rFonts w:hint="eastAsia" w:ascii="方正小标宋简体" w:hAnsi="方正小标宋简体" w:eastAsia="方正小标宋简体"/>
          <w:sz w:val="44"/>
          <w:lang w:eastAsia="zh-CN"/>
        </w:rPr>
        <w:t>关于</w:t>
      </w:r>
      <w:r>
        <w:rPr>
          <w:rFonts w:hint="eastAsia" w:ascii="方正小标宋简体" w:hAnsi="方正小标宋简体" w:eastAsia="方正小标宋简体"/>
          <w:sz w:val="44"/>
        </w:rPr>
        <w:t>《昌平区“十五五”时期</w:t>
      </w:r>
      <w:r>
        <w:rPr>
          <w:rFonts w:hint="eastAsia" w:ascii="方正小标宋简体" w:hAnsi="方正小标宋简体" w:eastAsia="方正小标宋简体"/>
          <w:sz w:val="44"/>
          <w:lang w:val="en-US" w:eastAsia="zh-CN"/>
        </w:rPr>
        <w:t>卫生健康事业</w:t>
      </w:r>
    </w:p>
    <w:p w14:paraId="0364485D">
      <w:pPr>
        <w:keepNext w:val="0"/>
        <w:keepLines w:val="0"/>
        <w:pageBreakBefore w:val="0"/>
        <w:kinsoku/>
        <w:wordWrap/>
        <w:overflowPunct/>
        <w:topLinePunct w:val="0"/>
        <w:autoSpaceDE/>
        <w:autoSpaceDN/>
        <w:bidi w:val="0"/>
        <w:adjustRightInd/>
        <w:spacing w:after="0" w:line="560" w:lineRule="exact"/>
        <w:ind w:left="0" w:leftChars="0" w:right="0" w:rightChars="0" w:firstLine="0" w:firstLineChars="0"/>
        <w:jc w:val="center"/>
        <w:textAlignment w:val="auto"/>
        <w:rPr>
          <w:rFonts w:hint="eastAsia" w:ascii="方正小标宋简体" w:hAnsi="方正小标宋简体" w:eastAsia="方正小标宋简体"/>
          <w:sz w:val="44"/>
        </w:rPr>
      </w:pPr>
      <w:r>
        <w:rPr>
          <w:rFonts w:hint="eastAsia" w:ascii="方正小标宋简体" w:hAnsi="方正小标宋简体" w:eastAsia="方正小标宋简体"/>
          <w:sz w:val="44"/>
        </w:rPr>
        <w:t>发展规划</w:t>
      </w:r>
      <w:r>
        <w:rPr>
          <w:rFonts w:hint="eastAsia" w:ascii="方正小标宋简体" w:hAnsi="方正小标宋简体" w:eastAsia="方正小标宋简体"/>
          <w:sz w:val="44"/>
          <w:lang w:eastAsia="zh-CN"/>
        </w:rPr>
        <w:t>（征求意见稿）</w:t>
      </w:r>
      <w:r>
        <w:rPr>
          <w:rFonts w:hint="eastAsia" w:ascii="方正小标宋简体" w:hAnsi="方正小标宋简体" w:eastAsia="方正小标宋简体"/>
          <w:sz w:val="44"/>
        </w:rPr>
        <w:t>》</w:t>
      </w:r>
      <w:r>
        <w:rPr>
          <w:rFonts w:hint="eastAsia" w:ascii="方正小标宋简体" w:hAnsi="方正小标宋简体" w:eastAsia="方正小标宋简体"/>
          <w:sz w:val="44"/>
          <w:lang w:eastAsia="zh-CN"/>
        </w:rPr>
        <w:t>的</w:t>
      </w:r>
      <w:r>
        <w:rPr>
          <w:rFonts w:hint="eastAsia" w:ascii="方正小标宋简体" w:hAnsi="方正小标宋简体" w:eastAsia="方正小标宋简体"/>
          <w:sz w:val="44"/>
        </w:rPr>
        <w:t>起草说明</w:t>
      </w:r>
    </w:p>
    <w:p w14:paraId="5B82EE16">
      <w:pPr>
        <w:keepNext w:val="0"/>
        <w:keepLines w:val="0"/>
        <w:pageBreakBefore w:val="0"/>
        <w:kinsoku/>
        <w:wordWrap/>
        <w:overflowPunct/>
        <w:topLinePunct w:val="0"/>
        <w:autoSpaceDE/>
        <w:autoSpaceDN/>
        <w:bidi w:val="0"/>
        <w:adjustRightInd/>
        <w:spacing w:after="0" w:line="560" w:lineRule="exact"/>
        <w:ind w:left="0" w:leftChars="0" w:right="0" w:rightChars="0" w:firstLine="0" w:firstLineChars="0"/>
        <w:jc w:val="center"/>
        <w:textAlignment w:val="auto"/>
        <w:rPr>
          <w:rFonts w:hint="eastAsia" w:ascii="方正小标宋简体" w:hAnsi="方正小标宋简体" w:eastAsia="方正小标宋简体"/>
          <w:sz w:val="44"/>
          <w:lang w:val="en-US" w:eastAsia="zh-CN"/>
        </w:rPr>
      </w:pPr>
    </w:p>
    <w:p w14:paraId="08456FB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黑体" w:hAnsi="黑体" w:eastAsia="黑体" w:cs="黑体"/>
          <w:i w:val="0"/>
          <w:iCs w:val="0"/>
          <w:caps w:val="0"/>
          <w:color w:val="auto"/>
          <w:spacing w:val="0"/>
          <w:sz w:val="32"/>
          <w:szCs w:val="32"/>
          <w:shd w:val="clear" w:color="auto" w:fill="auto"/>
          <w:lang w:val="en-US" w:eastAsia="zh-CN"/>
        </w:rPr>
      </w:pPr>
      <w:r>
        <w:rPr>
          <w:rFonts w:hint="eastAsia" w:ascii="黑体" w:hAnsi="黑体" w:eastAsia="黑体" w:cs="黑体"/>
          <w:i w:val="0"/>
          <w:iCs w:val="0"/>
          <w:caps w:val="0"/>
          <w:color w:val="auto"/>
          <w:spacing w:val="0"/>
          <w:sz w:val="32"/>
          <w:szCs w:val="32"/>
          <w:shd w:val="clear" w:color="auto" w:fill="auto"/>
          <w:lang w:val="en-US" w:eastAsia="zh-CN"/>
        </w:rPr>
        <w:t>一、起草背景</w:t>
      </w:r>
    </w:p>
    <w:p w14:paraId="27C7726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auto"/>
          <w:lang w:val="en-US" w:eastAsia="zh-CN"/>
        </w:rPr>
      </w:pPr>
      <w:r>
        <w:rPr>
          <w:rFonts w:hint="eastAsia" w:ascii="仿宋_GB2312" w:hAnsi="仿宋_GB2312" w:eastAsia="仿宋_GB2312" w:cs="仿宋_GB2312"/>
          <w:i w:val="0"/>
          <w:iCs w:val="0"/>
          <w:caps w:val="0"/>
          <w:color w:val="auto"/>
          <w:spacing w:val="0"/>
          <w:sz w:val="32"/>
          <w:szCs w:val="32"/>
          <w:shd w:val="clear" w:color="auto" w:fill="auto"/>
          <w:lang w:val="en-US" w:eastAsia="zh-CN"/>
        </w:rPr>
        <w:t>为统筹推进健康昌平建设，提升区域卫生健康服务能力，根据区级专项规划编制工作安排，对照《中华人民共和国国民经济和社会发展第十五个五年规划纲要》《“健康北京2030”规划纲要》《“十五五”时期健康北京建设规划》等国家、市级政策规划，以及《北京市昌平区国民经济和社会发展第十五个五年规划纲要》等规划部署，我委系统梳理研判国家、市、区三级卫生健康领域政策导向与重点任务，结合本区卫生健康服务体系优势、短板与发展实际，组织开展专题研究论证，在此基础上起草了《昌平区“十五五”时期卫生健康事业发展规划（征求意见稿）》（以下简称《规划》）。</w:t>
      </w:r>
    </w:p>
    <w:p w14:paraId="63CCCEE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i w:val="0"/>
          <w:iCs w:val="0"/>
          <w:caps w:val="0"/>
          <w:color w:val="auto"/>
          <w:spacing w:val="0"/>
          <w:sz w:val="32"/>
          <w:szCs w:val="32"/>
          <w:shd w:val="clear" w:color="auto" w:fill="auto"/>
          <w:lang w:val="en-US" w:eastAsia="zh-CN"/>
        </w:rPr>
      </w:pPr>
      <w:r>
        <w:rPr>
          <w:rFonts w:hint="eastAsia" w:ascii="黑体" w:hAnsi="黑体" w:eastAsia="黑体" w:cs="黑体"/>
          <w:i w:val="0"/>
          <w:iCs w:val="0"/>
          <w:caps w:val="0"/>
          <w:color w:val="auto"/>
          <w:spacing w:val="0"/>
          <w:sz w:val="32"/>
          <w:szCs w:val="32"/>
          <w:shd w:val="clear" w:color="auto" w:fill="auto"/>
          <w:lang w:val="en-US" w:eastAsia="zh-CN"/>
        </w:rPr>
        <w:t>二</w:t>
      </w:r>
      <w:r>
        <w:rPr>
          <w:rFonts w:hint="eastAsia" w:ascii="黑体" w:hAnsi="黑体" w:eastAsia="黑体" w:cs="黑体"/>
          <w:i w:val="0"/>
          <w:iCs w:val="0"/>
          <w:caps w:val="0"/>
          <w:color w:val="auto"/>
          <w:spacing w:val="0"/>
          <w:sz w:val="32"/>
          <w:szCs w:val="32"/>
          <w:shd w:val="clear" w:color="auto" w:fill="auto"/>
        </w:rPr>
        <w:t>、</w:t>
      </w:r>
      <w:r>
        <w:rPr>
          <w:rFonts w:hint="eastAsia" w:ascii="黑体" w:hAnsi="黑体" w:eastAsia="黑体" w:cs="黑体"/>
          <w:i w:val="0"/>
          <w:iCs w:val="0"/>
          <w:caps w:val="0"/>
          <w:color w:val="auto"/>
          <w:spacing w:val="0"/>
          <w:sz w:val="32"/>
          <w:szCs w:val="32"/>
          <w:shd w:val="clear" w:color="auto" w:fill="auto"/>
          <w:lang w:val="en-US" w:eastAsia="zh-CN"/>
        </w:rPr>
        <w:t>起草过程</w:t>
      </w:r>
    </w:p>
    <w:p w14:paraId="7D717E5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一是抓紧抓实编制前期研究。主动加强与市级部门的沟通衔接，及时跟进编制工作安排与相关要求，深入了解区属医疗卫生机构、驻昌医疗机构、社区卫生服务中心等各类医疗卫生主体的运行现状与发展需求，多方听取意见建议，在此基础上完成《规划》起草。</w:t>
      </w:r>
    </w:p>
    <w:p w14:paraId="7A173C8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二是多轮</w:t>
      </w:r>
      <w:r>
        <w:rPr>
          <w:rFonts w:hint="eastAsia" w:ascii="仿宋_GB2312" w:hAnsi="仿宋_GB2312" w:eastAsia="仿宋_GB2312" w:cs="仿宋_GB2312"/>
          <w:i w:val="0"/>
          <w:iCs w:val="0"/>
          <w:caps w:val="0"/>
          <w:color w:val="auto"/>
          <w:spacing w:val="0"/>
          <w:sz w:val="32"/>
          <w:szCs w:val="32"/>
          <w:shd w:val="clear" w:color="auto" w:fill="auto"/>
          <w:lang w:val="en-US" w:eastAsia="zh-CN"/>
        </w:rPr>
        <w:t>征求各方意见。我委先后组织召开多次内部专题会议，对《规划》内容反复研究、逐轮修订，形成征求意见稿后，向区内多家单位征求意见，对反馈的意见建议分类汇总、逐条分析，对合理可行的部分予以充分吸纳，据此对规划内容作进一步修改完善，确保《规划》务实管用、切实可行。</w:t>
      </w:r>
    </w:p>
    <w:p w14:paraId="5FE3E12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i w:val="0"/>
          <w:iCs w:val="0"/>
          <w:caps w:val="0"/>
          <w:color w:val="auto"/>
          <w:spacing w:val="0"/>
          <w:sz w:val="32"/>
          <w:szCs w:val="32"/>
          <w:shd w:val="clear" w:color="auto" w:fill="auto"/>
          <w:lang w:val="en-US" w:eastAsia="zh-CN"/>
        </w:rPr>
      </w:pPr>
      <w:r>
        <w:rPr>
          <w:rFonts w:hint="eastAsia" w:ascii="黑体" w:hAnsi="黑体" w:eastAsia="黑体" w:cs="黑体"/>
          <w:i w:val="0"/>
          <w:iCs w:val="0"/>
          <w:caps w:val="0"/>
          <w:color w:val="auto"/>
          <w:spacing w:val="0"/>
          <w:sz w:val="32"/>
          <w:szCs w:val="32"/>
          <w:shd w:val="clear" w:color="auto" w:fill="auto"/>
          <w:lang w:val="en-US" w:eastAsia="zh-CN"/>
        </w:rPr>
        <w:t>三、主要内容</w:t>
      </w:r>
    </w:p>
    <w:p w14:paraId="1B80E4F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《规划》分为九个部分。第一部分明确总体要求；第二部分到第九部分，聚焦公共卫生服务体系、医疗卫生服务体系、医药卫生体制改革、科技创新与转化等明确了八个方面主要工作。具体如下：</w:t>
      </w:r>
    </w:p>
    <w:p w14:paraId="23466B4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第一部分为总体要求。以习近平新时代中国特色社会主义思想为指导，锚定首都重点平原新城和“四区”建设蓝图，以推动高质量发展为主题，以构建全方位全周期整合型健康服务体系为主线，以改革创新为根本动力，以数智化转型、中西医协同为牵引，大力实施健康优先发展战略。</w:t>
      </w:r>
    </w:p>
    <w:p w14:paraId="7DB6CBC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第二部分为全面推进健康昌平建设。重点推进健康优先发展战略、普及健康文明生活方式、开展爱国卫生运动、强化职业健康保护和食品安全风险监测。具体将推动健康融入所有政策，开展基本公共卫生服务提质行动；分众化开展健康宣教，推进合理膳食、健康体重管理和无烟环境建设；深化环境卫生和病媒生物治理，强化职业病危害专项治理和食源性疾病监测溯源。</w:t>
      </w:r>
    </w:p>
    <w:p w14:paraId="6D9EEA7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0000FF"/>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第三部分为全方位推动公共卫生服务体系高质量发展。重点完善疾病预防控制体系，加强慢性病综合防治，健全心理健康和精神卫生服务体系，提升卫生应急处置能力，强化生物安全监管。具体将推进疾控与监督深度融合，完善多点触发监测预警；统筹慢性病全链条防治，建强区医院国家级慢病管理中心；谋划区精神卫生保健院标准化新址；优化院前急救站点布局，推进区中心血站项目；完善生物安全风险监测预警体系；落实对口支援合作任务。</w:t>
      </w:r>
    </w:p>
    <w:p w14:paraId="4D12E2A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第四部分为加快构建优质高效整合型医疗卫生服务体系。重点优化资源布局，推进区属医院差异化协同发展，深化分级诊疗，实施基层卫生强基工程，加强优势专科建设，创新服务模式，严格质量管控。具体将承接央属、市属医院功能疏解，推进优质医疗资源在昌布局；建成三个紧密型城市医疗集团；建设和改造南邵、朱辛庄、流村等社区卫生服务中心；建立5个区级临床重点专科，扩大互联网诊疗与远程医疗，扩大检查检验结果互认；规范诊疗行为和合理用药合理检查；引导社会办医规范化管理。</w:t>
      </w:r>
    </w:p>
    <w:p w14:paraId="143BEA8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第五部分为提升卫生健康科技创新与转化效能。重点赋能医药健康产业提质增效，提升医学科技创新能力，加快全民健康数智化建设，深化“人工智能+卫生健康”场景应用。具体将推进医产协同创新中心建设，助力“生命谷”、国际医疗器械城等园区发展；建立区级科研科创项目储备库，推动区医院与北京脑科学与类脑研究所共建脑机接口医疗临床研究中心；统筹区域卫生数字基础框架，拓展智慧医院和智能辅助诊疗等应用场景。</w:t>
      </w:r>
    </w:p>
    <w:p w14:paraId="0140524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第六部分为系统推进医药卫生体制改革。重点推进“三医”协同发展和治理，深化公立医院改革，构建多层次医疗保障体系，健全药品供应保障机制，完善综合监管体系。具体将完善医改组织领导机制和监测评价体系；落实医疗服务价格动态调整和“两个允许”要求，推进公立医院薪酬制度改革；深化医保支付方式改革，推进按病组付费和门诊按人头付费试点；完善药品集采续约制度，强化“信用+风险”分级分类监管。</w:t>
      </w:r>
    </w:p>
    <w:p w14:paraId="3C084AD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第七部分为促进中医药传承创新发展。重点提升中医医疗服务能力，加大中医药传承保护力度，</w:t>
      </w:r>
      <w:r>
        <w:rPr>
          <w:rFonts w:hint="eastAsia" w:ascii="仿宋_GB2312" w:hAnsi="仿宋_GB2312" w:eastAsia="仿宋_GB2312" w:cs="仿宋_GB2312"/>
          <w:b w:val="0"/>
          <w:bCs w:val="0"/>
          <w:i w:val="0"/>
          <w:iCs w:val="0"/>
          <w:caps w:val="0"/>
          <w:color w:val="auto"/>
          <w:spacing w:val="0"/>
          <w:sz w:val="32"/>
          <w:szCs w:val="32"/>
          <w:highlight w:val="none"/>
          <w:shd w:val="clear" w:color="auto" w:fill="auto"/>
          <w:lang w:val="en-US" w:eastAsia="zh-CN"/>
        </w:rPr>
        <w:t>深化中医药传承创新。具体将强化区中医医院龙头作用，完成北京中医药大学第四临床医学院教学体系建设，打造2—3个品牌学科；推进中西医结合医院特色专科建设，规范中医馆、中医阁建设；加强中医药古籍保护、经典名方转化和师承教育，实施“新125人才”工程，拓展“中医药+”健康旅游和文化消费场景。</w:t>
      </w:r>
    </w:p>
    <w:p w14:paraId="524AC67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第八部分为健全人口发展服务体系。重点强化生育服务支持，加强妇女和儿童健康服务，完善老年健康服务体系。具体将优化生育支持政策，扩大生育友好医院和儿童友好医院覆盖面，实施出生缺陷防治能力提升计划；支持区妇幼保健院建设发展，推进宫颈癌三级综合防治和儿童青少年“五健”促进行动；加强综合医院老年医学科建设，扩大安宁疗护服务供给，推进医养结合和居家医疗健康服务。</w:t>
      </w:r>
    </w:p>
    <w:p w14:paraId="48141F8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第九部分为加强卫生与健康事业支撑保障。重点强化组织保障、加大投入保障、夯实人才保障，推动形成尊医重卫的社会氛围。具体将坚持党的领导贯穿卫生健康工作全过程，做好规划重点任务分解和年度工作衔接，实行项目化管理和闭环督办，将重点任务纳入区政府绩效考核；健全卫生与健康投入机制，支出重点向公共卫生、基层服务、人才培养等领域倾斜；完善“1+N”人才队伍建设制度体系，加大高端人才引进和培养</w:t>
      </w:r>
      <w:bookmarkStart w:id="0" w:name="_GoBack"/>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力度。</w:t>
      </w:r>
      <w:r>
        <w:rPr>
          <w:rFonts w:hint="eastAsia" w:ascii="仿宋_GB2312" w:hAnsi="仿宋_GB2312" w:eastAsia="仿宋_GB2312" w:cs="仿宋_GB2312"/>
          <w:color w:val="auto"/>
          <w:sz w:val="32"/>
          <w:szCs w:val="32"/>
          <w:lang w:val="en-US" w:eastAsia="zh-CN"/>
        </w:rPr>
        <w:t>扎实推进行业思想政治教育，持续讲好卫健故事。</w:t>
      </w:r>
    </w:p>
    <w:bookmarkEnd w:id="0"/>
    <w:sectPr>
      <w:footerReference r:id="rId3" w:type="default"/>
      <w:pgSz w:w="11906" w:h="16838"/>
      <w:pgMar w:top="2098" w:right="1531" w:bottom="1984"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63D2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EA056D">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EA056D">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yMWUyNjBmYzM1M2ZkMzAxODY1MjgyOTJjMGM2MTQifQ=="/>
  </w:docVars>
  <w:rsids>
    <w:rsidRoot w:val="00000000"/>
    <w:rsid w:val="00317C56"/>
    <w:rsid w:val="01846205"/>
    <w:rsid w:val="02247ACE"/>
    <w:rsid w:val="059071DE"/>
    <w:rsid w:val="05982397"/>
    <w:rsid w:val="06DF5D71"/>
    <w:rsid w:val="06E93094"/>
    <w:rsid w:val="08CF5EE1"/>
    <w:rsid w:val="09F77876"/>
    <w:rsid w:val="0ADB25DD"/>
    <w:rsid w:val="0B065FC2"/>
    <w:rsid w:val="0B49298F"/>
    <w:rsid w:val="0BC6046D"/>
    <w:rsid w:val="0BED2076"/>
    <w:rsid w:val="0D5C3855"/>
    <w:rsid w:val="0DA675E9"/>
    <w:rsid w:val="0DFA0E1A"/>
    <w:rsid w:val="0EC14AF8"/>
    <w:rsid w:val="12BC340B"/>
    <w:rsid w:val="14D7452C"/>
    <w:rsid w:val="157B57FF"/>
    <w:rsid w:val="16795875"/>
    <w:rsid w:val="16A843D2"/>
    <w:rsid w:val="171B1048"/>
    <w:rsid w:val="176C6F1B"/>
    <w:rsid w:val="17F4354C"/>
    <w:rsid w:val="1ADB6959"/>
    <w:rsid w:val="1B3573B1"/>
    <w:rsid w:val="1B5E59A7"/>
    <w:rsid w:val="1D70376F"/>
    <w:rsid w:val="1EFC318C"/>
    <w:rsid w:val="1FFF91BC"/>
    <w:rsid w:val="206550E2"/>
    <w:rsid w:val="211E311D"/>
    <w:rsid w:val="22CA64DE"/>
    <w:rsid w:val="24276EB2"/>
    <w:rsid w:val="25331C52"/>
    <w:rsid w:val="26F45411"/>
    <w:rsid w:val="27E965F8"/>
    <w:rsid w:val="288B76AF"/>
    <w:rsid w:val="28AF15F0"/>
    <w:rsid w:val="29A15441"/>
    <w:rsid w:val="2A426A06"/>
    <w:rsid w:val="2AF07C9E"/>
    <w:rsid w:val="2B1020EE"/>
    <w:rsid w:val="2CE657FC"/>
    <w:rsid w:val="2DA56B32"/>
    <w:rsid w:val="2DAF3D5E"/>
    <w:rsid w:val="30BB2AFC"/>
    <w:rsid w:val="312106D4"/>
    <w:rsid w:val="314D409C"/>
    <w:rsid w:val="31EF1C69"/>
    <w:rsid w:val="32487539"/>
    <w:rsid w:val="32EB3845"/>
    <w:rsid w:val="358D27D5"/>
    <w:rsid w:val="380A05F1"/>
    <w:rsid w:val="392D4A8C"/>
    <w:rsid w:val="3D406863"/>
    <w:rsid w:val="3E016A5C"/>
    <w:rsid w:val="3E0D0E3B"/>
    <w:rsid w:val="3FE41E39"/>
    <w:rsid w:val="40894C6A"/>
    <w:rsid w:val="41C52E32"/>
    <w:rsid w:val="42F97BDF"/>
    <w:rsid w:val="440A7BCA"/>
    <w:rsid w:val="44DF70C6"/>
    <w:rsid w:val="450D1720"/>
    <w:rsid w:val="452151CC"/>
    <w:rsid w:val="4B315A3D"/>
    <w:rsid w:val="4BC55D72"/>
    <w:rsid w:val="4C0E41EC"/>
    <w:rsid w:val="4C60689E"/>
    <w:rsid w:val="4C6E7E8C"/>
    <w:rsid w:val="4D597AF4"/>
    <w:rsid w:val="4D6420F9"/>
    <w:rsid w:val="4E006862"/>
    <w:rsid w:val="4F046859"/>
    <w:rsid w:val="4F1B2C8C"/>
    <w:rsid w:val="512A18AC"/>
    <w:rsid w:val="52B1224D"/>
    <w:rsid w:val="53EF2A14"/>
    <w:rsid w:val="5530062D"/>
    <w:rsid w:val="55D63DB0"/>
    <w:rsid w:val="56E878F7"/>
    <w:rsid w:val="58421289"/>
    <w:rsid w:val="597B0EF6"/>
    <w:rsid w:val="5A386DE8"/>
    <w:rsid w:val="5A5D23AA"/>
    <w:rsid w:val="5A8913F1"/>
    <w:rsid w:val="5B231846"/>
    <w:rsid w:val="5B490B80"/>
    <w:rsid w:val="5BD57899"/>
    <w:rsid w:val="5BD62414"/>
    <w:rsid w:val="5BE400B6"/>
    <w:rsid w:val="5BFF13ED"/>
    <w:rsid w:val="5C3F5168"/>
    <w:rsid w:val="5CF04837"/>
    <w:rsid w:val="5D26525B"/>
    <w:rsid w:val="5D842355"/>
    <w:rsid w:val="619D4BBE"/>
    <w:rsid w:val="63E53A13"/>
    <w:rsid w:val="63F95605"/>
    <w:rsid w:val="645B745D"/>
    <w:rsid w:val="67311A73"/>
    <w:rsid w:val="67A43276"/>
    <w:rsid w:val="69150F14"/>
    <w:rsid w:val="6975068F"/>
    <w:rsid w:val="6B767770"/>
    <w:rsid w:val="6C4D66EC"/>
    <w:rsid w:val="6C9360FF"/>
    <w:rsid w:val="6CDF1345"/>
    <w:rsid w:val="6D981752"/>
    <w:rsid w:val="6E100A21"/>
    <w:rsid w:val="70D83E57"/>
    <w:rsid w:val="71102FAF"/>
    <w:rsid w:val="711E68DF"/>
    <w:rsid w:val="718D5813"/>
    <w:rsid w:val="71956F37"/>
    <w:rsid w:val="71A32941"/>
    <w:rsid w:val="71E168E6"/>
    <w:rsid w:val="731358A4"/>
    <w:rsid w:val="73353C08"/>
    <w:rsid w:val="73571C35"/>
    <w:rsid w:val="73D26A12"/>
    <w:rsid w:val="77174C05"/>
    <w:rsid w:val="77B742DF"/>
    <w:rsid w:val="781520BE"/>
    <w:rsid w:val="78193AE2"/>
    <w:rsid w:val="78542BE7"/>
    <w:rsid w:val="786E7B37"/>
    <w:rsid w:val="795773B7"/>
    <w:rsid w:val="79757FC4"/>
    <w:rsid w:val="7B645FAA"/>
    <w:rsid w:val="7B65510B"/>
    <w:rsid w:val="7CB73744"/>
    <w:rsid w:val="7F9B10FB"/>
    <w:rsid w:val="B3EF148F"/>
    <w:rsid w:val="BCFEC41D"/>
    <w:rsid w:val="DED38A58"/>
    <w:rsid w:val="FFFF4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next w:val="3"/>
    <w:unhideWhenUsed/>
    <w:qFormat/>
    <w:uiPriority w:val="99"/>
    <w:pPr>
      <w:widowControl w:val="0"/>
      <w:jc w:val="center"/>
    </w:pPr>
    <w:rPr>
      <w:rFonts w:ascii="Calibri" w:hAnsi="Calibri" w:eastAsia="宋体" w:cs="Times New Roman"/>
      <w:spacing w:val="-20"/>
      <w:kern w:val="2"/>
      <w:sz w:val="44"/>
      <w:szCs w:val="22"/>
      <w:lang w:val="en-US" w:eastAsia="zh-CN" w:bidi="ar-SA"/>
    </w:rPr>
  </w:style>
  <w:style w:type="paragraph" w:customStyle="1" w:styleId="3">
    <w:name w:val="TOC 11"/>
    <w:next w:val="1"/>
    <w:qFormat/>
    <w:uiPriority w:val="0"/>
    <w:pPr>
      <w:wordWrap w:val="0"/>
      <w:spacing w:after="160" w:line="278" w:lineRule="auto"/>
      <w:jc w:val="both"/>
    </w:pPr>
    <w:rPr>
      <w:rFonts w:ascii="Times New Roman" w:hAnsi="Times New Roman" w:eastAsia="宋体" w:cs="Times New Roman"/>
      <w:sz w:val="21"/>
      <w:szCs w:val="22"/>
      <w:lang w:val="en-US" w:eastAsia="zh-CN" w:bidi="ar-SA"/>
    </w:rPr>
  </w:style>
  <w:style w:type="paragraph" w:styleId="4">
    <w:name w:val="Plain Text"/>
    <w:basedOn w:val="1"/>
    <w:next w:val="1"/>
    <w:qFormat/>
    <w:uiPriority w:val="0"/>
    <w:pPr>
      <w:spacing w:after="0"/>
      <w:ind w:firstLine="880"/>
    </w:pPr>
    <w:rPr>
      <w:rFonts w:ascii="宋体" w:hAnsi="Courier New" w:cstheme="minorBidi"/>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qFormat/>
    <w:uiPriority w:val="99"/>
    <w:pPr>
      <w:widowControl/>
      <w:snapToGrid w:val="0"/>
      <w:ind w:firstLine="200" w:firstLineChars="200"/>
      <w:jc w:val="left"/>
    </w:pPr>
    <w:rPr>
      <w:rFonts w:ascii="Times New Roman" w:hAnsi="Times New Roman" w:eastAsia="宋体" w:cs="Times New Roman"/>
      <w:kern w:val="0"/>
      <w:sz w:val="18"/>
      <w:szCs w:val="18"/>
      <w:lang w:val="en-US" w:eastAsia="zh-CN" w:bidi="ar-SA"/>
    </w:rPr>
  </w:style>
  <w:style w:type="paragraph" w:styleId="8">
    <w:name w:val="toc 2"/>
    <w:basedOn w:val="1"/>
    <w:next w:val="1"/>
    <w:unhideWhenUsed/>
    <w:qFormat/>
    <w:uiPriority w:val="39"/>
    <w:pPr>
      <w:ind w:left="420" w:leftChars="200"/>
    </w:pPr>
    <w:rPr>
      <w:rFonts w:ascii="Times New Roman" w:hAnsi="Times New Roman" w:eastAsia="宋体" w:cs="Times New Roman"/>
      <w:szCs w:val="24"/>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footnote reference"/>
    <w:qFormat/>
    <w:uiPriority w:val="99"/>
    <w:rPr>
      <w:vertAlign w:val="superscript"/>
    </w:rPr>
  </w:style>
  <w:style w:type="paragraph" w:styleId="14">
    <w:name w:val="List Paragraph"/>
    <w:basedOn w:val="1"/>
    <w:qFormat/>
    <w:uiPriority w:val="34"/>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595</Words>
  <Characters>602</Characters>
  <Lines>0</Lines>
  <Paragraphs>0</Paragraphs>
  <TotalTime>0</TotalTime>
  <ScaleCrop>false</ScaleCrop>
  <LinksUpToDate>false</LinksUpToDate>
  <CharactersWithSpaces>605</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2025-09-23T21:19:00Z</dcterms:created>
  <dc:creator>MnMn</dc:creator>
  <cp:lastModifiedBy>HIGC</cp:lastModifiedBy>
  <dcterms:modified xsi:type="dcterms:W3CDTF">2026-11-06T14:52:09Z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KSOTemplateDocerSaveRecord">
    <vt:lpwstr>eyJoZGlkIjoiMjM1ZmNjZTdlYmZmNWIyNDViZjIwMTdjY2ZiMDIzMmUiLCJ1c2VySWQiOiIxNjkyOTI2OTM3In0=</vt:lpwstr>
  </property>
  <property fmtid="{D5CDD505-2E9C-101B-9397-08002B2CF9AE}" pid="4" name="ICV">
    <vt:lpwstr>0CE8DE5C26D73E39EB77ED6AC9819329_43</vt:lpwstr>
  </property>
</Properties>
</file>