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84426">
      <w:pPr>
        <w:adjustRightInd w:val="0"/>
        <w:snapToGrid w:val="0"/>
        <w:spacing w:line="640" w:lineRule="exact"/>
        <w:ind w:firstLine="0" w:firstLineChars="0"/>
        <w:jc w:val="center"/>
        <w:rPr>
          <w:rFonts w:ascii="方正小标宋简体" w:eastAsia="方正小标宋简体"/>
          <w:b w:val="0"/>
          <w:bCs w:val="0"/>
          <w:color w:val="auto"/>
          <w:sz w:val="44"/>
          <w:szCs w:val="44"/>
        </w:rPr>
      </w:pPr>
      <w:r>
        <w:rPr>
          <w:rFonts w:hint="eastAsia" w:ascii="方正小标宋简体" w:eastAsia="方正小标宋简体"/>
          <w:b w:val="0"/>
          <w:bCs w:val="0"/>
          <w:color w:val="auto"/>
          <w:sz w:val="44"/>
          <w:szCs w:val="44"/>
        </w:rPr>
        <w:t>门头沟区“十五五”时期</w:t>
      </w:r>
    </w:p>
    <w:p w14:paraId="155B53F4">
      <w:pPr>
        <w:adjustRightInd w:val="0"/>
        <w:snapToGrid w:val="0"/>
        <w:spacing w:line="640" w:lineRule="exact"/>
        <w:ind w:firstLine="0" w:firstLineChars="0"/>
        <w:jc w:val="center"/>
        <w:rPr>
          <w:rFonts w:ascii="方正小标宋简体" w:eastAsia="方正小标宋简体"/>
          <w:b w:val="0"/>
          <w:bCs w:val="0"/>
          <w:color w:val="auto"/>
          <w:sz w:val="44"/>
          <w:szCs w:val="44"/>
        </w:rPr>
      </w:pPr>
      <w:r>
        <w:rPr>
          <w:rFonts w:hint="eastAsia" w:ascii="方正小标宋简体" w:eastAsia="方正小标宋简体"/>
          <w:b w:val="0"/>
          <w:bCs w:val="0"/>
          <w:color w:val="auto"/>
          <w:sz w:val="44"/>
          <w:szCs w:val="44"/>
        </w:rPr>
        <w:t>教育改革和发展规划（</w:t>
      </w:r>
      <w:r>
        <w:rPr>
          <w:rFonts w:hint="eastAsia" w:ascii="方正小标宋简体" w:eastAsia="方正小标宋简体"/>
          <w:b w:val="0"/>
          <w:bCs w:val="0"/>
          <w:color w:val="auto"/>
          <w:sz w:val="44"/>
          <w:szCs w:val="44"/>
          <w:lang w:eastAsia="zh-CN"/>
        </w:rPr>
        <w:t>征求意见稿</w:t>
      </w:r>
      <w:r>
        <w:rPr>
          <w:rFonts w:hint="eastAsia" w:ascii="方正小标宋简体" w:eastAsia="方正小标宋简体"/>
          <w:b w:val="0"/>
          <w:bCs w:val="0"/>
          <w:color w:val="auto"/>
          <w:sz w:val="44"/>
          <w:szCs w:val="44"/>
        </w:rPr>
        <w:t>）</w:t>
      </w:r>
    </w:p>
    <w:p w14:paraId="05FB9692">
      <w:pPr>
        <w:adjustRightInd w:val="0"/>
        <w:snapToGrid w:val="0"/>
        <w:spacing w:line="560" w:lineRule="exact"/>
        <w:ind w:firstLine="0" w:firstLineChars="0"/>
        <w:rPr>
          <w:rFonts w:hint="eastAsia" w:ascii="仿宋_GB2312" w:hAnsi="仿宋"/>
          <w:color w:val="auto"/>
          <w:szCs w:val="32"/>
        </w:rPr>
      </w:pPr>
      <w:r>
        <w:rPr>
          <w:rFonts w:hint="eastAsia" w:ascii="仿宋_GB2312" w:hAnsi="仿宋"/>
          <w:color w:val="auto"/>
          <w:szCs w:val="32"/>
        </w:rPr>
        <w:t xml:space="preserve">    </w:t>
      </w:r>
      <w:bookmarkStart w:id="15" w:name="_GoBack"/>
      <w:bookmarkEnd w:id="15"/>
    </w:p>
    <w:p w14:paraId="58D55DA5">
      <w:pPr>
        <w:adjustRightInd w:val="0"/>
        <w:snapToGrid w:val="0"/>
        <w:spacing w:line="560" w:lineRule="exact"/>
        <w:ind w:firstLine="640" w:firstLineChars="200"/>
        <w:rPr>
          <w:rFonts w:hint="eastAsia" w:ascii="仿宋_GB2312" w:hAnsi="仿宋"/>
          <w:color w:val="auto"/>
          <w:szCs w:val="32"/>
        </w:rPr>
      </w:pPr>
      <w:r>
        <w:rPr>
          <w:rFonts w:hint="eastAsia" w:ascii="仿宋_GB2312" w:hAnsi="仿宋"/>
          <w:color w:val="auto"/>
          <w:szCs w:val="32"/>
        </w:rPr>
        <w:t>根据《教育强国建设规划纲要（2024—2035年）》，遵循</w:t>
      </w:r>
      <w:r>
        <w:rPr>
          <w:rFonts w:ascii="仿宋_GB2312" w:hAnsi="仿宋"/>
          <w:color w:val="auto"/>
          <w:szCs w:val="32"/>
        </w:rPr>
        <w:t>《北京市“十五五”时期教育改革和发展规划》</w:t>
      </w:r>
      <w:r>
        <w:rPr>
          <w:rFonts w:hint="eastAsia" w:ascii="仿宋_GB2312" w:hAnsi="仿宋"/>
          <w:color w:val="auto"/>
          <w:szCs w:val="32"/>
        </w:rPr>
        <w:t>《北京市门头沟区国民经济和社会发展第十五个五年规划纲要》，结合门头沟区教育发展实际，制定本规划。</w:t>
      </w:r>
    </w:p>
    <w:p w14:paraId="64351538">
      <w:pPr>
        <w:pStyle w:val="4"/>
        <w:adjustRightInd w:val="0"/>
        <w:snapToGrid w:val="0"/>
        <w:spacing w:before="0" w:after="0" w:line="560" w:lineRule="exact"/>
        <w:ind w:firstLine="687"/>
        <w:rPr>
          <w:rFonts w:hint="eastAsia" w:ascii="黑体" w:hAnsi="黑体" w:eastAsia="黑体" w:cs="Times New Roman"/>
          <w:b w:val="0"/>
          <w:bCs w:val="0"/>
          <w:color w:val="auto"/>
          <w:spacing w:val="0"/>
        </w:rPr>
      </w:pPr>
      <w:bookmarkStart w:id="0" w:name="_Toc32018"/>
      <w:bookmarkStart w:id="1" w:name="_Toc206738623"/>
      <w:bookmarkStart w:id="2" w:name="_Toc225538394"/>
      <w:bookmarkStart w:id="3" w:name="_Toc205307265"/>
      <w:bookmarkStart w:id="4" w:name="_Toc47004878"/>
      <w:r>
        <w:rPr>
          <w:rFonts w:hint="eastAsia" w:ascii="黑体" w:hAnsi="黑体" w:eastAsia="黑体"/>
          <w:b w:val="0"/>
          <w:bCs w:val="0"/>
          <w:color w:val="auto"/>
          <w:sz w:val="32"/>
          <w:szCs w:val="32"/>
        </w:rPr>
        <w:t>一、</w:t>
      </w:r>
      <w:bookmarkEnd w:id="0"/>
      <w:bookmarkEnd w:id="1"/>
      <w:bookmarkEnd w:id="2"/>
      <w:bookmarkEnd w:id="3"/>
      <w:bookmarkEnd w:id="4"/>
      <w:r>
        <w:rPr>
          <w:rFonts w:hint="eastAsia" w:ascii="黑体" w:hAnsi="黑体" w:eastAsia="黑体" w:cs="Times New Roman"/>
          <w:b w:val="0"/>
          <w:bCs w:val="0"/>
          <w:color w:val="auto"/>
          <w:spacing w:val="0"/>
          <w:lang w:eastAsia="zh-CN"/>
        </w:rPr>
        <w:t>总体</w:t>
      </w:r>
      <w:r>
        <w:rPr>
          <w:rFonts w:hint="eastAsia" w:ascii="黑体" w:hAnsi="黑体" w:eastAsia="黑体" w:cs="Times New Roman"/>
          <w:b w:val="0"/>
          <w:bCs w:val="0"/>
          <w:color w:val="auto"/>
          <w:spacing w:val="0"/>
        </w:rPr>
        <w:t>要求</w:t>
      </w:r>
    </w:p>
    <w:p w14:paraId="637C0445">
      <w:pPr>
        <w:adjustRightInd w:val="0"/>
        <w:snapToGrid w:val="0"/>
        <w:spacing w:line="560" w:lineRule="exact"/>
        <w:ind w:firstLine="640"/>
        <w:rPr>
          <w:rFonts w:hint="eastAsia" w:ascii="仿宋_GB2312" w:hAnsi="仿宋"/>
          <w:color w:val="auto"/>
          <w:szCs w:val="32"/>
        </w:rPr>
      </w:pPr>
      <w:r>
        <w:rPr>
          <w:rFonts w:hint="eastAsia" w:ascii="仿宋_GB2312" w:hAnsi="仿宋"/>
          <w:color w:val="auto"/>
          <w:szCs w:val="32"/>
        </w:rPr>
        <w:t>全面贯彻党的二十大精神和习近平总书记关于教育的重要论述，深入落实全国、全市和全区教育大会精神，紧扣门头沟区绿色高质量转型发展大局，坚持“质量与特色并重”的发展思路，以立德树人为根本任务、以高质量发展为主题、以“绿水青山大课堂”为特色、以办好人民满意的教育为根本目的，构建与生态涵养区功能定位相匹配的优质均衡教育体系，营造“人人出彩·校校生辉”的“山河学园”，为地区经济社会发展提供坚实的教育保障，储备后备人才。</w:t>
      </w:r>
    </w:p>
    <w:p w14:paraId="3EEAA594">
      <w:pPr>
        <w:adjustRightInd w:val="0"/>
        <w:snapToGrid w:val="0"/>
        <w:spacing w:line="560" w:lineRule="exact"/>
        <w:ind w:firstLine="640"/>
        <w:rPr>
          <w:rFonts w:hint="eastAsia" w:ascii="仿宋_GB2312" w:hAnsi="仿宋"/>
          <w:color w:val="auto"/>
          <w:szCs w:val="32"/>
        </w:rPr>
      </w:pPr>
      <w:r>
        <w:rPr>
          <w:rFonts w:hint="eastAsia" w:ascii="仿宋_GB2312" w:hAnsi="仿宋"/>
          <w:color w:val="auto"/>
          <w:szCs w:val="32"/>
        </w:rPr>
        <w:t>到2030年，干部教师专业化水平显著提升，学生学业水平显著提升，优质均衡教育格局基本建立，健康安全的家校社联动机制更加健全，基本建成高质量、有特色的京西教育新高地，创造可复制、可推广的首都生态涵养区教育经验。</w:t>
      </w:r>
    </w:p>
    <w:p w14:paraId="0F143BA8">
      <w:pPr>
        <w:pStyle w:val="3"/>
        <w:adjustRightInd w:val="0"/>
        <w:snapToGrid w:val="0"/>
        <w:spacing w:before="0" w:after="0" w:line="560" w:lineRule="exact"/>
        <w:ind w:firstLine="640"/>
        <w:rPr>
          <w:rFonts w:hint="eastAsia" w:ascii="黑体" w:hAnsi="黑体" w:eastAsia="黑体"/>
          <w:b w:val="0"/>
          <w:bCs w:val="0"/>
          <w:color w:val="auto"/>
          <w:sz w:val="32"/>
          <w:szCs w:val="32"/>
        </w:rPr>
      </w:pPr>
      <w:bookmarkStart w:id="5" w:name="_Toc13057"/>
      <w:bookmarkStart w:id="6" w:name="_Toc206738643"/>
      <w:bookmarkStart w:id="7" w:name="_Toc225538418"/>
      <w:r>
        <w:rPr>
          <w:rFonts w:hint="eastAsia" w:ascii="黑体" w:hAnsi="黑体" w:eastAsia="黑体"/>
          <w:b w:val="0"/>
          <w:bCs w:val="0"/>
          <w:color w:val="auto"/>
          <w:sz w:val="32"/>
          <w:szCs w:val="32"/>
        </w:rPr>
        <w:t>二、主要任务</w:t>
      </w:r>
      <w:bookmarkEnd w:id="5"/>
      <w:bookmarkEnd w:id="6"/>
      <w:bookmarkEnd w:id="7"/>
    </w:p>
    <w:p w14:paraId="164163E4">
      <w:pPr>
        <w:pStyle w:val="4"/>
        <w:adjustRightInd w:val="0"/>
        <w:snapToGrid w:val="0"/>
        <w:spacing w:before="0" w:after="0" w:line="560" w:lineRule="exact"/>
        <w:ind w:firstLine="687"/>
        <w:rPr>
          <w:rFonts w:hint="eastAsia" w:ascii="楷体_GB2312" w:hAnsi="楷体_GB2312" w:eastAsia="楷体_GB2312" w:cs="楷体_GB2312"/>
          <w:color w:val="auto"/>
          <w:spacing w:val="11"/>
        </w:rPr>
      </w:pPr>
      <w:bookmarkStart w:id="8" w:name="_Toc11759"/>
      <w:bookmarkStart w:id="9" w:name="_Toc225538419"/>
      <w:bookmarkStart w:id="10" w:name="_Toc206738644"/>
      <w:r>
        <w:rPr>
          <w:rFonts w:hint="eastAsia" w:ascii="楷体_GB2312" w:hAnsi="楷体_GB2312" w:eastAsia="楷体_GB2312" w:cs="楷体_GB2312"/>
          <w:color w:val="auto"/>
          <w:spacing w:val="11"/>
        </w:rPr>
        <w:t>（一）</w:t>
      </w:r>
      <w:bookmarkEnd w:id="8"/>
      <w:r>
        <w:rPr>
          <w:rFonts w:hint="eastAsia" w:ascii="楷体_GB2312" w:hAnsi="楷体_GB2312" w:eastAsia="楷体_GB2312" w:cs="楷体_GB2312"/>
          <w:color w:val="auto"/>
          <w:spacing w:val="11"/>
        </w:rPr>
        <w:t>推动新时代立德树人工程走深走实</w:t>
      </w:r>
    </w:p>
    <w:p w14:paraId="65A1DCB8">
      <w:pPr>
        <w:pStyle w:val="5"/>
        <w:spacing w:beforeAutospacing="0" w:afterAutospacing="0" w:line="560" w:lineRule="exact"/>
        <w:ind w:firstLine="643"/>
        <w:jc w:val="both"/>
        <w:rPr>
          <w:rFonts w:ascii="仿宋_GB2312" w:hAnsi="仿宋" w:eastAsia="仿宋_GB2312"/>
          <w:b w:val="0"/>
          <w:bCs w:val="0"/>
          <w:color w:val="auto"/>
          <w:kern w:val="2"/>
          <w:sz w:val="32"/>
          <w:szCs w:val="32"/>
        </w:rPr>
      </w:pPr>
      <w:r>
        <w:rPr>
          <w:rFonts w:ascii="仿宋_GB2312" w:hAnsi="仿宋" w:eastAsia="仿宋_GB2312"/>
          <w:color w:val="auto"/>
          <w:kern w:val="2"/>
          <w:sz w:val="32"/>
          <w:szCs w:val="32"/>
        </w:rPr>
        <w:t>1.</w:t>
      </w:r>
      <w:bookmarkEnd w:id="9"/>
      <w:bookmarkEnd w:id="10"/>
      <w:r>
        <w:rPr>
          <w:rFonts w:ascii="仿宋_GB2312" w:hAnsi="仿宋" w:eastAsia="仿宋_GB2312"/>
          <w:color w:val="auto"/>
          <w:kern w:val="2"/>
          <w:sz w:val="32"/>
          <w:szCs w:val="32"/>
        </w:rPr>
        <w:t>塑造铸魂育人新格局。</w:t>
      </w:r>
      <w:r>
        <w:rPr>
          <w:rFonts w:ascii="仿宋_GB2312" w:hAnsi="仿宋" w:eastAsia="仿宋_GB2312"/>
          <w:b w:val="0"/>
          <w:bCs w:val="0"/>
          <w:color w:val="auto"/>
          <w:kern w:val="2"/>
          <w:sz w:val="32"/>
          <w:szCs w:val="32"/>
        </w:rPr>
        <w:t>始终牢记习近平总书记视察妙峰山民族学校的重要讲话精神，推动“感恩立志 向阳而生”育人观落地见效，实现从“育分”向“育人”转变。促进全域大思政内涵式发展，坚持思政课程与课程思政相结合，开发兼具思想深度、地域特色与实践价值的系列思政课程。推进党团队一体化育人，增强“模样”“足迹”课程品质，引导青少年走好“入队、入团、入党”人生三部曲。</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CCC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D9D7635">
            <w:pPr>
              <w:spacing w:line="560" w:lineRule="exact"/>
              <w:ind w:firstLine="0" w:firstLineChars="0"/>
              <w:jc w:val="center"/>
              <w:rPr>
                <w:rFonts w:hint="eastAsia" w:ascii="仿宋_GB2312" w:hAnsi="仿宋_GB2312" w:cs="仿宋_GB2312"/>
                <w:color w:val="auto"/>
                <w:szCs w:val="32"/>
              </w:rPr>
            </w:pPr>
            <w:r>
              <w:rPr>
                <w:rFonts w:hint="eastAsia" w:ascii="黑体" w:hAnsi="黑体" w:eastAsia="黑体" w:cs="黑体"/>
                <w:color w:val="auto"/>
                <w:szCs w:val="32"/>
              </w:rPr>
              <w:t>专栏1：党建领航行动</w:t>
            </w:r>
          </w:p>
        </w:tc>
      </w:tr>
      <w:tr w14:paraId="67391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EC85A32">
            <w:pPr>
              <w:spacing w:line="560" w:lineRule="exact"/>
              <w:ind w:firstLine="640"/>
              <w:rPr>
                <w:rFonts w:hint="eastAsia" w:ascii="仿宋_GB2312" w:hAnsi="仿宋"/>
                <w:color w:val="auto"/>
                <w:szCs w:val="32"/>
              </w:rPr>
            </w:pPr>
            <w:r>
              <w:rPr>
                <w:rFonts w:hint="eastAsia" w:ascii="仿宋_GB2312" w:hAnsi="仿宋"/>
                <w:color w:val="auto"/>
                <w:szCs w:val="32"/>
              </w:rPr>
              <w:t>以高质量党建引领教育发展，选优配强校级领导班子。强化基层组织建设，促进全域大思政内涵式发展，强化基层组织建设。强化党建效能，深化“京西教育红色先锋”党建品牌建设，持续建设“大思政课”实践教学基地，不断丰富全域“大思政课资源地图”。加强党团队一体化育人建设，建好“京西向阳花”红领巾学院、共青团学院等思政教育阵地。</w:t>
            </w:r>
          </w:p>
        </w:tc>
      </w:tr>
    </w:tbl>
    <w:p w14:paraId="156675E7">
      <w:pPr>
        <w:spacing w:line="560" w:lineRule="exact"/>
        <w:ind w:firstLine="643"/>
        <w:rPr>
          <w:rFonts w:hint="eastAsia" w:ascii="仿宋_GB2312" w:hAnsi="仿宋"/>
          <w:color w:val="auto"/>
          <w:szCs w:val="32"/>
        </w:rPr>
      </w:pPr>
      <w:r>
        <w:rPr>
          <w:rFonts w:hint="eastAsia" w:ascii="仿宋_GB2312" w:hAnsi="仿宋"/>
          <w:b/>
          <w:bCs/>
          <w:color w:val="auto"/>
          <w:szCs w:val="32"/>
        </w:rPr>
        <w:t>2.落实“健康第一”教育理念。</w:t>
      </w:r>
      <w:r>
        <w:rPr>
          <w:rFonts w:ascii="仿宋_GB2312" w:hAnsi="仿宋_GB2312" w:cs="仿宋_GB2312"/>
          <w:color w:val="auto"/>
          <w:szCs w:val="32"/>
        </w:rPr>
        <w:t>实施学生身心健康工程，</w:t>
      </w:r>
      <w:r>
        <w:rPr>
          <w:rFonts w:hint="eastAsia" w:ascii="仿宋_GB2312" w:hAnsi="仿宋_GB2312" w:cs="仿宋_GB2312"/>
          <w:color w:val="auto"/>
          <w:szCs w:val="32"/>
        </w:rPr>
        <w:t>打造</w:t>
      </w:r>
      <w:r>
        <w:rPr>
          <w:rFonts w:ascii="仿宋_GB2312" w:hAnsi="仿宋_GB2312" w:cs="仿宋_GB2312"/>
          <w:color w:val="auto"/>
          <w:szCs w:val="32"/>
        </w:rPr>
        <w:t>生态涵养区体育运动特色课程群，常态化举办“星火少年”山区学生运动会</w:t>
      </w:r>
      <w:r>
        <w:rPr>
          <w:rFonts w:hint="eastAsia" w:ascii="仿宋_GB2312" w:hAnsi="仿宋_GB2312" w:cs="仿宋_GB2312"/>
          <w:color w:val="auto"/>
          <w:szCs w:val="32"/>
        </w:rPr>
        <w:t>。倡导“校风的一半在操场”，</w:t>
      </w:r>
      <w:r>
        <w:rPr>
          <w:rFonts w:hint="eastAsia" w:ascii="仿宋_GB2312" w:hAnsi="仿宋"/>
          <w:color w:val="auto"/>
          <w:szCs w:val="32"/>
        </w:rPr>
        <w:t>深化“课间一刻钟”改革，推进特色体教融合。常态化监测学生体质健康水平，切实提高学生体育运动达标率，精准干预，降低“四小”发生率。</w:t>
      </w:r>
      <w:r>
        <w:rPr>
          <w:rFonts w:hint="eastAsia" w:ascii="仿宋_GB2312" w:hAnsi="仿宋_GB2312" w:cs="仿宋_GB2312"/>
          <w:color w:val="auto"/>
          <w:szCs w:val="32"/>
        </w:rPr>
        <w:t>打造高水平校园体育训练竞赛体系，促进学生身心健康全面发展。</w:t>
      </w:r>
      <w:r>
        <w:rPr>
          <w:rFonts w:ascii="仿宋_GB2312" w:hAnsi="仿宋_GB2312" w:cs="仿宋_GB2312"/>
          <w:color w:val="auto"/>
          <w:szCs w:val="32"/>
        </w:rPr>
        <w:t>依托山地资源打造“自然疗愈课程”，健全常态化心理筛查与档案机制，</w:t>
      </w:r>
      <w:r>
        <w:rPr>
          <w:rFonts w:hint="eastAsia" w:ascii="仿宋_GB2312" w:hAnsi="仿宋_GB2312" w:cs="仿宋_GB2312"/>
          <w:color w:val="auto"/>
          <w:szCs w:val="32"/>
        </w:rPr>
        <w:t>开展家庭心理健康辅导，家校社共筑</w:t>
      </w:r>
      <w:r>
        <w:rPr>
          <w:rFonts w:ascii="仿宋_GB2312" w:hAnsi="仿宋_GB2312" w:cs="仿宋_GB2312"/>
          <w:color w:val="auto"/>
          <w:szCs w:val="32"/>
        </w:rPr>
        <w:t>学生心理健康防线。</w:t>
      </w:r>
    </w:p>
    <w:p w14:paraId="16C5D5EB">
      <w:pPr>
        <w:spacing w:line="560" w:lineRule="exact"/>
        <w:ind w:firstLine="643"/>
        <w:rPr>
          <w:rFonts w:hint="eastAsia" w:ascii="仿宋_GB2312" w:hAnsi="仿宋"/>
          <w:color w:val="auto"/>
          <w:szCs w:val="32"/>
        </w:rPr>
      </w:pPr>
      <w:r>
        <w:rPr>
          <w:rFonts w:hint="eastAsia" w:ascii="仿宋_GB2312" w:hAnsi="仿宋"/>
          <w:b/>
          <w:bCs/>
          <w:color w:val="auto"/>
          <w:szCs w:val="32"/>
        </w:rPr>
        <w:t>3.构建生态文明思想教育新范式。</w:t>
      </w:r>
      <w:r>
        <w:rPr>
          <w:rFonts w:hint="eastAsia" w:ascii="仿宋_GB2312" w:hAnsi="仿宋"/>
          <w:color w:val="auto"/>
          <w:szCs w:val="32"/>
        </w:rPr>
        <w:t>守好首都西大门，培养绿水青山守护人。立足首都生态涵养区功能定位和京西山地资源禀赋，围绕“绿水青山+科技创造”，将生态涵养、转型发展、灾后重建等真实场景转化为生态文明教育的问题库、资源库、案例库。走进高等院校、科研院所、生态研究平台，设计适配中小学生的小课题研究方向。</w:t>
      </w:r>
      <w:r>
        <w:rPr>
          <w:rFonts w:ascii="仿宋_GB2312" w:hAnsi="仿宋"/>
          <w:color w:val="auto"/>
          <w:szCs w:val="32"/>
        </w:rPr>
        <w:t>常态化组织学生走进实验室、科研基地、野外调研点参与实操，搭建优秀课题成果展示与转化平台，提升</w:t>
      </w:r>
      <w:r>
        <w:rPr>
          <w:rFonts w:hint="eastAsia" w:ascii="仿宋_GB2312" w:hAnsi="仿宋"/>
          <w:color w:val="auto"/>
          <w:szCs w:val="32"/>
        </w:rPr>
        <w:t>学生生态文明</w:t>
      </w:r>
      <w:r>
        <w:rPr>
          <w:rFonts w:ascii="仿宋_GB2312" w:hAnsi="仿宋"/>
          <w:color w:val="auto"/>
          <w:szCs w:val="32"/>
        </w:rPr>
        <w:t>素养。</w:t>
      </w:r>
    </w:p>
    <w:p w14:paraId="3EAC5849">
      <w:pPr>
        <w:pStyle w:val="4"/>
        <w:adjustRightInd w:val="0"/>
        <w:snapToGrid w:val="0"/>
        <w:spacing w:before="0" w:after="0" w:line="560" w:lineRule="exact"/>
        <w:ind w:firstLine="687"/>
        <w:rPr>
          <w:rFonts w:hint="eastAsia" w:ascii="楷体_GB2312" w:hAnsi="楷体_GB2312" w:eastAsia="楷体_GB2312" w:cs="楷体_GB2312"/>
          <w:color w:val="auto"/>
          <w:spacing w:val="11"/>
        </w:rPr>
      </w:pPr>
      <w:r>
        <w:rPr>
          <w:rFonts w:hint="eastAsia" w:ascii="楷体_GB2312" w:hAnsi="楷体_GB2312" w:eastAsia="楷体_GB2312" w:cs="楷体_GB2312"/>
          <w:color w:val="auto"/>
          <w:spacing w:val="11"/>
        </w:rPr>
        <w:t>（二）发挥教育科技人才一体化发展优势</w:t>
      </w:r>
    </w:p>
    <w:p w14:paraId="74C3C008">
      <w:pPr>
        <w:spacing w:line="560" w:lineRule="exact"/>
        <w:ind w:firstLine="643"/>
        <w:rPr>
          <w:rFonts w:hint="eastAsia" w:ascii="仿宋_GB2312" w:hAnsi="仿宋"/>
          <w:color w:val="auto"/>
          <w:szCs w:val="32"/>
        </w:rPr>
      </w:pPr>
      <w:r>
        <w:rPr>
          <w:rFonts w:hint="eastAsia" w:ascii="仿宋_GB2312" w:hAnsi="仿宋"/>
          <w:b/>
          <w:bCs/>
          <w:color w:val="auto"/>
          <w:szCs w:val="32"/>
        </w:rPr>
        <w:t>4.建设“高质量 有特色”的京西教育新高地。</w:t>
      </w:r>
      <w:r>
        <w:rPr>
          <w:rFonts w:hint="eastAsia" w:ascii="仿宋_GB2312" w:hAnsi="仿宋"/>
          <w:color w:val="auto"/>
          <w:szCs w:val="32"/>
        </w:rPr>
        <w:t>打造思政教育、科学教育、全面发展、优质均衡、安全韧性五个教育新高地。深入实施教育教学质量提升三年行动，</w:t>
      </w:r>
      <w:r>
        <w:rPr>
          <w:rFonts w:hint="eastAsia" w:ascii="仿宋_GB2312" w:hAnsi="仿宋_GB2312" w:cs="仿宋_GB2312"/>
          <w:color w:val="auto"/>
          <w:szCs w:val="32"/>
        </w:rPr>
        <w:t>建成一批</w:t>
      </w:r>
      <w:r>
        <w:rPr>
          <w:rFonts w:hint="eastAsia" w:ascii="仿宋_GB2312" w:hAnsi="仿宋"/>
          <w:color w:val="auto"/>
          <w:szCs w:val="32"/>
        </w:rPr>
        <w:t>高学业成就、高发展后劲的“双高”</w:t>
      </w:r>
      <w:r>
        <w:rPr>
          <w:rFonts w:hint="eastAsia" w:ascii="仿宋_GB2312" w:hAnsi="仿宋_GB2312" w:cs="仿宋_GB2312"/>
          <w:color w:val="auto"/>
          <w:szCs w:val="32"/>
        </w:rPr>
        <w:t>示范教育集团。</w:t>
      </w:r>
      <w:r>
        <w:rPr>
          <w:rFonts w:hint="eastAsia" w:ascii="仿宋_GB2312" w:hAnsi="仿宋"/>
          <w:color w:val="auto"/>
          <w:szCs w:val="32"/>
        </w:rPr>
        <w:t>“双一流”大学、特招线上线人数持续提升。为</w:t>
      </w:r>
      <w:r>
        <w:rPr>
          <w:rFonts w:ascii="仿宋_GB2312" w:hAnsi="仿宋"/>
          <w:color w:val="auto"/>
          <w:szCs w:val="32"/>
        </w:rPr>
        <w:t>全区</w:t>
      </w:r>
      <w:r>
        <w:rPr>
          <w:rFonts w:hint="eastAsia" w:ascii="仿宋_GB2312" w:hAnsi="仿宋"/>
          <w:color w:val="auto"/>
          <w:szCs w:val="32"/>
        </w:rPr>
        <w:t>劳动人口</w:t>
      </w:r>
      <w:r>
        <w:rPr>
          <w:rFonts w:ascii="仿宋_GB2312" w:hAnsi="仿宋"/>
          <w:color w:val="auto"/>
          <w:szCs w:val="32"/>
        </w:rPr>
        <w:t>受教育年限突破12年</w:t>
      </w:r>
      <w:r>
        <w:rPr>
          <w:rFonts w:hint="eastAsia" w:ascii="仿宋_GB2312" w:hAnsi="仿宋"/>
          <w:color w:val="auto"/>
          <w:szCs w:val="32"/>
        </w:rPr>
        <w:t>做好基础教育奠基。</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E234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4AAF91B">
            <w:pPr>
              <w:spacing w:line="560" w:lineRule="exact"/>
              <w:ind w:firstLine="0" w:firstLineChars="0"/>
              <w:jc w:val="center"/>
              <w:rPr>
                <w:rFonts w:hint="eastAsia" w:ascii="仿宋_GB2312" w:hAnsi="仿宋_GB2312" w:cs="仿宋_GB2312"/>
                <w:color w:val="auto"/>
                <w:szCs w:val="32"/>
              </w:rPr>
            </w:pPr>
            <w:r>
              <w:rPr>
                <w:rFonts w:hint="eastAsia" w:ascii="黑体" w:hAnsi="黑体" w:eastAsia="黑体" w:cs="黑体"/>
                <w:color w:val="auto"/>
                <w:szCs w:val="32"/>
              </w:rPr>
              <w:t>专栏2：质量提升行动</w:t>
            </w:r>
          </w:p>
        </w:tc>
      </w:tr>
      <w:tr w14:paraId="71A55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97110FC">
            <w:pPr>
              <w:spacing w:line="560" w:lineRule="exact"/>
              <w:ind w:firstLine="640"/>
              <w:rPr>
                <w:rFonts w:hint="eastAsia" w:ascii="仿宋_GB2312" w:hAnsi="仿宋"/>
                <w:color w:val="auto"/>
                <w:szCs w:val="32"/>
              </w:rPr>
            </w:pPr>
            <w:r>
              <w:rPr>
                <w:rFonts w:hint="eastAsia" w:ascii="仿宋_GB2312" w:hAnsi="仿宋"/>
                <w:color w:val="auto"/>
                <w:szCs w:val="32"/>
              </w:rPr>
              <w:t>建立学生学业水平与学校教学质量常态化分析反馈机制。结合我区教育发展实际，统筹加强人才选聘、改进教育方式、配给资源保障，</w:t>
            </w:r>
            <w:r>
              <w:rPr>
                <w:rFonts w:hint="eastAsia" w:ascii="仿宋_GB2312" w:hAnsi="仿宋_GB2312" w:cs="仿宋_GB2312"/>
                <w:color w:val="auto"/>
                <w:szCs w:val="32"/>
              </w:rPr>
              <w:t>确保</w:t>
            </w:r>
            <w:r>
              <w:rPr>
                <w:rFonts w:hint="eastAsia" w:ascii="仿宋_GB2312" w:hAnsi="仿宋"/>
                <w:color w:val="auto"/>
                <w:szCs w:val="32"/>
              </w:rPr>
              <w:t>国家义务教育质量监测区域质量持续提升，学生关键素养指标达到较高水平，金帆、金鹏、金奥等市级学生特色社团蓬勃发展，家长和社会对教育质量的满意度大幅提升。</w:t>
            </w:r>
          </w:p>
        </w:tc>
      </w:tr>
    </w:tbl>
    <w:p w14:paraId="6ECA6A05">
      <w:pPr>
        <w:spacing w:line="560" w:lineRule="exact"/>
        <w:ind w:firstLine="643"/>
        <w:rPr>
          <w:rFonts w:hint="eastAsia" w:ascii="仿宋_GB2312" w:hAnsi="仿宋"/>
          <w:color w:val="auto"/>
          <w:szCs w:val="32"/>
        </w:rPr>
      </w:pPr>
      <w:r>
        <w:rPr>
          <w:rFonts w:hint="eastAsia" w:ascii="仿宋_GB2312" w:hAnsi="仿宋"/>
          <w:b/>
          <w:bCs/>
          <w:color w:val="auto"/>
          <w:szCs w:val="32"/>
        </w:rPr>
        <w:t>5.推动“人人出彩 校校生辉”特色集群发展。</w:t>
      </w:r>
      <w:r>
        <w:rPr>
          <w:rFonts w:hint="eastAsia" w:ascii="仿宋_GB2312" w:hAnsi="仿宋"/>
          <w:b w:val="0"/>
          <w:bCs w:val="0"/>
          <w:color w:val="auto"/>
          <w:szCs w:val="32"/>
        </w:rPr>
        <w:t>结合</w:t>
      </w:r>
      <w:r>
        <w:rPr>
          <w:rFonts w:hint="eastAsia" w:ascii="仿宋_GB2312" w:hAnsi="仿宋"/>
          <w:color w:val="auto"/>
          <w:szCs w:val="32"/>
        </w:rPr>
        <w:t>我区学生总量小、学校规模小的区域特点，实施精品教育，鼓励精心育人、精细做事、精致问效。坚持各美其美、美美与共的发展理念。</w:t>
      </w:r>
      <w:r>
        <w:rPr>
          <w:rFonts w:hint="eastAsia" w:ascii="仿宋_GB2312" w:hAnsi="仿宋"/>
          <w:b w:val="0"/>
          <w:bCs w:val="0"/>
          <w:color w:val="auto"/>
          <w:szCs w:val="32"/>
        </w:rPr>
        <w:t>坚持因材施教，</w:t>
      </w:r>
      <w:r>
        <w:rPr>
          <w:rFonts w:hint="eastAsia" w:ascii="仿宋_GB2312" w:hAnsi="仿宋"/>
          <w:color w:val="auto"/>
          <w:szCs w:val="32"/>
        </w:rPr>
        <w:t>确保每一位学生都能获得适配的成长支持，并拥有个性化成长的展示机会，从中获得成长自信、发展潜力和自主动力。坚持分类施策，支持学校因地制宜，充分利用社区资源，做深做透国家课程，开发建设特色课程，确保每一所学校都有办学特色和办学成果。</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9183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65229BD">
            <w:pPr>
              <w:spacing w:line="560" w:lineRule="exact"/>
              <w:ind w:firstLine="0" w:firstLineChars="0"/>
              <w:jc w:val="center"/>
              <w:rPr>
                <w:rFonts w:hint="eastAsia" w:ascii="仿宋_GB2312" w:hAnsi="仿宋_GB2312" w:cs="仿宋_GB2312"/>
                <w:color w:val="auto"/>
                <w:szCs w:val="32"/>
              </w:rPr>
            </w:pPr>
            <w:r>
              <w:rPr>
                <w:rFonts w:hint="eastAsia" w:ascii="黑体" w:hAnsi="黑体" w:eastAsia="黑体" w:cs="黑体"/>
                <w:color w:val="auto"/>
                <w:szCs w:val="32"/>
              </w:rPr>
              <w:t>专栏3：体系再造行动</w:t>
            </w:r>
          </w:p>
        </w:tc>
      </w:tr>
      <w:tr w14:paraId="012C5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0C7EF19">
            <w:pPr>
              <w:spacing w:line="560" w:lineRule="exact"/>
              <w:ind w:firstLine="640"/>
              <w:rPr>
                <w:rFonts w:hint="eastAsia" w:ascii="仿宋_GB2312" w:hAnsi="仿宋"/>
                <w:color w:val="auto"/>
                <w:szCs w:val="32"/>
              </w:rPr>
            </w:pPr>
            <w:r>
              <w:rPr>
                <w:rFonts w:hint="eastAsia" w:ascii="仿宋_GB2312" w:hAnsi="仿宋"/>
                <w:color w:val="auto"/>
                <w:szCs w:val="32"/>
              </w:rPr>
              <w:t>强化理念体系再造，结合区域“质量与特色并重”的发展定位，开展育人观念大讨论。强化育人体系再造，构建学段贯通、特色发展的育人模式。强化评价体系再造，树立评价正确导向。强化生态体系再造，注入教育改革活力。</w:t>
            </w:r>
          </w:p>
        </w:tc>
      </w:tr>
    </w:tbl>
    <w:p w14:paraId="1CEDB42C">
      <w:pPr>
        <w:spacing w:line="560" w:lineRule="exact"/>
        <w:ind w:firstLine="643"/>
        <w:rPr>
          <w:rFonts w:hint="eastAsia" w:ascii="仿宋_GB2312" w:hAnsi="仿宋_GB2312" w:cs="仿宋_GB2312"/>
          <w:color w:val="auto"/>
          <w:szCs w:val="32"/>
        </w:rPr>
      </w:pPr>
      <w:r>
        <w:rPr>
          <w:rFonts w:hint="eastAsia" w:ascii="仿宋_GB2312" w:hAnsi="仿宋"/>
          <w:b/>
          <w:bCs/>
          <w:color w:val="auto"/>
          <w:szCs w:val="32"/>
        </w:rPr>
        <w:t>6.优化“早期发现 贯通培养”的拔尖创新人才培养机制。</w:t>
      </w:r>
      <w:r>
        <w:rPr>
          <w:rFonts w:hint="eastAsia" w:ascii="仿宋_GB2312" w:hAnsi="仿宋_GB2312" w:cs="仿宋_GB2312"/>
          <w:color w:val="auto"/>
          <w:szCs w:val="32"/>
        </w:rPr>
        <w:t>助力学生纵向贯通成长，建立全域“幼小初高”长链条培养体系，全域实施课创计划。变革“教与学”方式，强化 “高阶思维”训练，研发“科学探究”“人文思辨”“项目式学习”等思维课程资源。深化教育集团特色课程建设，拓展教育集团对口直升路径，推进人才贯通培养。用好“沃土计划”“脱颖计划”“强基计划”等支持政策，建设拔尖创新人才早期培养基地。</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0D44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625BD19">
            <w:pPr>
              <w:spacing w:line="560" w:lineRule="exact"/>
              <w:ind w:firstLine="0" w:firstLineChars="0"/>
              <w:jc w:val="center"/>
              <w:rPr>
                <w:rFonts w:hint="eastAsia" w:ascii="仿宋_GB2312" w:hAnsi="仿宋_GB2312" w:cs="仿宋_GB2312"/>
                <w:color w:val="auto"/>
                <w:szCs w:val="32"/>
              </w:rPr>
            </w:pPr>
            <w:r>
              <w:rPr>
                <w:rFonts w:hint="eastAsia" w:ascii="黑体" w:hAnsi="黑体" w:eastAsia="黑体" w:cs="黑体"/>
                <w:color w:val="auto"/>
                <w:szCs w:val="32"/>
              </w:rPr>
              <w:t>专栏4：学术补偿行动</w:t>
            </w:r>
          </w:p>
        </w:tc>
      </w:tr>
      <w:tr w14:paraId="63B7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AC7F2BB">
            <w:pPr>
              <w:spacing w:line="560" w:lineRule="exact"/>
              <w:ind w:firstLine="640"/>
              <w:rPr>
                <w:rFonts w:hint="eastAsia" w:ascii="仿宋_GB2312" w:hAnsi="仿宋"/>
                <w:color w:val="auto"/>
                <w:szCs w:val="32"/>
              </w:rPr>
            </w:pPr>
            <w:r>
              <w:rPr>
                <w:rFonts w:hint="eastAsia" w:ascii="仿宋_GB2312" w:hAnsi="仿宋"/>
                <w:color w:val="auto"/>
                <w:szCs w:val="32"/>
              </w:rPr>
              <w:t>通过推广学术文献阅读，开展全域学术补偿行动。</w:t>
            </w:r>
            <w:r>
              <w:rPr>
                <w:rFonts w:ascii="仿宋_GB2312" w:hAnsi="仿宋"/>
                <w:color w:val="auto"/>
                <w:szCs w:val="32"/>
              </w:rPr>
              <w:t>倡导</w:t>
            </w:r>
            <w:r>
              <w:rPr>
                <w:rFonts w:hint="eastAsia" w:ascii="仿宋_GB2312" w:hAnsi="仿宋"/>
                <w:color w:val="auto"/>
                <w:szCs w:val="32"/>
              </w:rPr>
              <w:t>师生</w:t>
            </w:r>
            <w:r>
              <w:rPr>
                <w:rFonts w:ascii="仿宋_GB2312" w:hAnsi="仿宋"/>
                <w:color w:val="auto"/>
                <w:szCs w:val="32"/>
              </w:rPr>
              <w:t>“向研究者学研究，向实践者学实践”</w:t>
            </w:r>
            <w:r>
              <w:rPr>
                <w:rFonts w:hint="eastAsia" w:ascii="仿宋_GB2312" w:hAnsi="仿宋"/>
                <w:color w:val="auto"/>
                <w:szCs w:val="32"/>
              </w:rPr>
              <w:t>，</w:t>
            </w:r>
            <w:r>
              <w:rPr>
                <w:rFonts w:ascii="仿宋_GB2312" w:hAnsi="仿宋"/>
                <w:color w:val="auto"/>
                <w:szCs w:val="32"/>
              </w:rPr>
              <w:t>结合各学段</w:t>
            </w:r>
            <w:r>
              <w:rPr>
                <w:rFonts w:hint="eastAsia" w:ascii="仿宋_GB2312" w:hAnsi="仿宋"/>
                <w:color w:val="auto"/>
                <w:szCs w:val="32"/>
              </w:rPr>
              <w:t>、各</w:t>
            </w:r>
            <w:r>
              <w:rPr>
                <w:rFonts w:ascii="仿宋_GB2312" w:hAnsi="仿宋"/>
                <w:color w:val="auto"/>
                <w:szCs w:val="32"/>
              </w:rPr>
              <w:t>学科特点，创新课堂教学融入模式，</w:t>
            </w:r>
            <w:r>
              <w:rPr>
                <w:rFonts w:hint="eastAsia" w:ascii="仿宋_GB2312" w:hAnsi="仿宋"/>
                <w:color w:val="auto"/>
                <w:szCs w:val="32"/>
              </w:rPr>
              <w:t>带领学生开展多模式文献阅读，</w:t>
            </w:r>
            <w:r>
              <w:rPr>
                <w:rFonts w:ascii="仿宋_GB2312" w:hAnsi="仿宋"/>
                <w:color w:val="auto"/>
                <w:szCs w:val="32"/>
              </w:rPr>
              <w:t>培养文献解读能力与批判性思维。推行师生、亲子、社区共读学术文献，系统性拓宽学校、家庭</w:t>
            </w:r>
            <w:r>
              <w:rPr>
                <w:rFonts w:hint="eastAsia" w:ascii="仿宋_GB2312" w:hAnsi="仿宋"/>
                <w:color w:val="auto"/>
                <w:szCs w:val="32"/>
              </w:rPr>
              <w:t>、社会</w:t>
            </w:r>
            <w:r>
              <w:rPr>
                <w:rFonts w:ascii="仿宋_GB2312" w:hAnsi="仿宋"/>
                <w:color w:val="auto"/>
                <w:szCs w:val="32"/>
              </w:rPr>
              <w:t>的教育视野</w:t>
            </w:r>
            <w:r>
              <w:rPr>
                <w:rFonts w:hint="eastAsia" w:ascii="仿宋_GB2312" w:hAnsi="仿宋"/>
                <w:color w:val="auto"/>
                <w:szCs w:val="32"/>
              </w:rPr>
              <w:t>，</w:t>
            </w:r>
            <w:r>
              <w:rPr>
                <w:rFonts w:ascii="仿宋_GB2312" w:hAnsi="仿宋"/>
                <w:color w:val="auto"/>
                <w:szCs w:val="32"/>
              </w:rPr>
              <w:t>培养学术思维和学术话语体系</w:t>
            </w:r>
            <w:r>
              <w:rPr>
                <w:rFonts w:hint="eastAsia" w:ascii="仿宋_GB2312" w:hAnsi="仿宋"/>
                <w:color w:val="auto"/>
                <w:szCs w:val="32"/>
              </w:rPr>
              <w:t>。</w:t>
            </w:r>
            <w:r>
              <w:rPr>
                <w:rFonts w:ascii="仿宋_GB2312" w:hAnsi="仿宋"/>
                <w:color w:val="auto"/>
                <w:szCs w:val="32"/>
              </w:rPr>
              <w:t>将文献阅读与中小学日常阅读深度融合，构建分层分类学术文献阅读体系</w:t>
            </w:r>
            <w:r>
              <w:rPr>
                <w:rFonts w:hint="eastAsia" w:ascii="仿宋_GB2312" w:hAnsi="仿宋"/>
                <w:color w:val="auto"/>
                <w:szCs w:val="32"/>
              </w:rPr>
              <w:t>。重视英文科普读物阅读，用好教育部中小学推荐阅读书目，加强阅读指导，组织交流、展示活动。</w:t>
            </w:r>
          </w:p>
        </w:tc>
      </w:tr>
    </w:tbl>
    <w:p w14:paraId="21E90773">
      <w:pPr>
        <w:spacing w:line="560" w:lineRule="exact"/>
        <w:ind w:firstLine="643"/>
        <w:rPr>
          <w:rFonts w:hint="eastAsia" w:ascii="仿宋_GB2312" w:hAnsi="仿宋_GB2312" w:cs="仿宋_GB2312"/>
          <w:color w:val="auto"/>
          <w:szCs w:val="32"/>
          <w:highlight w:val="yellow"/>
        </w:rPr>
      </w:pPr>
      <w:r>
        <w:rPr>
          <w:rFonts w:hint="eastAsia" w:ascii="仿宋_GB2312" w:hAnsi="仿宋_GB2312" w:cs="仿宋_GB2312"/>
          <w:b/>
          <w:bCs/>
          <w:color w:val="auto"/>
          <w:szCs w:val="32"/>
        </w:rPr>
        <w:t>7.建立“引育用留 人才聚智”机制。</w:t>
      </w:r>
      <w:r>
        <w:rPr>
          <w:rFonts w:hint="eastAsia" w:ascii="仿宋_GB2312" w:hAnsi="仿宋_GB2312" w:cs="仿宋_GB2312"/>
          <w:color w:val="auto"/>
          <w:szCs w:val="32"/>
        </w:rPr>
        <w:t>面向全国精准引进名校长、特级教师、优秀学科研修员等管理与业务能手。制定“招聘优秀毕业生若干措施”，</w:t>
      </w:r>
      <w:r>
        <w:rPr>
          <w:rFonts w:hint="eastAsia" w:ascii="仿宋_GB2312" w:hAnsi="仿宋_GB2312" w:cs="仿宋_GB2312"/>
          <w:color w:val="auto"/>
          <w:szCs w:val="32"/>
          <w:lang w:eastAsia="zh-CN"/>
        </w:rPr>
        <w:t>依法</w:t>
      </w:r>
      <w:r>
        <w:rPr>
          <w:rFonts w:hint="eastAsia" w:ascii="仿宋_GB2312" w:hAnsi="仿宋_GB2312" w:cs="仿宋_GB2312"/>
          <w:color w:val="auto"/>
          <w:szCs w:val="32"/>
        </w:rPr>
        <w:t>配套安居优惠、科研支持、专业成长绿色通道等广阔发展平台，吸引高水平的教育人才扎根我区从教。深入实施“银龄教师”计划，扩大高中学科领军教师退休返聘规模并优化相关待遇。搭建办学思想交流平台，鼓励书记校长提炼形成前瞻性、系统性、个性化的办学理念与治校方略。激活名校长工作室示范引领效应，培育一定数量的特级校长，动态储备100名35岁以下优秀年轻后备干部。发挥名师工作室的引导带动作用，构建全周期培养体系，助推青年干部教师驶入专业发展快车道。</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966C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3CF7922">
            <w:pPr>
              <w:spacing w:line="560" w:lineRule="exact"/>
              <w:ind w:firstLine="0" w:firstLineChars="0"/>
              <w:jc w:val="center"/>
              <w:rPr>
                <w:rFonts w:hint="eastAsia" w:ascii="仿宋_GB2312" w:hAnsi="仿宋_GB2312" w:cs="仿宋_GB2312"/>
                <w:color w:val="auto"/>
                <w:szCs w:val="32"/>
              </w:rPr>
            </w:pPr>
            <w:r>
              <w:rPr>
                <w:rFonts w:hint="eastAsia" w:ascii="黑体" w:hAnsi="黑体" w:eastAsia="黑体" w:cs="黑体"/>
                <w:color w:val="auto"/>
                <w:szCs w:val="32"/>
              </w:rPr>
              <w:t>专栏5：人才赋能行动</w:t>
            </w:r>
          </w:p>
        </w:tc>
      </w:tr>
      <w:tr w14:paraId="1ED7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65C528E">
            <w:pPr>
              <w:spacing w:line="560" w:lineRule="exact"/>
              <w:ind w:firstLine="640"/>
              <w:rPr>
                <w:rFonts w:hint="eastAsia" w:ascii="仿宋_GB2312" w:hAnsi="仿宋"/>
                <w:color w:val="auto"/>
                <w:szCs w:val="32"/>
              </w:rPr>
            </w:pPr>
            <w:r>
              <w:rPr>
                <w:rFonts w:hint="eastAsia" w:ascii="仿宋_GB2312" w:hAnsi="仿宋_GB2312" w:cs="仿宋_GB2312"/>
                <w:color w:val="auto"/>
                <w:szCs w:val="32"/>
              </w:rPr>
              <w:t>完善</w:t>
            </w:r>
            <w:r>
              <w:rPr>
                <w:rFonts w:hint="eastAsia" w:ascii="仿宋_GB2312" w:hAnsi="仿宋"/>
                <w:color w:val="auto"/>
                <w:szCs w:val="32"/>
              </w:rPr>
              <w:t>新教师“一三五十”进阶培养项目，从“站稳讲台”到“任务驱动”直至“走进研究”，实现从新教师到骨干教师，再成长为专家型教师的成长蜕变。</w:t>
            </w:r>
            <w:r>
              <w:rPr>
                <w:rFonts w:hint="eastAsia" w:ascii="仿宋_GB2312" w:hAnsi="仿宋_GB2312" w:cs="仿宋_GB2312"/>
                <w:color w:val="auto"/>
                <w:szCs w:val="32"/>
              </w:rPr>
              <w:t>促进骨干教师在实践历练中持续成长，“十五五”期间培养骨干教师不少于30人。深化与高校各专业院系合作，通过“名师研修班”等项目建立战略人才储备库。持续实施</w:t>
            </w:r>
            <w:r>
              <w:rPr>
                <w:rFonts w:hint="eastAsia" w:ascii="仿宋_GB2312" w:hAnsi="仿宋"/>
                <w:color w:val="auto"/>
                <w:szCs w:val="32"/>
              </w:rPr>
              <w:t>“共享教师”制度，推动教师向薄弱学校、紧缺学科精准流动。高质量实施“银龄计划”，建立退休高考攻坚教师聘用制度、退休正高级教师、市级及以上骨干教师聘用制度、退休普通教师短期聘用制度，进一步提高我区教育教学质量。</w:t>
            </w:r>
          </w:p>
        </w:tc>
      </w:tr>
    </w:tbl>
    <w:p w14:paraId="541AA63A">
      <w:pPr>
        <w:spacing w:line="560" w:lineRule="exact"/>
        <w:ind w:firstLine="643"/>
        <w:rPr>
          <w:rFonts w:hint="eastAsia" w:ascii="仿宋_GB2312" w:hAnsi="仿宋"/>
          <w:color w:val="auto"/>
          <w:szCs w:val="32"/>
        </w:rPr>
      </w:pPr>
      <w:r>
        <w:rPr>
          <w:rFonts w:hint="eastAsia" w:ascii="仿宋_GB2312" w:hAnsi="仿宋"/>
          <w:b/>
          <w:bCs/>
          <w:color w:val="auto"/>
          <w:szCs w:val="32"/>
        </w:rPr>
        <w:t>8.凝聚家校社协同育人“教联体”合力。</w:t>
      </w:r>
      <w:r>
        <w:rPr>
          <w:rFonts w:hint="eastAsia" w:ascii="仿宋_GB2312" w:hAnsi="仿宋"/>
          <w:color w:val="auto"/>
          <w:szCs w:val="32"/>
        </w:rPr>
        <w:t>加强校内、校外资源联动，联合相关职能部门或资源单位成立家校社协同育人“教联体”。</w:t>
      </w:r>
      <w:r>
        <w:rPr>
          <w:rFonts w:ascii="仿宋_GB2312" w:hAnsi="仿宋"/>
          <w:color w:val="auto"/>
          <w:szCs w:val="32"/>
        </w:rPr>
        <w:t>通过家长学校标准化建设、社区教育资源共享、数字化平台精准服务等举措，筑牢教育优质均衡发展的社会根基。</w:t>
      </w:r>
      <w:r>
        <w:rPr>
          <w:rFonts w:hint="eastAsia" w:ascii="仿宋_GB2312" w:hAnsi="仿宋"/>
          <w:color w:val="auto"/>
          <w:szCs w:val="32"/>
        </w:rPr>
        <w:t>加强对《中华人民共和国未成年人保护法》《中华人民共和国家庭教育促进法》</w:t>
      </w:r>
      <w:r>
        <w:rPr>
          <w:rFonts w:hint="eastAsia" w:ascii="仿宋_GB2312" w:hAnsi="仿宋"/>
          <w:color w:val="auto"/>
          <w:szCs w:val="32"/>
          <w:lang w:eastAsia="zh-CN"/>
        </w:rPr>
        <w:t>等</w:t>
      </w:r>
      <w:r>
        <w:rPr>
          <w:rFonts w:hint="eastAsia" w:ascii="仿宋_GB2312" w:hAnsi="仿宋"/>
          <w:color w:val="auto"/>
          <w:szCs w:val="32"/>
        </w:rPr>
        <w:t>政策宣传解读，营造全社会关心支持教育改革发展的良好氛围。</w:t>
      </w:r>
    </w:p>
    <w:p w14:paraId="1D67F396">
      <w:pPr>
        <w:spacing w:line="560" w:lineRule="exact"/>
        <w:ind w:firstLine="643"/>
        <w:rPr>
          <w:rFonts w:hint="eastAsia" w:ascii="仿宋_GB2312" w:hAnsi="仿宋_GB2312" w:cs="仿宋_GB2312"/>
          <w:color w:val="auto"/>
          <w:szCs w:val="32"/>
        </w:rPr>
      </w:pPr>
      <w:r>
        <w:rPr>
          <w:rFonts w:hint="eastAsia" w:ascii="仿宋_GB2312" w:hAnsi="仿宋"/>
          <w:b/>
          <w:bCs/>
          <w:color w:val="auto"/>
          <w:szCs w:val="32"/>
        </w:rPr>
        <w:t>9.提升教育服务经济社会发展能力。</w:t>
      </w:r>
      <w:r>
        <w:rPr>
          <w:rFonts w:hint="eastAsia" w:ascii="仿宋_GB2312" w:hAnsi="仿宋_GB2312" w:cs="仿宋_GB2312"/>
          <w:color w:val="auto"/>
          <w:szCs w:val="32"/>
        </w:rPr>
        <w:t>统筹推进托幼一体化建设，加强公办托位供给，大力推动</w:t>
      </w:r>
      <w:r>
        <w:rPr>
          <w:rFonts w:hint="eastAsia" w:ascii="仿宋_GB2312" w:hAnsi="仿宋_GB2312" w:cs="仿宋_GB2312"/>
          <w:color w:val="auto"/>
          <w:szCs w:val="32"/>
          <w:lang w:eastAsia="zh-CN"/>
        </w:rPr>
        <w:t>具备条件的</w:t>
      </w:r>
      <w:r>
        <w:rPr>
          <w:rFonts w:hint="eastAsia" w:ascii="仿宋_GB2312" w:hAnsi="仿宋_GB2312" w:cs="仿宋_GB2312"/>
          <w:color w:val="auto"/>
          <w:szCs w:val="32"/>
        </w:rPr>
        <w:t>公办幼儿园办托班。擦亮“京西研途”特色品牌，完善研学课程资源库，助力乡村振兴。深化与津冀、雄安、新疆、西藏等地幼儿园及中小学对接合作，推动优质教育资源跨区域共享。深化教育与人工智能、超高清视听（计算视听）、心血管创新药械等重点领域的产学研用联动。</w:t>
      </w:r>
      <w:r>
        <w:rPr>
          <w:rFonts w:hint="eastAsia" w:ascii="仿宋_GB2312" w:hAnsi="仿宋_GB2312" w:cs="仿宋_GB2312"/>
          <w:color w:val="auto"/>
          <w:kern w:val="0"/>
          <w:szCs w:val="32"/>
        </w:rPr>
        <w:t>延长全区劳动人口受教育年限，提高全民素质。</w:t>
      </w:r>
    </w:p>
    <w:p w14:paraId="37F88647">
      <w:pPr>
        <w:pStyle w:val="4"/>
        <w:adjustRightInd w:val="0"/>
        <w:snapToGrid w:val="0"/>
        <w:spacing w:before="0" w:after="0" w:line="560" w:lineRule="exact"/>
        <w:ind w:firstLine="687"/>
        <w:rPr>
          <w:rFonts w:hint="eastAsia" w:ascii="楷体_GB2312" w:hAnsi="楷体_GB2312" w:eastAsia="楷体_GB2312" w:cs="楷体_GB2312"/>
          <w:color w:val="auto"/>
          <w:spacing w:val="11"/>
        </w:rPr>
      </w:pPr>
      <w:r>
        <w:rPr>
          <w:rFonts w:hint="eastAsia" w:ascii="楷体_GB2312" w:hAnsi="楷体_GB2312" w:eastAsia="楷体_GB2312" w:cs="楷体_GB2312"/>
          <w:color w:val="auto"/>
          <w:spacing w:val="11"/>
        </w:rPr>
        <w:t>（三）努力让老区人民享受更好的教育</w:t>
      </w:r>
    </w:p>
    <w:p w14:paraId="544421E4">
      <w:pPr>
        <w:spacing w:line="560" w:lineRule="exact"/>
        <w:ind w:firstLine="643"/>
        <w:rPr>
          <w:rFonts w:hint="eastAsia" w:ascii="仿宋_GB2312" w:hAnsi="仿宋"/>
          <w:color w:val="auto"/>
          <w:szCs w:val="32"/>
        </w:rPr>
      </w:pPr>
      <w:r>
        <w:rPr>
          <w:rFonts w:hint="eastAsia" w:ascii="仿宋_GB2312" w:hAnsi="仿宋"/>
          <w:b/>
          <w:bCs/>
          <w:color w:val="auto"/>
          <w:szCs w:val="32"/>
        </w:rPr>
        <w:t>10.学前教育深化幼有优育。</w:t>
      </w:r>
      <w:r>
        <w:rPr>
          <w:rFonts w:hint="eastAsia" w:ascii="仿宋_GB2312" w:hAnsi="仿宋_GB2312" w:cs="仿宋_GB2312"/>
          <w:color w:val="auto"/>
          <w:kern w:val="0"/>
          <w:szCs w:val="32"/>
        </w:rPr>
        <w:t>深入践行 “儿童在前” 教育理念，深化学前教育综合改革，依托自主游戏、自主学习、自主生活，赋能幼儿全面健康发展。健全分层分类教师培育支持体系，深化教师自我评价改革，充分激发教师专业成长内生动力。构建公办为主、民办协同、机构补充的托位供给格局，创新探索 “幼儿园 +”多元化托育服务模式。充分挖掘盘活幼儿园周边各类教育资源，打造 “儿童 + 生活”“儿童 + 生态”“儿童 + 科技”的家园社协同共育新格局。</w:t>
      </w:r>
    </w:p>
    <w:p w14:paraId="54D50856">
      <w:pPr>
        <w:spacing w:line="560" w:lineRule="exact"/>
        <w:ind w:firstLine="643"/>
        <w:rPr>
          <w:rFonts w:hint="eastAsia" w:ascii="仿宋_GB2312" w:hAnsi="仿宋_GB2312" w:cs="仿宋_GB2312"/>
          <w:color w:val="auto"/>
          <w:kern w:val="0"/>
          <w:szCs w:val="32"/>
        </w:rPr>
      </w:pPr>
      <w:r>
        <w:rPr>
          <w:rFonts w:hint="eastAsia" w:ascii="仿宋_GB2312" w:hAnsi="仿宋"/>
          <w:b/>
          <w:bCs/>
          <w:color w:val="auto"/>
          <w:szCs w:val="32"/>
        </w:rPr>
        <w:t>11.小学教育坚持固本培元。</w:t>
      </w:r>
      <w:r>
        <w:rPr>
          <w:rFonts w:hint="eastAsia" w:ascii="仿宋_GB2312" w:hAnsi="仿宋_GB2312" w:cs="仿宋_GB2312"/>
          <w:color w:val="auto"/>
          <w:kern w:val="0"/>
          <w:szCs w:val="32"/>
        </w:rPr>
        <w:t>保护学习兴趣，探索游戏化、生活化的幼小衔接课程，挖掘校史、地域资源创新跨学科的小初贯通课堂模式，通过“做中学”科技实践研发绿水青山特色校本课程。培养学习习惯，强化习惯养成的内生动力，面向不同学段学生阶梯式培养学习习惯。发展学习思维，深化思维课堂与作业改革，保护学生好奇心，培养学生专注力、计算能力与心理调适能力，引导学生在真实情境中强化知识学习与实际问题解决能力。健全学生人格，涵养学生终身发展的必备品格和关键能力。奠基心理健康，建设大数据监测系统，动态跟踪学习与身心状态，举办身心健康主题活动，营造安全、接纳、支持的校园关系。</w:t>
      </w:r>
    </w:p>
    <w:p w14:paraId="0BADA349">
      <w:pPr>
        <w:spacing w:line="560" w:lineRule="exact"/>
        <w:ind w:firstLine="643"/>
        <w:rPr>
          <w:rFonts w:hint="eastAsia" w:ascii="仿宋_GB2312" w:hAnsi="仿宋"/>
          <w:color w:val="auto"/>
          <w:szCs w:val="32"/>
        </w:rPr>
      </w:pPr>
      <w:r>
        <w:rPr>
          <w:rFonts w:hint="eastAsia" w:ascii="仿宋_GB2312" w:hAnsi="仿宋"/>
          <w:b/>
          <w:bCs/>
          <w:color w:val="auto"/>
          <w:szCs w:val="32"/>
        </w:rPr>
        <w:t>12.初中教育注重广泛探索。</w:t>
      </w:r>
      <w:r>
        <w:rPr>
          <w:rFonts w:hint="eastAsia" w:ascii="仿宋_GB2312" w:hAnsi="仿宋"/>
          <w:color w:val="auto"/>
          <w:szCs w:val="32"/>
        </w:rPr>
        <w:t>引导学生为高中阶段的学业发展、专长选择奠定坚实的认知基础与心理准备。健全质量提升与长效管理机制，建立义务教育阶段的教学质量闭环管理机制，保持学生综合素质评价优良率达76%以上。深化初高中贯通与特色培养路径，完善基于核心素养的学业水平评价。</w:t>
      </w:r>
      <w:r>
        <w:rPr>
          <w:rFonts w:hint="eastAsia" w:ascii="仿宋_GB2312" w:hAnsi="仿宋_GB2312" w:cs="仿宋_GB2312"/>
          <w:color w:val="auto"/>
          <w:szCs w:val="32"/>
        </w:rPr>
        <w:t>探索全域1+3背景下的初高中课程贯通衔接。</w:t>
      </w:r>
    </w:p>
    <w:p w14:paraId="1F5DEB68">
      <w:pPr>
        <w:spacing w:line="560" w:lineRule="exact"/>
        <w:ind w:firstLine="643"/>
        <w:rPr>
          <w:rFonts w:hint="eastAsia" w:ascii="仿宋_GB2312" w:hAnsi="仿宋"/>
          <w:color w:val="auto"/>
          <w:szCs w:val="32"/>
        </w:rPr>
      </w:pPr>
      <w:r>
        <w:rPr>
          <w:rFonts w:hint="eastAsia" w:ascii="仿宋_GB2312" w:hAnsi="仿宋"/>
          <w:b/>
          <w:bCs/>
          <w:color w:val="auto"/>
          <w:szCs w:val="32"/>
        </w:rPr>
        <w:t>13.高中教育加强生涯体验。</w:t>
      </w:r>
      <w:r>
        <w:rPr>
          <w:rFonts w:ascii="仿宋_GB2312" w:hAnsi="仿宋_GB2312" w:cs="仿宋_GB2312"/>
          <w:color w:val="auto"/>
          <w:szCs w:val="32"/>
        </w:rPr>
        <w:t>把生涯教育贯穿高中育人全过程，组织模拟招聘、职场体验等实践活动提升综合素养</w:t>
      </w:r>
      <w:r>
        <w:rPr>
          <w:rFonts w:hint="eastAsia" w:ascii="仿宋_GB2312" w:hAnsi="仿宋_GB2312" w:cs="仿宋_GB2312"/>
          <w:color w:val="auto"/>
          <w:szCs w:val="32"/>
        </w:rPr>
        <w:t>。开展</w:t>
      </w:r>
      <w:r>
        <w:rPr>
          <w:rFonts w:ascii="仿宋_GB2312" w:hAnsi="仿宋_GB2312" w:cs="仿宋_GB2312"/>
          <w:color w:val="auto"/>
          <w:szCs w:val="32"/>
        </w:rPr>
        <w:t>升学志愿辅导、高校专业解读、选科规划指导等活动</w:t>
      </w:r>
      <w:r>
        <w:rPr>
          <w:rFonts w:hint="eastAsia" w:ascii="仿宋_GB2312" w:hAnsi="仿宋_GB2312" w:cs="仿宋_GB2312"/>
          <w:color w:val="auto"/>
          <w:szCs w:val="32"/>
        </w:rPr>
        <w:t>，</w:t>
      </w:r>
      <w:r>
        <w:rPr>
          <w:rFonts w:ascii="仿宋_GB2312" w:hAnsi="仿宋_GB2312" w:cs="仿宋_GB2312"/>
          <w:color w:val="auto"/>
          <w:szCs w:val="32"/>
        </w:rPr>
        <w:t>助力学生科学规划学业与未来发展。推进招生与课程贯通创新，全域推进普通高中教育集团课程创新实验区建设</w:t>
      </w:r>
      <w:r>
        <w:rPr>
          <w:rFonts w:hint="eastAsia" w:ascii="仿宋_GB2312" w:hAnsi="仿宋_GB2312" w:cs="仿宋_GB2312"/>
          <w:color w:val="auto"/>
          <w:szCs w:val="32"/>
        </w:rPr>
        <w:t>。教育实践基地探索与科研院所合体向高中开放研究性综合实践活动课程。</w:t>
      </w:r>
    </w:p>
    <w:p w14:paraId="711CBDFC">
      <w:pPr>
        <w:spacing w:line="560" w:lineRule="exact"/>
        <w:ind w:firstLine="643"/>
        <w:rPr>
          <w:rFonts w:hint="eastAsia" w:ascii="仿宋_GB2312" w:hAnsi="仿宋"/>
          <w:color w:val="auto"/>
          <w:szCs w:val="32"/>
        </w:rPr>
      </w:pPr>
      <w:r>
        <w:rPr>
          <w:rFonts w:hint="eastAsia" w:ascii="仿宋_GB2312" w:hAnsi="仿宋"/>
          <w:b/>
          <w:bCs/>
          <w:color w:val="auto"/>
          <w:szCs w:val="32"/>
        </w:rPr>
        <w:t>14.职业教育探索综合高中。</w:t>
      </w:r>
      <w:r>
        <w:rPr>
          <w:rFonts w:hint="eastAsia" w:ascii="仿宋_GB2312" w:hAnsi="仿宋_GB2312" w:cs="仿宋_GB2312"/>
          <w:color w:val="auto"/>
          <w:szCs w:val="32"/>
        </w:rPr>
        <w:t>开展职普融通实践，按要求推动普职学籍互转，推动职业高中与综合高中课程互融互通。探索在中等职业学校建设特色综合高中，加强与高职院校合作，完善“3+2”中高职衔接培养机制，融入中高职一体化发展。立足区域功能定位动态调整专业设置。深化产教融合，推行“校企双导师制”。支持中等职业学校强化实践教学与产学研协同育人，持续提升“双师型”教师队伍比例。</w:t>
      </w:r>
      <w:r>
        <w:rPr>
          <w:rFonts w:hint="eastAsia" w:ascii="仿宋_GB2312" w:hAnsi="仿宋_GB2312" w:cs="仿宋_GB2312"/>
          <w:color w:val="auto"/>
          <w:szCs w:val="32"/>
          <w:lang w:eastAsia="zh-CN"/>
        </w:rPr>
        <w:t>开展</w:t>
      </w:r>
      <w:r>
        <w:rPr>
          <w:rFonts w:hint="eastAsia" w:ascii="仿宋_GB2312" w:hAnsi="仿宋_GB2312" w:cs="仿宋_GB2312"/>
          <w:color w:val="auto"/>
          <w:szCs w:val="32"/>
        </w:rPr>
        <w:t>生涯教育</w:t>
      </w:r>
      <w:r>
        <w:rPr>
          <w:rFonts w:hint="eastAsia" w:ascii="仿宋_GB2312" w:hAnsi="仿宋_GB2312" w:cs="仿宋_GB2312"/>
          <w:color w:val="auto"/>
          <w:szCs w:val="32"/>
          <w:lang w:eastAsia="zh-CN"/>
        </w:rPr>
        <w:t>指导，</w:t>
      </w:r>
      <w:r>
        <w:rPr>
          <w:rFonts w:hint="eastAsia" w:ascii="仿宋_GB2312" w:hAnsi="仿宋_GB2312" w:cs="仿宋_GB2312"/>
          <w:color w:val="auto"/>
          <w:szCs w:val="32"/>
          <w:lang w:val="en-US" w:eastAsia="zh-CN"/>
        </w:rPr>
        <w:t>建设</w:t>
      </w:r>
      <w:r>
        <w:rPr>
          <w:rFonts w:hint="eastAsia" w:ascii="仿宋_GB2312" w:hAnsi="仿宋_GB2312" w:cs="仿宋_GB2312"/>
          <w:color w:val="auto"/>
          <w:szCs w:val="32"/>
        </w:rPr>
        <w:t>职业启蒙和劳动教育</w:t>
      </w:r>
      <w:r>
        <w:rPr>
          <w:rFonts w:hint="eastAsia" w:ascii="仿宋_GB2312" w:hAnsi="仿宋_GB2312" w:cs="仿宋_GB2312"/>
          <w:color w:val="auto"/>
          <w:szCs w:val="32"/>
          <w:lang w:eastAsia="zh-CN"/>
        </w:rPr>
        <w:t>课程体系</w:t>
      </w:r>
      <w:r>
        <w:rPr>
          <w:rFonts w:hint="eastAsia" w:ascii="仿宋_GB2312" w:hAnsi="仿宋_GB2312" w:cs="仿宋_GB2312"/>
          <w:color w:val="auto"/>
          <w:szCs w:val="32"/>
        </w:rPr>
        <w:t>。</w:t>
      </w:r>
    </w:p>
    <w:p w14:paraId="76B15824">
      <w:pPr>
        <w:spacing w:line="560" w:lineRule="exact"/>
        <w:ind w:firstLine="643"/>
        <w:rPr>
          <w:rFonts w:hint="eastAsia" w:ascii="仿宋_GB2312" w:hAnsi="仿宋"/>
          <w:color w:val="auto"/>
          <w:szCs w:val="32"/>
        </w:rPr>
      </w:pPr>
      <w:r>
        <w:rPr>
          <w:rFonts w:hint="eastAsia" w:ascii="仿宋_GB2312" w:hAnsi="仿宋"/>
          <w:b/>
          <w:bCs/>
          <w:color w:val="auto"/>
          <w:szCs w:val="32"/>
        </w:rPr>
        <w:t>15.特殊教育办好全纳教育。</w:t>
      </w:r>
      <w:r>
        <w:rPr>
          <w:rFonts w:ascii="仿宋_GB2312" w:hAnsi="仿宋_GB2312" w:cs="仿宋_GB2312"/>
          <w:color w:val="auto"/>
          <w:szCs w:val="32"/>
        </w:rPr>
        <w:t>保障义务教育阶段残疾儿童就近入学。加强区域特殊</w:t>
      </w:r>
      <w:r>
        <w:rPr>
          <w:rFonts w:hint="eastAsia" w:ascii="仿宋_GB2312" w:hAnsi="仿宋_GB2312" w:cs="仿宋_GB2312"/>
          <w:color w:val="auto"/>
          <w:szCs w:val="32"/>
          <w:lang w:eastAsia="zh-CN"/>
        </w:rPr>
        <w:t>支持教育</w:t>
      </w:r>
      <w:r>
        <w:rPr>
          <w:rFonts w:ascii="仿宋_GB2312" w:hAnsi="仿宋_GB2312" w:cs="仿宋_GB2312"/>
          <w:color w:val="auto"/>
          <w:szCs w:val="32"/>
        </w:rPr>
        <w:t>中心建设。拓展特殊儿童成长通道，积极推动十五年制特殊教育学校建设，打造从幼儿园到高中全学段全纳融合的区域特殊教育服务链条。深化全纳融合教育实践，实施特殊教育学校与普通学校“同一法人、统一管理”的融合办学新模式。引入科学系统的教育干预措施，强化关键期的康复训练。强化部门联动，推进医疗康复与教育教学的深度融合。</w:t>
      </w:r>
      <w:r>
        <w:rPr>
          <w:rFonts w:hint="eastAsia" w:ascii="仿宋_GB2312" w:hAnsi="仿宋_GB2312" w:cs="仿宋_GB2312"/>
          <w:color w:val="auto"/>
          <w:szCs w:val="32"/>
        </w:rPr>
        <w:t>加大特教师资经费对普通学校特殊学生的指导和支持力度。</w:t>
      </w:r>
    </w:p>
    <w:p w14:paraId="0C8F56FD">
      <w:pPr>
        <w:spacing w:line="560" w:lineRule="exact"/>
        <w:ind w:firstLine="643"/>
        <w:rPr>
          <w:rFonts w:hint="eastAsia" w:ascii="仿宋_GB2312" w:hAnsi="仿宋_GB2312" w:cs="仿宋_GB2312"/>
          <w:color w:val="auto"/>
          <w:szCs w:val="32"/>
        </w:rPr>
      </w:pPr>
      <w:r>
        <w:rPr>
          <w:rFonts w:hint="eastAsia" w:ascii="仿宋_GB2312" w:hAnsi="仿宋"/>
          <w:b/>
          <w:bCs/>
          <w:color w:val="auto"/>
          <w:szCs w:val="32"/>
        </w:rPr>
        <w:t>16.社区教育倡导终身学习。</w:t>
      </w:r>
      <w:r>
        <w:rPr>
          <w:rFonts w:hint="eastAsia" w:ascii="仿宋_GB2312" w:hAnsi="仿宋"/>
          <w:color w:val="auto"/>
          <w:szCs w:val="32"/>
        </w:rPr>
        <w:t>服务学习型社会建设，完善区、镇街、村居三级</w:t>
      </w:r>
      <w:r>
        <w:rPr>
          <w:rFonts w:hint="eastAsia" w:ascii="仿宋_GB2312" w:hAnsi="仿宋"/>
          <w:color w:val="auto"/>
          <w:szCs w:val="32"/>
          <w:lang w:eastAsia="zh-CN"/>
        </w:rPr>
        <w:t>终身</w:t>
      </w:r>
      <w:r>
        <w:rPr>
          <w:rFonts w:hint="eastAsia" w:ascii="仿宋_GB2312" w:hAnsi="仿宋"/>
          <w:color w:val="auto"/>
          <w:szCs w:val="32"/>
        </w:rPr>
        <w:t>教育体系，助力社会治理与乡村振兴。</w:t>
      </w:r>
      <w:r>
        <w:rPr>
          <w:rFonts w:ascii="仿宋_GB2312" w:hAnsi="仿宋_GB2312" w:cs="仿宋_GB2312"/>
          <w:color w:val="auto"/>
          <w:szCs w:val="32"/>
        </w:rPr>
        <w:t>加强社区教育学院</w:t>
      </w:r>
      <w:r>
        <w:rPr>
          <w:rFonts w:hint="eastAsia" w:ascii="仿宋_GB2312" w:hAnsi="仿宋_GB2312" w:cs="仿宋_GB2312"/>
          <w:color w:val="auto"/>
          <w:szCs w:val="32"/>
        </w:rPr>
        <w:t>（</w:t>
      </w:r>
      <w:r>
        <w:rPr>
          <w:rFonts w:ascii="仿宋_GB2312" w:hAnsi="仿宋_GB2312" w:cs="仿宋_GB2312"/>
          <w:color w:val="auto"/>
          <w:szCs w:val="32"/>
        </w:rPr>
        <w:t>北京开放大学门头沟区分校</w:t>
      </w:r>
      <w:r>
        <w:rPr>
          <w:rFonts w:hint="eastAsia" w:ascii="仿宋_GB2312" w:hAnsi="仿宋_GB2312" w:cs="仿宋_GB2312"/>
          <w:color w:val="auto"/>
          <w:szCs w:val="32"/>
        </w:rPr>
        <w:t>）</w:t>
      </w:r>
      <w:r>
        <w:rPr>
          <w:rFonts w:ascii="仿宋_GB2312" w:hAnsi="仿宋_GB2312" w:cs="仿宋_GB2312"/>
          <w:color w:val="auto"/>
          <w:szCs w:val="32"/>
        </w:rPr>
        <w:t>建设。深度挖掘社会教育潜力，开展全民终身学习活动周等系列活动。积极发展社区老年教育，</w:t>
      </w:r>
      <w:r>
        <w:rPr>
          <w:rFonts w:hint="eastAsia" w:ascii="仿宋_GB2312" w:hAnsi="仿宋_GB2312" w:cs="仿宋_GB2312"/>
          <w:color w:val="auto"/>
          <w:szCs w:val="32"/>
        </w:rPr>
        <w:t>办好老年开放大学，服务银发经济</w:t>
      </w:r>
      <w:r>
        <w:rPr>
          <w:rFonts w:ascii="仿宋_GB2312" w:hAnsi="仿宋_GB2312" w:cs="仿宋_GB2312"/>
          <w:color w:val="auto"/>
          <w:szCs w:val="32"/>
        </w:rPr>
        <w:t>。推动“市民云学堂”课程资源建设，打造线上线下融合的学习网络，为“全程育人”提供贯穿个体一生的教育支持与成长保障 。</w:t>
      </w:r>
    </w:p>
    <w:p w14:paraId="7208EFC3">
      <w:pPr>
        <w:pStyle w:val="4"/>
        <w:adjustRightInd w:val="0"/>
        <w:snapToGrid w:val="0"/>
        <w:spacing w:before="0" w:after="0" w:line="560" w:lineRule="exact"/>
        <w:ind w:firstLine="687"/>
        <w:rPr>
          <w:rFonts w:hint="eastAsia" w:ascii="楷体_GB2312" w:hAnsi="楷体_GB2312" w:eastAsia="楷体_GB2312" w:cs="楷体_GB2312"/>
          <w:color w:val="auto"/>
          <w:spacing w:val="11"/>
        </w:rPr>
      </w:pPr>
      <w:r>
        <w:rPr>
          <w:rFonts w:hint="eastAsia" w:ascii="楷体_GB2312" w:hAnsi="楷体_GB2312" w:eastAsia="楷体_GB2312" w:cs="楷体_GB2312"/>
          <w:color w:val="auto"/>
          <w:spacing w:val="11"/>
        </w:rPr>
        <w:t>（四）深耕“绿水青山大课堂”特色品牌</w:t>
      </w:r>
    </w:p>
    <w:p w14:paraId="5BE31375">
      <w:pPr>
        <w:spacing w:line="560" w:lineRule="exact"/>
        <w:ind w:firstLine="643"/>
        <w:rPr>
          <w:rFonts w:hint="eastAsia" w:ascii="仿宋_GB2312" w:hAnsi="仿宋"/>
          <w:color w:val="auto"/>
          <w:szCs w:val="32"/>
        </w:rPr>
      </w:pPr>
      <w:r>
        <w:rPr>
          <w:rFonts w:hint="eastAsia" w:ascii="仿宋_GB2312" w:hAnsi="仿宋"/>
          <w:b/>
          <w:bCs/>
          <w:color w:val="auto"/>
          <w:szCs w:val="32"/>
        </w:rPr>
        <w:t>17.促进德智体美劳五育融合发展。</w:t>
      </w:r>
      <w:r>
        <w:rPr>
          <w:rFonts w:hint="eastAsia" w:ascii="仿宋_GB2312" w:hAnsi="仿宋"/>
          <w:color w:val="auto"/>
          <w:szCs w:val="32"/>
        </w:rPr>
        <w:t>健全五育融合培养体系，塑造系列“向阳”教育品牌。创新“五育融合”课程体系和教学实践，丰富科学、体育等教学内容，建设生态涵养区体育运动特色课程群。强化金帆团梯队建设。拓展多元化劳动教育实践场所。建立学生成长档案，构建学生五育全面发展的科学评价体系，强化素质教育。</w:t>
      </w:r>
    </w:p>
    <w:p w14:paraId="7372D36D">
      <w:pPr>
        <w:spacing w:line="560" w:lineRule="exact"/>
        <w:ind w:firstLine="643"/>
        <w:rPr>
          <w:rFonts w:hint="eastAsia" w:ascii="仿宋_GB2312" w:hAnsi="仿宋"/>
          <w:color w:val="auto"/>
          <w:szCs w:val="32"/>
        </w:rPr>
      </w:pPr>
      <w:r>
        <w:rPr>
          <w:rFonts w:hint="eastAsia" w:ascii="仿宋_GB2312" w:hAnsi="仿宋"/>
          <w:b/>
          <w:bCs/>
          <w:color w:val="auto"/>
          <w:szCs w:val="32"/>
        </w:rPr>
        <w:t>18.以“迷你学期”推动城乡一体化。</w:t>
      </w:r>
      <w:r>
        <w:rPr>
          <w:rFonts w:hint="eastAsia" w:ascii="仿宋_GB2312" w:hAnsi="仿宋"/>
          <w:color w:val="auto"/>
          <w:szCs w:val="32"/>
        </w:rPr>
        <w:t>深入实施“迈出教材半步，回归课程初心”教学改革，开发并迭代更新覆盖生态、人文、科技等主题的100条研学路线。</w:t>
      </w:r>
      <w:r>
        <w:rPr>
          <w:rFonts w:ascii="仿宋_GB2312" w:hAnsi="仿宋"/>
          <w:color w:val="auto"/>
          <w:szCs w:val="32"/>
        </w:rPr>
        <w:t>强化项目式学习，实现学段衔接、学科融合、课内外互补，每学期集团内贯通课程实施率不低于80%。</w:t>
      </w:r>
      <w:r>
        <w:rPr>
          <w:rFonts w:hint="eastAsia" w:ascii="仿宋_GB2312" w:hAnsi="仿宋"/>
          <w:color w:val="auto"/>
          <w:szCs w:val="32"/>
        </w:rPr>
        <w:t>促进</w:t>
      </w:r>
      <w:r>
        <w:rPr>
          <w:rFonts w:ascii="仿宋_GB2312" w:hAnsi="仿宋"/>
          <w:color w:val="auto"/>
          <w:szCs w:val="32"/>
        </w:rPr>
        <w:t>城乡学校混编研学，共享双倍资源</w:t>
      </w:r>
      <w:r>
        <w:rPr>
          <w:rFonts w:hint="eastAsia" w:ascii="仿宋_GB2312" w:hAnsi="仿宋"/>
          <w:color w:val="auto"/>
          <w:szCs w:val="32"/>
        </w:rPr>
        <w:t>，助力学生在“山河间成长”。</w:t>
      </w:r>
    </w:p>
    <w:p w14:paraId="1725E7AC">
      <w:pPr>
        <w:spacing w:line="560" w:lineRule="exact"/>
        <w:ind w:firstLine="643"/>
        <w:rPr>
          <w:rFonts w:hint="eastAsia" w:ascii="仿宋_GB2312" w:hAnsi="仿宋"/>
          <w:color w:val="auto"/>
          <w:szCs w:val="32"/>
        </w:rPr>
      </w:pPr>
      <w:r>
        <w:rPr>
          <w:rFonts w:hint="eastAsia" w:ascii="仿宋_GB2312" w:hAnsi="仿宋"/>
          <w:b/>
          <w:bCs/>
          <w:color w:val="auto"/>
          <w:szCs w:val="32"/>
        </w:rPr>
        <w:t>19.以“课创计划”推动大中小一体化。</w:t>
      </w:r>
      <w:r>
        <w:rPr>
          <w:rFonts w:ascii="仿宋_GB2312" w:hAnsi="仿宋"/>
          <w:color w:val="auto"/>
          <w:szCs w:val="32"/>
        </w:rPr>
        <w:t>深化高中与高校常态化战略合作，依托高校前沿学科、科研平台和专家资源，打通基础教育与高等教育育人壁垒</w:t>
      </w:r>
      <w:r>
        <w:rPr>
          <w:rFonts w:hint="eastAsia" w:ascii="仿宋_GB2312" w:hAnsi="仿宋"/>
          <w:color w:val="auto"/>
          <w:szCs w:val="32"/>
        </w:rPr>
        <w:t>，</w:t>
      </w:r>
      <w:r>
        <w:rPr>
          <w:rFonts w:ascii="仿宋_GB2312" w:hAnsi="仿宋"/>
          <w:color w:val="auto"/>
          <w:szCs w:val="32"/>
        </w:rPr>
        <w:t>丰富高阶育人课程体系。立足各学段发展规律推行课创共建项目，</w:t>
      </w:r>
      <w:r>
        <w:rPr>
          <w:rFonts w:hint="eastAsia" w:ascii="仿宋_GB2312" w:hAnsi="仿宋"/>
          <w:color w:val="auto"/>
          <w:szCs w:val="32"/>
        </w:rPr>
        <w:t>支持各学段立足办学禀赋深耕品牌项目，</w:t>
      </w:r>
      <w:r>
        <w:rPr>
          <w:rFonts w:ascii="仿宋_GB2312" w:hAnsi="仿宋"/>
          <w:color w:val="auto"/>
          <w:szCs w:val="32"/>
        </w:rPr>
        <w:t>形成“一校一品多特”的精品教育形态。搭建大中小学纵向贯通、校地校企横向协同、课内外深度互补的一体化育人格局。</w:t>
      </w:r>
    </w:p>
    <w:p w14:paraId="68D0C9EA">
      <w:pPr>
        <w:spacing w:line="560" w:lineRule="exact"/>
        <w:ind w:firstLine="643"/>
        <w:rPr>
          <w:rFonts w:hint="eastAsia" w:ascii="仿宋_GB2312" w:hAnsi="仿宋"/>
          <w:color w:val="auto"/>
          <w:szCs w:val="32"/>
        </w:rPr>
      </w:pPr>
      <w:r>
        <w:rPr>
          <w:rFonts w:hint="eastAsia" w:ascii="仿宋_GB2312" w:hAnsi="仿宋"/>
          <w:b/>
          <w:bCs/>
          <w:color w:val="auto"/>
          <w:szCs w:val="32"/>
        </w:rPr>
        <w:t>20.以纵横交织的课程体系构建“山河学园”。</w:t>
      </w:r>
      <w:r>
        <w:rPr>
          <w:rFonts w:ascii="仿宋_GB2312" w:hAnsi="仿宋"/>
          <w:color w:val="auto"/>
          <w:szCs w:val="32"/>
        </w:rPr>
        <w:t>构建“小学体验感知、初中探究实践、高中研究创新”的纵向特色课程体系</w:t>
      </w:r>
      <w:r>
        <w:rPr>
          <w:rFonts w:hint="eastAsia" w:ascii="仿宋_GB2312" w:hAnsi="仿宋"/>
          <w:color w:val="auto"/>
          <w:szCs w:val="32"/>
        </w:rPr>
        <w:t>。联合高校、科研院所、科创企业开发科技、中医药、机械工程、航天航空、人工智能等系列前沿课程，拓展学生实习与实践基地。构建“三棱锥”课程开发模式，形成分层次、模块化的精品研学课程资源包，建设“绿水青山研学实践体验圈”在线资源平台，实现“一单式选学、一站式服务、一体化培养”。</w:t>
      </w:r>
    </w:p>
    <w:p w14:paraId="24357AB1">
      <w:pPr>
        <w:spacing w:line="560" w:lineRule="exact"/>
        <w:ind w:firstLine="643"/>
        <w:rPr>
          <w:rFonts w:hint="eastAsia" w:ascii="仿宋_GB2312" w:hAnsi="仿宋"/>
          <w:color w:val="auto"/>
          <w:szCs w:val="32"/>
        </w:rPr>
      </w:pPr>
      <w:r>
        <w:rPr>
          <w:rFonts w:hint="eastAsia" w:ascii="仿宋_GB2312" w:hAnsi="仿宋"/>
          <w:b/>
          <w:bCs/>
          <w:color w:val="auto"/>
          <w:szCs w:val="32"/>
        </w:rPr>
        <w:t>21.做强全国科学教育实验区。</w:t>
      </w:r>
      <w:r>
        <w:rPr>
          <w:rFonts w:hint="eastAsia" w:ascii="仿宋_GB2312" w:hAnsi="仿宋"/>
          <w:color w:val="auto"/>
          <w:szCs w:val="32"/>
        </w:rPr>
        <w:t>制定并实施科学教育实验区建设规划。实施中小学生科学素养提升行动，全面推进中小学科学实验室标准化建设，提高实验课教学质量，促进科学高中和科学校园建设。将科学教育系统纳入课程与育人整体方案，实现全员、全过程覆盖。率先实施“领航计划”，倡导“做中学”，完善科技教育实践网络，提升学生科技素养。</w:t>
      </w:r>
    </w:p>
    <w:p w14:paraId="32B09D89">
      <w:pPr>
        <w:spacing w:line="560" w:lineRule="exact"/>
        <w:ind w:firstLine="643"/>
        <w:rPr>
          <w:rFonts w:hint="eastAsia" w:ascii="仿宋_GB2312" w:hAnsi="仿宋"/>
          <w:color w:val="auto"/>
          <w:szCs w:val="32"/>
        </w:rPr>
      </w:pPr>
      <w:r>
        <w:rPr>
          <w:rFonts w:hint="eastAsia" w:ascii="仿宋_GB2312" w:hAnsi="仿宋"/>
          <w:b/>
          <w:bCs/>
          <w:color w:val="auto"/>
          <w:szCs w:val="32"/>
        </w:rPr>
        <w:t>22.</w:t>
      </w:r>
      <w:r>
        <w:rPr>
          <w:rFonts w:hint="eastAsia" w:ascii="仿宋_GB2312" w:hAnsi="仿宋_GB2312" w:cs="仿宋_GB2312"/>
          <w:b/>
          <w:color w:val="auto"/>
          <w:kern w:val="44"/>
          <w:szCs w:val="32"/>
        </w:rPr>
        <w:t>做实全国人工智能教育基地。</w:t>
      </w:r>
      <w:r>
        <w:rPr>
          <w:rFonts w:ascii="仿宋_GB2312" w:hAnsi="仿宋"/>
          <w:color w:val="auto"/>
          <w:szCs w:val="32"/>
        </w:rPr>
        <w:t>构建区域教育“智慧大脑”</w:t>
      </w:r>
      <w:r>
        <w:rPr>
          <w:rFonts w:hint="eastAsia" w:ascii="仿宋_GB2312" w:hAnsi="仿宋"/>
          <w:color w:val="auto"/>
          <w:szCs w:val="32"/>
        </w:rPr>
        <w:t>，探索人工智能赋能未来教育的新模式</w:t>
      </w:r>
      <w:r>
        <w:rPr>
          <w:rFonts w:ascii="仿宋_GB2312" w:hAnsi="仿宋"/>
          <w:color w:val="auto"/>
          <w:szCs w:val="32"/>
        </w:rPr>
        <w:t>。</w:t>
      </w:r>
      <w:r>
        <w:rPr>
          <w:rFonts w:hint="eastAsia" w:ascii="仿宋_GB2312" w:hAnsi="仿宋"/>
          <w:color w:val="auto"/>
          <w:szCs w:val="32"/>
          <w:lang w:eastAsia="zh-CN"/>
        </w:rPr>
        <w:t>加强景山学校京西实验学校“全国中小学人工智能教育基地”建设，做强</w:t>
      </w:r>
      <w:r>
        <w:rPr>
          <w:rFonts w:ascii="仿宋_GB2312" w:hAnsi="仿宋"/>
          <w:color w:val="auto"/>
          <w:szCs w:val="32"/>
        </w:rPr>
        <w:t>“小悟空空间站”</w:t>
      </w:r>
      <w:r>
        <w:rPr>
          <w:rFonts w:hint="eastAsia" w:ascii="仿宋_GB2312" w:hAnsi="仿宋"/>
          <w:color w:val="auto"/>
          <w:szCs w:val="32"/>
        </w:rPr>
        <w:t>，推行泛时空异步自主学习模式，破解时空同步教学瓶颈，推进大规模“因材施教”。塑造“虚实融合、人机协同、自主适配、个性赋能”的人工智能与教育教学深度融合的教育样态，</w:t>
      </w:r>
      <w:r>
        <w:rPr>
          <w:rFonts w:ascii="仿宋_GB2312" w:hAnsi="仿宋"/>
          <w:color w:val="auto"/>
          <w:szCs w:val="32"/>
        </w:rPr>
        <w:t>缩小山区与城区学校的</w:t>
      </w:r>
      <w:r>
        <w:rPr>
          <w:rFonts w:hint="eastAsia" w:ascii="仿宋_GB2312" w:hAnsi="仿宋"/>
          <w:color w:val="auto"/>
          <w:szCs w:val="32"/>
        </w:rPr>
        <w:t>数字鸿沟。对接高校、企业资源，共同打造“人工智能+教育”先行示范区。</w:t>
      </w:r>
    </w:p>
    <w:p w14:paraId="3C986451">
      <w:pPr>
        <w:pStyle w:val="4"/>
        <w:adjustRightInd w:val="0"/>
        <w:snapToGrid w:val="0"/>
        <w:spacing w:before="0" w:after="0" w:line="560" w:lineRule="exact"/>
        <w:ind w:firstLine="687"/>
        <w:rPr>
          <w:rFonts w:hint="eastAsia" w:ascii="楷体_GB2312" w:hAnsi="楷体_GB2312" w:eastAsia="楷体_GB2312" w:cs="楷体_GB2312"/>
          <w:color w:val="auto"/>
          <w:spacing w:val="11"/>
        </w:rPr>
      </w:pPr>
      <w:r>
        <w:rPr>
          <w:rFonts w:hint="eastAsia" w:ascii="楷体_GB2312" w:hAnsi="楷体_GB2312" w:eastAsia="楷体_GB2312" w:cs="楷体_GB2312"/>
          <w:color w:val="auto"/>
          <w:spacing w:val="11"/>
        </w:rPr>
        <w:t>（五）锤炼高水平干部教师队伍</w:t>
      </w:r>
    </w:p>
    <w:p w14:paraId="3D4D3F35">
      <w:pPr>
        <w:spacing w:line="560" w:lineRule="exact"/>
        <w:ind w:firstLine="643"/>
        <w:rPr>
          <w:rFonts w:hint="eastAsia" w:ascii="仿宋_GB2312" w:hAnsi="仿宋"/>
          <w:color w:val="auto"/>
          <w:szCs w:val="32"/>
        </w:rPr>
      </w:pPr>
      <w:r>
        <w:rPr>
          <w:rFonts w:hint="eastAsia" w:ascii="仿宋_GB2312" w:hAnsi="仿宋"/>
          <w:b/>
          <w:bCs/>
          <w:color w:val="auto"/>
          <w:szCs w:val="32"/>
        </w:rPr>
        <w:t>23.实施教育家精神浸润工程。</w:t>
      </w:r>
      <w:r>
        <w:rPr>
          <w:rFonts w:hint="eastAsia" w:ascii="仿宋_GB2312" w:hAnsi="仿宋"/>
          <w:color w:val="auto"/>
          <w:szCs w:val="32"/>
        </w:rPr>
        <w:t>编撰《门头沟教育发展史》、建设“京西名师堂”、宣传崔显芳等“京西大先生”的感人事迹，为区域教育精品化发展注入持久精神动力。</w:t>
      </w:r>
      <w:r>
        <w:rPr>
          <w:rFonts w:ascii="仿宋_GB2312" w:hAnsi="仿宋"/>
          <w:color w:val="auto"/>
          <w:szCs w:val="32"/>
        </w:rPr>
        <w:t>实施好校长培养“火炬计划”</w:t>
      </w:r>
      <w:r>
        <w:rPr>
          <w:rFonts w:hint="eastAsia" w:ascii="仿宋_GB2312" w:hAnsi="仿宋"/>
          <w:color w:val="auto"/>
          <w:szCs w:val="32"/>
        </w:rPr>
        <w:t>，</w:t>
      </w:r>
      <w:r>
        <w:rPr>
          <w:rFonts w:ascii="仿宋_GB2312" w:hAnsi="仿宋"/>
          <w:color w:val="auto"/>
          <w:szCs w:val="32"/>
        </w:rPr>
        <w:t>建设区级名校长工作室。实施好教师培养“灯塔计划”</w:t>
      </w:r>
      <w:r>
        <w:rPr>
          <w:rFonts w:hint="eastAsia" w:ascii="仿宋_GB2312" w:hAnsi="仿宋"/>
          <w:color w:val="auto"/>
          <w:szCs w:val="32"/>
        </w:rPr>
        <w:t>，到2030年，努力培养市、区级骨干教师数量占比突破20%。与高校合作开展“名师研修班”“卓越教师培养”等项目，建立战略人才储备库。</w:t>
      </w:r>
    </w:p>
    <w:p w14:paraId="577EAE8B">
      <w:pPr>
        <w:spacing w:line="560" w:lineRule="exact"/>
        <w:ind w:firstLine="643"/>
        <w:rPr>
          <w:rFonts w:hint="eastAsia" w:ascii="仿宋_GB2312" w:hAnsi="仿宋"/>
          <w:b/>
          <w:bCs/>
          <w:color w:val="auto"/>
          <w:szCs w:val="32"/>
        </w:rPr>
      </w:pPr>
      <w:r>
        <w:rPr>
          <w:rFonts w:hint="eastAsia" w:ascii="仿宋_GB2312" w:hAnsi="仿宋"/>
          <w:b/>
          <w:bCs/>
          <w:color w:val="auto"/>
          <w:szCs w:val="32"/>
        </w:rPr>
        <w:t>24.提高干部队伍学术领导力。</w:t>
      </w:r>
      <w:r>
        <w:rPr>
          <w:rFonts w:hint="eastAsia" w:ascii="仿宋_GB2312" w:hAnsi="仿宋_GB2312" w:cs="仿宋_GB2312"/>
          <w:color w:val="auto"/>
          <w:szCs w:val="32"/>
        </w:rPr>
        <w:t>将科学素养、数字化思维、工程实践能力等课程纳入干部教师培训计划，</w:t>
      </w:r>
      <w:r>
        <w:rPr>
          <w:rFonts w:ascii="仿宋_GB2312" w:hAnsi="仿宋"/>
          <w:color w:val="auto"/>
          <w:szCs w:val="32"/>
        </w:rPr>
        <w:t>常态化开展政策理论、教育管理、</w:t>
      </w:r>
      <w:r>
        <w:rPr>
          <w:rFonts w:hint="eastAsia" w:ascii="仿宋_GB2312" w:hAnsi="仿宋"/>
          <w:color w:val="auto"/>
          <w:szCs w:val="32"/>
        </w:rPr>
        <w:t>科研</w:t>
      </w:r>
      <w:r>
        <w:rPr>
          <w:rFonts w:ascii="仿宋_GB2312" w:hAnsi="仿宋"/>
          <w:color w:val="auto"/>
          <w:szCs w:val="32"/>
        </w:rPr>
        <w:t>前沿专题培训</w:t>
      </w:r>
      <w:r>
        <w:rPr>
          <w:rFonts w:hint="eastAsia" w:ascii="仿宋_GB2312" w:hAnsi="仿宋"/>
          <w:color w:val="auto"/>
          <w:szCs w:val="32"/>
        </w:rPr>
        <w:t>，全面锻造干部教师推动教育高质量发展的综合履职素养。</w:t>
      </w:r>
      <w:r>
        <w:rPr>
          <w:rFonts w:hint="eastAsia" w:ascii="仿宋_GB2312" w:hAnsi="仿宋_GB2312" w:cs="仿宋_GB2312"/>
          <w:color w:val="auto"/>
          <w:szCs w:val="40"/>
        </w:rPr>
        <w:t>带领师生“迈进生活找原型、迈进文献学思维”，持续探索学术文献课。</w:t>
      </w:r>
    </w:p>
    <w:p w14:paraId="31FADF9E">
      <w:pPr>
        <w:spacing w:line="560" w:lineRule="exact"/>
        <w:ind w:firstLine="643"/>
        <w:rPr>
          <w:rFonts w:hint="eastAsia" w:ascii="仿宋_GB2312" w:hAnsi="仿宋"/>
          <w:color w:val="auto"/>
          <w:szCs w:val="32"/>
        </w:rPr>
      </w:pPr>
      <w:r>
        <w:rPr>
          <w:rFonts w:hint="eastAsia" w:ascii="仿宋_GB2312" w:hAnsi="仿宋"/>
          <w:b/>
          <w:bCs/>
          <w:color w:val="auto"/>
          <w:szCs w:val="32"/>
        </w:rPr>
        <w:t>25.拓宽教师专业化发展渠道。</w:t>
      </w:r>
      <w:r>
        <w:rPr>
          <w:rFonts w:hint="eastAsia" w:ascii="仿宋_GB2312" w:hAnsi="仿宋_GB2312" w:cs="仿宋_GB2312"/>
          <w:color w:val="auto"/>
          <w:szCs w:val="32"/>
        </w:rPr>
        <w:t>严格执行岗位设置和聘用制度，在人员流动过程中根据岗位要求，</w:t>
      </w:r>
      <w:r>
        <w:rPr>
          <w:rFonts w:hint="eastAsia" w:ascii="仿宋_GB2312" w:hAnsi="仿宋"/>
          <w:color w:val="auto"/>
          <w:szCs w:val="32"/>
        </w:rPr>
        <w:t>通过公开招聘兼顾学科背景，确保优秀人才进入教师队伍。</w:t>
      </w:r>
      <w:r>
        <w:rPr>
          <w:rFonts w:ascii="仿宋_GB2312" w:hAnsi="仿宋_GB2312" w:cs="仿宋_GB2312"/>
          <w:color w:val="auto"/>
          <w:szCs w:val="32"/>
        </w:rPr>
        <w:t>鼓励加大对在职教师学历提升的支持力度。</w:t>
      </w:r>
      <w:r>
        <w:rPr>
          <w:rFonts w:hint="eastAsia" w:ascii="仿宋_GB2312" w:hAnsi="仿宋"/>
          <w:color w:val="auto"/>
          <w:szCs w:val="32"/>
        </w:rPr>
        <w:t>面向在岗的教非所学教师开展任教能力提升培训。建立教师专业适配调整机制，有序推动教非所学教师向相应岗位合理流动。鼓励教师报考高学段教师资格。</w:t>
      </w:r>
    </w:p>
    <w:p w14:paraId="00617111">
      <w:pPr>
        <w:spacing w:line="560" w:lineRule="exact"/>
        <w:ind w:firstLine="643"/>
        <w:rPr>
          <w:rFonts w:hint="eastAsia" w:ascii="仿宋_GB2312" w:hAnsi="仿宋"/>
          <w:color w:val="auto"/>
          <w:szCs w:val="32"/>
        </w:rPr>
      </w:pPr>
      <w:r>
        <w:rPr>
          <w:rFonts w:hint="eastAsia" w:ascii="仿宋_GB2312" w:hAnsi="仿宋"/>
          <w:b/>
          <w:bCs/>
          <w:color w:val="auto"/>
          <w:szCs w:val="32"/>
        </w:rPr>
        <w:t>26.推动研修队伍提质增效。</w:t>
      </w:r>
      <w:r>
        <w:rPr>
          <w:rFonts w:ascii="仿宋_GB2312" w:hAnsi="仿宋"/>
          <w:color w:val="auto"/>
          <w:szCs w:val="32"/>
        </w:rPr>
        <w:t>强化区级教研机构标准化、专业化</w:t>
      </w:r>
      <w:r>
        <w:rPr>
          <w:rFonts w:hint="eastAsia" w:ascii="仿宋_GB2312" w:hAnsi="仿宋"/>
          <w:color w:val="auto"/>
          <w:szCs w:val="32"/>
        </w:rPr>
        <w:t>、国际化</w:t>
      </w:r>
      <w:r>
        <w:rPr>
          <w:rFonts w:ascii="仿宋_GB2312" w:hAnsi="仿宋"/>
          <w:color w:val="auto"/>
          <w:szCs w:val="32"/>
        </w:rPr>
        <w:t>建设，完善教研人才引育与梯队培养体系，配齐配强专职教研力量</w:t>
      </w:r>
      <w:r>
        <w:rPr>
          <w:rFonts w:hint="eastAsia" w:ascii="仿宋_GB2312" w:hAnsi="仿宋"/>
          <w:color w:val="auto"/>
          <w:szCs w:val="32"/>
        </w:rPr>
        <w:t>。</w:t>
      </w:r>
      <w:r>
        <w:rPr>
          <w:rFonts w:ascii="仿宋_GB2312" w:hAnsi="仿宋"/>
          <w:color w:val="auto"/>
          <w:szCs w:val="32"/>
        </w:rPr>
        <w:t>迭代优化教研内容与实施模式，纵深推进“全域纵贯大教研”行动</w:t>
      </w:r>
      <w:r>
        <w:rPr>
          <w:rFonts w:hint="eastAsia" w:ascii="仿宋_GB2312" w:hAnsi="仿宋"/>
          <w:color w:val="auto"/>
          <w:szCs w:val="32"/>
        </w:rPr>
        <w:t>，</w:t>
      </w:r>
      <w:r>
        <w:rPr>
          <w:rFonts w:ascii="仿宋_GB2312" w:hAnsi="仿宋"/>
          <w:color w:val="auto"/>
          <w:szCs w:val="32"/>
        </w:rPr>
        <w:t>区教育研修学院统筹开展学科教研与跨学段联动教研</w:t>
      </w:r>
      <w:r>
        <w:rPr>
          <w:rFonts w:hint="eastAsia" w:ascii="仿宋_GB2312" w:hAnsi="仿宋"/>
          <w:color w:val="auto"/>
          <w:szCs w:val="32"/>
        </w:rPr>
        <w:t>。大力推进教研智能化，建立评价监测数据库，建立AI分析、定量分析与人工识别判断相结合的评价体系</w:t>
      </w:r>
      <w:r>
        <w:rPr>
          <w:rFonts w:ascii="仿宋_GB2312" w:hAnsi="仿宋"/>
          <w:color w:val="auto"/>
          <w:szCs w:val="32"/>
        </w:rPr>
        <w:t>，常态化推广精品课程、示范课堂与优秀教学案例。依托辖区各校日语、俄语、德语、法语</w:t>
      </w:r>
      <w:r>
        <w:rPr>
          <w:rFonts w:hint="eastAsia" w:ascii="仿宋_GB2312" w:hAnsi="仿宋"/>
          <w:color w:val="auto"/>
          <w:szCs w:val="32"/>
        </w:rPr>
        <w:t>、西班牙语</w:t>
      </w:r>
      <w:r>
        <w:rPr>
          <w:rFonts w:ascii="仿宋_GB2312" w:hAnsi="仿宋"/>
          <w:color w:val="auto"/>
          <w:szCs w:val="32"/>
        </w:rPr>
        <w:t>等特色语种教学基础，常态化开展多语种教学探索与实践育人活动。</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D912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53B4349">
            <w:pPr>
              <w:spacing w:line="560" w:lineRule="exact"/>
              <w:ind w:firstLine="0" w:firstLineChars="0"/>
              <w:jc w:val="center"/>
              <w:rPr>
                <w:rFonts w:hint="eastAsia" w:ascii="仿宋_GB2312" w:hAnsi="仿宋_GB2312" w:cs="仿宋_GB2312"/>
                <w:color w:val="auto"/>
                <w:szCs w:val="32"/>
              </w:rPr>
            </w:pPr>
            <w:r>
              <w:rPr>
                <w:rFonts w:hint="eastAsia" w:ascii="黑体" w:hAnsi="黑体" w:eastAsia="黑体" w:cs="黑体"/>
                <w:color w:val="auto"/>
                <w:szCs w:val="32"/>
              </w:rPr>
              <w:t>专栏6：尊师重教行动</w:t>
            </w:r>
          </w:p>
        </w:tc>
      </w:tr>
      <w:tr w14:paraId="1BC1F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432610D">
            <w:pPr>
              <w:spacing w:line="560" w:lineRule="exact"/>
              <w:ind w:firstLine="640"/>
              <w:rPr>
                <w:rFonts w:hint="eastAsia" w:ascii="仿宋_GB2312" w:hAnsi="仿宋"/>
                <w:color w:val="auto"/>
                <w:szCs w:val="32"/>
              </w:rPr>
            </w:pPr>
            <w:r>
              <w:rPr>
                <w:rFonts w:hint="eastAsia" w:ascii="仿宋_GB2312" w:hAnsi="仿宋"/>
                <w:color w:val="auto"/>
                <w:szCs w:val="32"/>
              </w:rPr>
              <w:t>加大优秀教师宣传力度，形成“十大榜样、百名标兵、千人争先”的生动局面。将师德表现作为教师资格准入、职称评聘、评优奖励等首要要求。构建“京西师生维权平台”，联合区级相关部门成立教育系统人民调解委员会，</w:t>
            </w:r>
            <w:r>
              <w:rPr>
                <w:rFonts w:hint="eastAsia" w:ascii="仿宋_GB2312" w:hAnsi="ˎ̥" w:cs="宋体"/>
                <w:color w:val="auto"/>
                <w:kern w:val="0"/>
                <w:szCs w:val="32"/>
              </w:rPr>
              <w:t>维护教师、学生、学校及相关当事人的合法权益</w:t>
            </w:r>
            <w:r>
              <w:rPr>
                <w:rFonts w:hint="eastAsia" w:ascii="仿宋_GB2312" w:hAnsi="仿宋"/>
                <w:color w:val="auto"/>
                <w:szCs w:val="32"/>
              </w:rPr>
              <w:t>。</w:t>
            </w:r>
          </w:p>
        </w:tc>
      </w:tr>
    </w:tbl>
    <w:p w14:paraId="7A3B55EB">
      <w:pPr>
        <w:pStyle w:val="4"/>
        <w:adjustRightInd w:val="0"/>
        <w:snapToGrid w:val="0"/>
        <w:spacing w:before="0" w:after="0" w:line="560" w:lineRule="exact"/>
        <w:ind w:firstLine="687"/>
        <w:rPr>
          <w:rFonts w:hint="eastAsia" w:ascii="楷体_GB2312" w:hAnsi="楷体_GB2312" w:eastAsia="楷体_GB2312" w:cs="楷体_GB2312"/>
          <w:color w:val="auto"/>
          <w:spacing w:val="11"/>
        </w:rPr>
      </w:pPr>
      <w:r>
        <w:rPr>
          <w:rFonts w:hint="eastAsia" w:ascii="楷体_GB2312" w:hAnsi="楷体_GB2312" w:eastAsia="楷体_GB2312" w:cs="楷体_GB2312"/>
          <w:color w:val="auto"/>
          <w:spacing w:val="11"/>
        </w:rPr>
        <w:t>（六）加强教育领域综合改革</w:t>
      </w:r>
    </w:p>
    <w:p w14:paraId="515C0B3C">
      <w:pPr>
        <w:spacing w:line="560" w:lineRule="exact"/>
        <w:ind w:firstLine="643"/>
        <w:rPr>
          <w:rFonts w:hint="eastAsia" w:ascii="仿宋_GB2312" w:hAnsi="仿宋_GB2312" w:cs="仿宋_GB2312"/>
          <w:color w:val="auto"/>
          <w:szCs w:val="32"/>
        </w:rPr>
      </w:pPr>
      <w:r>
        <w:rPr>
          <w:rFonts w:hint="eastAsia" w:ascii="仿宋_GB2312" w:hAnsi="仿宋"/>
          <w:b/>
          <w:bCs/>
          <w:color w:val="auto"/>
          <w:szCs w:val="32"/>
        </w:rPr>
        <w:t>27.优化教育资源布局。</w:t>
      </w:r>
      <w:r>
        <w:rPr>
          <w:rFonts w:ascii="仿宋_GB2312" w:hAnsi="仿宋"/>
          <w:color w:val="auto"/>
          <w:szCs w:val="32"/>
        </w:rPr>
        <w:t>深化“五纵八横”集团化办学布局</w:t>
      </w:r>
      <w:r>
        <w:rPr>
          <w:rFonts w:hint="eastAsia" w:ascii="仿宋_GB2312" w:hAnsi="仿宋_GB2312" w:cs="仿宋_GB2312"/>
          <w:bCs/>
          <w:color w:val="auto"/>
          <w:kern w:val="44"/>
          <w:szCs w:val="32"/>
        </w:rPr>
        <w:t>，</w:t>
      </w:r>
      <w:r>
        <w:rPr>
          <w:rFonts w:ascii="仿宋_GB2312" w:hAnsi="仿宋"/>
          <w:color w:val="auto"/>
          <w:szCs w:val="32"/>
        </w:rPr>
        <w:t>推动集团</w:t>
      </w:r>
      <w:r>
        <w:rPr>
          <w:rFonts w:hint="eastAsia" w:ascii="仿宋_GB2312" w:hAnsi="仿宋"/>
          <w:color w:val="auto"/>
          <w:szCs w:val="32"/>
        </w:rPr>
        <w:t>化</w:t>
      </w:r>
      <w:r>
        <w:rPr>
          <w:rFonts w:ascii="仿宋_GB2312" w:hAnsi="仿宋"/>
          <w:color w:val="auto"/>
          <w:szCs w:val="32"/>
        </w:rPr>
        <w:t>办学从规模扩张向质量提质转型。</w:t>
      </w:r>
      <w:r>
        <w:rPr>
          <w:rFonts w:hint="eastAsia" w:ascii="仿宋_GB2312" w:hAnsi="仿宋"/>
          <w:color w:val="auto"/>
          <w:szCs w:val="32"/>
        </w:rPr>
        <w:t>发挥</w:t>
      </w:r>
      <w:r>
        <w:rPr>
          <w:rFonts w:ascii="仿宋_GB2312" w:hAnsi="仿宋"/>
          <w:color w:val="auto"/>
          <w:szCs w:val="32"/>
        </w:rPr>
        <w:t>城乡教育</w:t>
      </w:r>
      <w:r>
        <w:rPr>
          <w:rFonts w:hint="eastAsia" w:ascii="仿宋_GB2312" w:hAnsi="仿宋"/>
          <w:color w:val="auto"/>
          <w:szCs w:val="32"/>
        </w:rPr>
        <w:t>发展</w:t>
      </w:r>
      <w:r>
        <w:rPr>
          <w:rFonts w:ascii="仿宋_GB2312" w:hAnsi="仿宋"/>
          <w:color w:val="auto"/>
          <w:szCs w:val="32"/>
        </w:rPr>
        <w:t>联盟、小学</w:t>
      </w:r>
      <w:r>
        <w:rPr>
          <w:rFonts w:hint="eastAsia" w:ascii="仿宋_GB2312" w:hAnsi="仿宋"/>
          <w:color w:val="auto"/>
          <w:szCs w:val="32"/>
        </w:rPr>
        <w:t>校</w:t>
      </w:r>
      <w:r>
        <w:rPr>
          <w:rFonts w:hint="eastAsia" w:ascii="仿宋_GB2312" w:hAnsi="仿宋_GB2312" w:cs="仿宋_GB2312"/>
          <w:color w:val="auto"/>
          <w:szCs w:val="32"/>
        </w:rPr>
        <w:t>·</w:t>
      </w:r>
      <w:r>
        <w:rPr>
          <w:rFonts w:hint="eastAsia" w:ascii="仿宋_GB2312" w:hAnsi="仿宋"/>
          <w:color w:val="auto"/>
          <w:szCs w:val="32"/>
        </w:rPr>
        <w:t>好</w:t>
      </w:r>
      <w:r>
        <w:rPr>
          <w:rFonts w:ascii="仿宋_GB2312" w:hAnsi="仿宋"/>
          <w:color w:val="auto"/>
          <w:szCs w:val="32"/>
        </w:rPr>
        <w:t>教育联盟</w:t>
      </w:r>
      <w:r>
        <w:rPr>
          <w:rFonts w:hint="eastAsia" w:ascii="仿宋_GB2312" w:hAnsi="仿宋"/>
          <w:color w:val="auto"/>
          <w:szCs w:val="32"/>
        </w:rPr>
        <w:t>实效。</w:t>
      </w:r>
      <w:r>
        <w:rPr>
          <w:rFonts w:ascii="仿宋_GB2312" w:hAnsi="仿宋_GB2312" w:cs="仿宋_GB2312"/>
          <w:color w:val="auto"/>
          <w:szCs w:val="32"/>
        </w:rPr>
        <w:t>推动南城“加量做强”、北城“提质增效”、山区“做精做优”</w:t>
      </w:r>
      <w:r>
        <w:rPr>
          <w:rFonts w:hint="eastAsia" w:ascii="仿宋_GB2312" w:hAnsi="仿宋"/>
          <w:color w:val="auto"/>
          <w:szCs w:val="32"/>
        </w:rPr>
        <w:t>。</w:t>
      </w:r>
      <w:r>
        <w:rPr>
          <w:rFonts w:hint="eastAsia" w:ascii="仿宋_GB2312" w:hAnsi="仿宋_GB2312" w:cs="仿宋_GB2312"/>
          <w:color w:val="auto"/>
          <w:kern w:val="44"/>
          <w:szCs w:val="32"/>
        </w:rPr>
        <w:t>依托京蔚高速开通优势，盘活山区教育资源，促进城乡学生共享双倍教育资源，破解山区小规模学校发展难题。“山谷系列”本土品牌与“京西系列”引进品牌并驾齐驱、双轮驱动。</w:t>
      </w:r>
      <w:r>
        <w:rPr>
          <w:rFonts w:hint="eastAsia" w:ascii="仿宋_GB2312" w:hAnsi="仿宋_GB2312" w:cs="仿宋_GB2312"/>
          <w:color w:val="auto"/>
          <w:kern w:val="0"/>
          <w:szCs w:val="32"/>
        </w:rPr>
        <w:t>引进清华附中潭柘寺学校（中学部），</w:t>
      </w:r>
      <w:r>
        <w:rPr>
          <w:rFonts w:ascii="仿宋_GB2312" w:hAnsi="仿宋_GB2312" w:cs="仿宋_GB2312"/>
          <w:color w:val="auto"/>
          <w:kern w:val="44"/>
          <w:szCs w:val="32"/>
        </w:rPr>
        <w:t>加快育园小学、东辛房小学新建工程</w:t>
      </w:r>
      <w:r>
        <w:rPr>
          <w:rFonts w:hint="eastAsia" w:ascii="仿宋_GB2312" w:hAnsi="仿宋_GB2312" w:cs="仿宋_GB2312"/>
          <w:color w:val="auto"/>
          <w:kern w:val="44"/>
          <w:szCs w:val="32"/>
        </w:rPr>
        <w:t>竣工交付使用</w:t>
      </w:r>
      <w:r>
        <w:rPr>
          <w:rFonts w:hint="eastAsia" w:ascii="仿宋_GB2312" w:hAnsi="仿宋_GB2312" w:cs="仿宋_GB2312"/>
          <w:color w:val="auto"/>
          <w:szCs w:val="32"/>
        </w:rPr>
        <w:t>。</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E56D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tcPr>
          <w:p w14:paraId="642257D4">
            <w:pPr>
              <w:spacing w:line="560" w:lineRule="exact"/>
              <w:ind w:firstLine="0" w:firstLineChars="0"/>
              <w:jc w:val="center"/>
              <w:rPr>
                <w:rFonts w:hint="eastAsia" w:ascii="仿宋_GB2312" w:hAnsi="仿宋_GB2312" w:cs="仿宋_GB2312"/>
                <w:color w:val="auto"/>
                <w:szCs w:val="32"/>
              </w:rPr>
            </w:pPr>
            <w:r>
              <w:rPr>
                <w:rFonts w:hint="eastAsia" w:ascii="黑体" w:hAnsi="黑体" w:eastAsia="黑体" w:cs="黑体"/>
                <w:color w:val="auto"/>
                <w:szCs w:val="32"/>
              </w:rPr>
              <w:t>专栏</w:t>
            </w:r>
            <w:r>
              <w:rPr>
                <w:rFonts w:hint="eastAsia" w:ascii="黑体" w:hAnsi="黑体" w:eastAsia="黑体" w:cs="黑体"/>
                <w:color w:val="auto"/>
                <w:szCs w:val="32"/>
                <w:lang w:val="en-US" w:eastAsia="zh-CN"/>
              </w:rPr>
              <w:t>7</w:t>
            </w:r>
            <w:r>
              <w:rPr>
                <w:rFonts w:hint="eastAsia" w:ascii="黑体" w:hAnsi="黑体" w:eastAsia="黑体" w:cs="黑体"/>
                <w:color w:val="auto"/>
                <w:szCs w:val="32"/>
              </w:rPr>
              <w:t>：</w:t>
            </w:r>
            <w:r>
              <w:rPr>
                <w:rFonts w:hint="eastAsia" w:ascii="黑体" w:hAnsi="黑体" w:eastAsia="黑体" w:cs="黑体"/>
                <w:color w:val="auto"/>
                <w:szCs w:val="32"/>
                <w:lang w:eastAsia="zh-CN"/>
              </w:rPr>
              <w:t>资源激活</w:t>
            </w:r>
            <w:r>
              <w:rPr>
                <w:rFonts w:hint="eastAsia" w:ascii="黑体" w:hAnsi="黑体" w:eastAsia="黑体" w:cs="黑体"/>
                <w:color w:val="auto"/>
                <w:szCs w:val="32"/>
              </w:rPr>
              <w:t>行动</w:t>
            </w:r>
          </w:p>
        </w:tc>
      </w:tr>
      <w:tr w14:paraId="21B28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742745A">
            <w:pPr>
              <w:spacing w:line="560" w:lineRule="exact"/>
              <w:ind w:firstLine="640"/>
              <w:rPr>
                <w:rFonts w:hint="eastAsia" w:ascii="仿宋_GB2312" w:hAnsi="仿宋" w:eastAsia="仿宋_GB2312"/>
                <w:color w:val="auto"/>
                <w:szCs w:val="32"/>
                <w:lang w:eastAsia="zh-CN"/>
              </w:rPr>
            </w:pPr>
            <w:r>
              <w:rPr>
                <w:rFonts w:hint="eastAsia" w:ascii="仿宋_GB2312" w:hAnsi="仿宋"/>
                <w:color w:val="000000"/>
                <w:szCs w:val="32"/>
              </w:rPr>
              <w:t>根据学龄人口变化趋势，结合初中学龄人口达峰需求，建立义务教育阶段学位弹性供给机制，增加初中优质资源供给。创新实施“学位蓄水池”管理模式，制定学位统筹调配预案，确保教育资源供给与区域发展同步。</w:t>
            </w:r>
            <w:r>
              <w:rPr>
                <w:rFonts w:hint="eastAsia" w:ascii="仿宋_GB2312" w:hAnsi="仿宋"/>
                <w:color w:val="000000"/>
                <w:szCs w:val="32"/>
                <w:lang w:eastAsia="zh-CN"/>
              </w:rPr>
              <w:t>深化清水地区教育布局调整经验，探索调整其他山区教育资源布局。</w:t>
            </w:r>
          </w:p>
        </w:tc>
      </w:tr>
    </w:tbl>
    <w:p w14:paraId="5327E82B">
      <w:pPr>
        <w:spacing w:line="560" w:lineRule="exact"/>
        <w:ind w:firstLine="643"/>
        <w:rPr>
          <w:rFonts w:hint="eastAsia" w:ascii="仿宋_GB2312" w:hAnsi="仿宋"/>
          <w:color w:val="auto"/>
          <w:szCs w:val="32"/>
        </w:rPr>
      </w:pPr>
      <w:r>
        <w:rPr>
          <w:rFonts w:hint="eastAsia" w:ascii="仿宋_GB2312" w:hAnsi="仿宋"/>
          <w:b/>
          <w:bCs/>
          <w:color w:val="auto"/>
          <w:szCs w:val="32"/>
        </w:rPr>
        <w:t>28.有序推进考试招生制度改革。</w:t>
      </w:r>
      <w:r>
        <w:rPr>
          <w:rFonts w:hint="eastAsia" w:ascii="仿宋_GB2312" w:hAnsi="仿宋_GB2312" w:cs="仿宋_GB2312"/>
          <w:color w:val="auto"/>
          <w:kern w:val="0"/>
          <w:szCs w:val="32"/>
        </w:rPr>
        <w:t>持续挖潜扩大景山京西实验学校等优质高中学位，全域实现普通高中“愿上尽上”。</w:t>
      </w:r>
      <w:r>
        <w:rPr>
          <w:rFonts w:hint="eastAsia" w:ascii="仿宋_GB2312" w:hAnsi="仿宋"/>
          <w:color w:val="auto"/>
          <w:szCs w:val="32"/>
        </w:rPr>
        <w:t>探索建立“1+3”、集团直升、自主招生等多元并存的招生录取模式，实现学段贯通培养。在原有高考升学基础上，将“艺体类提前招生，‘强基计划’招生、奥林匹克学科竞赛保送、综合评价招生”等多元升学路径统筹纳入学校升学评价体系，让学生“有出路”。</w:t>
      </w:r>
    </w:p>
    <w:p w14:paraId="3D029EA0">
      <w:pPr>
        <w:adjustRightInd w:val="0"/>
        <w:snapToGrid w:val="0"/>
        <w:spacing w:line="560" w:lineRule="exact"/>
        <w:ind w:firstLine="643"/>
        <w:rPr>
          <w:rFonts w:hint="eastAsia" w:ascii="仿宋_GB2312" w:hAnsi="仿宋"/>
          <w:color w:val="auto"/>
          <w:szCs w:val="32"/>
        </w:rPr>
      </w:pPr>
      <w:r>
        <w:rPr>
          <w:rFonts w:hint="eastAsia" w:ascii="仿宋_GB2312" w:hAnsi="仿宋"/>
          <w:b/>
          <w:bCs/>
          <w:color w:val="auto"/>
          <w:szCs w:val="32"/>
        </w:rPr>
        <w:t>29.完善督导、考核、评价制度。</w:t>
      </w:r>
      <w:r>
        <w:rPr>
          <w:rFonts w:hint="eastAsia" w:ascii="仿宋_GB2312" w:hAnsi="仿宋"/>
          <w:color w:val="auto"/>
          <w:szCs w:val="32"/>
        </w:rPr>
        <w:t>建立义务教育优质均衡发展区常态化监测机制，强化政府履行教育职责评价。强化教育质量监测和社会满意度评估的结果运用。探索“全方位考核”激励机制。</w:t>
      </w:r>
      <w:r>
        <w:rPr>
          <w:rFonts w:ascii="仿宋_GB2312" w:hAnsi="仿宋"/>
          <w:color w:val="auto"/>
          <w:szCs w:val="32"/>
        </w:rPr>
        <w:t>打通职称评审与事业单位岗位聘用衔接通道，健全重师德、重实绩、重贡献的教师激励约束机制。</w:t>
      </w:r>
      <w:r>
        <w:rPr>
          <w:rFonts w:hint="eastAsia" w:ascii="仿宋_GB2312" w:hAnsi="仿宋"/>
          <w:color w:val="auto"/>
          <w:szCs w:val="32"/>
        </w:rPr>
        <w:t>构建以促进学生全面发展、提升育人实效为核心的多元评价体系。发挥奖惩性评价的激励约束作用。</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5BE1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88C3445">
            <w:pPr>
              <w:spacing w:line="560" w:lineRule="exact"/>
              <w:ind w:firstLine="0" w:firstLineChars="0"/>
              <w:jc w:val="center"/>
              <w:rPr>
                <w:rFonts w:hint="eastAsia" w:ascii="仿宋_GB2312" w:hAnsi="仿宋_GB2312" w:cs="仿宋_GB2312"/>
                <w:color w:val="auto"/>
                <w:szCs w:val="32"/>
              </w:rPr>
            </w:pPr>
            <w:r>
              <w:rPr>
                <w:rFonts w:hint="eastAsia" w:ascii="黑体" w:hAnsi="黑体" w:eastAsia="黑体" w:cs="黑体"/>
                <w:color w:val="auto"/>
                <w:szCs w:val="32"/>
              </w:rPr>
              <w:t>专栏</w:t>
            </w:r>
            <w:r>
              <w:rPr>
                <w:rFonts w:hint="eastAsia" w:ascii="黑体" w:hAnsi="黑体" w:eastAsia="黑体" w:cs="黑体"/>
                <w:color w:val="auto"/>
                <w:szCs w:val="32"/>
                <w:lang w:val="en-US" w:eastAsia="zh-CN"/>
              </w:rPr>
              <w:t>8</w:t>
            </w:r>
            <w:r>
              <w:rPr>
                <w:rFonts w:hint="eastAsia" w:ascii="黑体" w:hAnsi="黑体" w:eastAsia="黑体" w:cs="黑体"/>
                <w:color w:val="auto"/>
                <w:szCs w:val="32"/>
              </w:rPr>
              <w:t>：效能激励行动</w:t>
            </w:r>
          </w:p>
        </w:tc>
      </w:tr>
      <w:tr w14:paraId="0E208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81AFB1F">
            <w:pPr>
              <w:spacing w:line="560" w:lineRule="exact"/>
              <w:ind w:firstLine="640"/>
              <w:rPr>
                <w:rFonts w:hint="eastAsia" w:ascii="仿宋_GB2312" w:hAnsi="仿宋"/>
                <w:color w:val="auto"/>
                <w:szCs w:val="32"/>
              </w:rPr>
            </w:pPr>
            <w:r>
              <w:rPr>
                <w:rFonts w:hint="eastAsia" w:ascii="仿宋_GB2312" w:hAnsi="仿宋"/>
                <w:color w:val="auto"/>
                <w:szCs w:val="32"/>
              </w:rPr>
              <w:t>研究制定干部教师效能激励相关方案。健全政治素质、师德师风、育人能力三位一体的教师管理考核机制，发挥奖惩性评价的激励约束作用，引导教师追求卓越。深化绩效改革，规范统筹绩效管理，向教育教学实绩突出和一线教师倾斜。建立科学规范、多元立体的综合评价制度，激发干部教师队伍内生力。发挥考核评价激励作用，强化评价结果运用。</w:t>
            </w:r>
          </w:p>
        </w:tc>
      </w:tr>
    </w:tbl>
    <w:p w14:paraId="10C2124F">
      <w:pPr>
        <w:pStyle w:val="4"/>
        <w:adjustRightInd w:val="0"/>
        <w:snapToGrid w:val="0"/>
        <w:spacing w:before="0" w:after="0" w:line="560" w:lineRule="exact"/>
        <w:ind w:firstLine="687"/>
        <w:rPr>
          <w:rFonts w:hint="eastAsia" w:ascii="楷体_GB2312" w:hAnsi="楷体_GB2312" w:eastAsia="楷体_GB2312" w:cs="楷体_GB2312"/>
          <w:color w:val="auto"/>
          <w:spacing w:val="11"/>
        </w:rPr>
      </w:pPr>
      <w:r>
        <w:rPr>
          <w:rFonts w:hint="eastAsia" w:ascii="楷体_GB2312" w:hAnsi="楷体_GB2312" w:eastAsia="楷体_GB2312" w:cs="楷体_GB2312"/>
          <w:color w:val="auto"/>
          <w:spacing w:val="11"/>
        </w:rPr>
        <w:t>（七）筑牢安全发展底线思维</w:t>
      </w:r>
    </w:p>
    <w:p w14:paraId="505F1410">
      <w:pPr>
        <w:spacing w:line="560" w:lineRule="exact"/>
        <w:ind w:firstLine="643"/>
        <w:rPr>
          <w:rFonts w:hint="eastAsia" w:ascii="仿宋_GB2312" w:hAnsi="仿宋_GB2312" w:cs="仿宋_GB2312"/>
          <w:b/>
          <w:bCs/>
          <w:color w:val="auto"/>
          <w:szCs w:val="32"/>
        </w:rPr>
      </w:pPr>
      <w:r>
        <w:rPr>
          <w:rFonts w:hint="eastAsia" w:ascii="仿宋_GB2312" w:hAnsi="仿宋"/>
          <w:b/>
          <w:bCs/>
          <w:color w:val="auto"/>
          <w:szCs w:val="32"/>
        </w:rPr>
        <w:t>30.建设平急两用校园安全岛。</w:t>
      </w:r>
      <w:r>
        <w:rPr>
          <w:rFonts w:hint="eastAsia" w:ascii="仿宋_GB2312" w:hAnsi="仿宋"/>
          <w:color w:val="auto"/>
          <w:szCs w:val="32"/>
        </w:rPr>
        <w:t>立足北京市地方标准《校园安全岛建设与管理规范》，持续细化完善校园安全岛系列配套建设标准、管理规范，布局安全岛群落建设。构建覆盖全学段、多层次、全方位的青少年韧性素养培育体系，融合安全技能、心理韧性等多维培育内容。研制中小学生百项应急避险实训技能清单。聚焦校园周边治理、极端事件、防震减灾等重点专项领域，常态化开展校园安全专题调研评估。夯实多维度、立体化校园安全共治格局。立足门头沟山区实际和“校园安全岛”避险实践经验基础，以人工智能与校园安全管理深度融合为路径，推动中小学幼儿园“数智安防”建设工作，实现对校园安全风险隐患的智能化监控、预警、管理、处置，全面提升校园安全防控能力。</w:t>
      </w:r>
    </w:p>
    <w:p w14:paraId="77C755A0">
      <w:pPr>
        <w:spacing w:line="560" w:lineRule="exact"/>
        <w:ind w:firstLine="643"/>
        <w:rPr>
          <w:rFonts w:hint="eastAsia" w:ascii="仿宋_GB2312" w:hAnsi="仿宋"/>
          <w:color w:val="auto"/>
          <w:szCs w:val="32"/>
        </w:rPr>
      </w:pPr>
      <w:r>
        <w:rPr>
          <w:rFonts w:hint="eastAsia" w:ascii="仿宋_GB2312" w:hAnsi="仿宋_GB2312" w:cs="仿宋_GB2312"/>
          <w:b/>
          <w:bCs/>
          <w:color w:val="auto"/>
          <w:szCs w:val="32"/>
        </w:rPr>
        <w:t>31.深化平安校园</w:t>
      </w:r>
      <w:r>
        <w:rPr>
          <w:rFonts w:hint="eastAsia" w:ascii="仿宋_GB2312" w:hAnsi="仿宋"/>
          <w:b/>
          <w:bCs/>
          <w:color w:val="auto"/>
          <w:szCs w:val="32"/>
        </w:rPr>
        <w:t>提升工程。</w:t>
      </w:r>
      <w:r>
        <w:rPr>
          <w:rFonts w:hint="eastAsia" w:ascii="仿宋_GB2312" w:hAnsi="仿宋"/>
          <w:color w:val="auto"/>
          <w:szCs w:val="32"/>
        </w:rPr>
        <w:t>开展校园全域风险排查，落实分级分类精准管控工作措施。建立动态风险数据台账，常态化更新校园风险点位基础信息。搭建多部门协同机制，畅通校内外应急联动快速处置渠道。构建校园AI智能预警体系，统筹推进人防、物防、技防、智防深度融合，构建四维一体校园安全综合防护体系。落地智能安全机器人机协同场景，开展校园常态巡查值守隐患筛查。</w:t>
      </w:r>
    </w:p>
    <w:p w14:paraId="352CD184">
      <w:pPr>
        <w:tabs>
          <w:tab w:val="left" w:pos="821"/>
        </w:tabs>
        <w:spacing w:line="560" w:lineRule="exact"/>
        <w:ind w:firstLine="643"/>
        <w:rPr>
          <w:rFonts w:hint="eastAsia" w:ascii="仿宋_GB2312" w:hAnsi="仿宋"/>
          <w:color w:val="auto"/>
          <w:szCs w:val="32"/>
        </w:rPr>
      </w:pPr>
      <w:r>
        <w:rPr>
          <w:rFonts w:hint="eastAsia" w:ascii="仿宋_GB2312" w:hAnsi="仿宋"/>
          <w:b/>
          <w:bCs/>
          <w:color w:val="auto"/>
          <w:szCs w:val="32"/>
        </w:rPr>
        <w:t>32.依法调处家校矛盾。</w:t>
      </w:r>
      <w:r>
        <w:rPr>
          <w:rFonts w:hint="eastAsia" w:ascii="仿宋_GB2312" w:hAnsi="仿宋"/>
          <w:color w:val="auto"/>
          <w:szCs w:val="32"/>
        </w:rPr>
        <w:t>加快构建政府依法行政、学校依法办学、教师依法执教、社会依法参与的教育治理体系。充分发挥法治副校长作用，实现全区中小学依法治校达标。构建“区—校—社区”三级联动的青少年法治教育实践网络，提升师生法治素养。建设法治教育基地</w:t>
      </w:r>
      <w:r>
        <w:rPr>
          <w:rFonts w:hint="eastAsia" w:ascii="仿宋_GB2312" w:hAnsi="仿宋"/>
          <w:color w:val="auto"/>
          <w:szCs w:val="32"/>
          <w:lang w:eastAsia="zh-CN"/>
        </w:rPr>
        <w:t>。开展</w:t>
      </w:r>
      <w:r>
        <w:rPr>
          <w:rFonts w:hint="eastAsia" w:ascii="仿宋_GB2312" w:hAnsi="仿宋"/>
          <w:color w:val="auto"/>
          <w:szCs w:val="32"/>
        </w:rPr>
        <w:t>教育矛盾调解。</w:t>
      </w:r>
    </w:p>
    <w:p w14:paraId="136E7685">
      <w:pPr>
        <w:pStyle w:val="3"/>
        <w:adjustRightInd w:val="0"/>
        <w:snapToGrid w:val="0"/>
        <w:spacing w:before="0" w:after="0" w:line="560" w:lineRule="exact"/>
        <w:ind w:firstLine="640"/>
        <w:rPr>
          <w:rFonts w:hint="eastAsia" w:ascii="黑体" w:hAnsi="黑体" w:eastAsia="黑体"/>
          <w:b w:val="0"/>
          <w:bCs w:val="0"/>
          <w:color w:val="auto"/>
          <w:sz w:val="32"/>
          <w:szCs w:val="32"/>
        </w:rPr>
      </w:pPr>
      <w:bookmarkStart w:id="11" w:name="_Toc22827"/>
      <w:bookmarkStart w:id="12" w:name="_Toc225538451"/>
      <w:r>
        <w:rPr>
          <w:rFonts w:hint="eastAsia" w:ascii="黑体" w:hAnsi="黑体" w:eastAsia="黑体"/>
          <w:b w:val="0"/>
          <w:bCs w:val="0"/>
          <w:color w:val="auto"/>
          <w:sz w:val="32"/>
          <w:szCs w:val="32"/>
        </w:rPr>
        <w:t>三</w:t>
      </w:r>
      <w:r>
        <w:rPr>
          <w:rFonts w:ascii="黑体" w:hAnsi="黑体" w:eastAsia="黑体"/>
          <w:b w:val="0"/>
          <w:bCs w:val="0"/>
          <w:color w:val="auto"/>
          <w:sz w:val="32"/>
          <w:szCs w:val="32"/>
        </w:rPr>
        <w:t>、</w:t>
      </w:r>
      <w:bookmarkStart w:id="13" w:name="_Toc205307302"/>
      <w:bookmarkStart w:id="14" w:name="_Toc206738667"/>
      <w:r>
        <w:rPr>
          <w:rFonts w:ascii="黑体" w:hAnsi="黑体" w:eastAsia="黑体"/>
          <w:b w:val="0"/>
          <w:bCs w:val="0"/>
          <w:color w:val="auto"/>
          <w:sz w:val="32"/>
          <w:szCs w:val="32"/>
        </w:rPr>
        <w:t>保障措施</w:t>
      </w:r>
      <w:bookmarkEnd w:id="11"/>
      <w:bookmarkEnd w:id="12"/>
      <w:bookmarkEnd w:id="13"/>
      <w:bookmarkEnd w:id="14"/>
    </w:p>
    <w:p w14:paraId="0FC57D53">
      <w:pPr>
        <w:spacing w:line="560" w:lineRule="exact"/>
        <w:ind w:firstLine="640"/>
        <w:rPr>
          <w:rFonts w:hint="eastAsia" w:ascii="仿宋_GB2312" w:hAnsi="仿宋"/>
          <w:color w:val="auto"/>
          <w:szCs w:val="32"/>
        </w:rPr>
      </w:pPr>
      <w:r>
        <w:rPr>
          <w:rFonts w:hint="eastAsia" w:ascii="仿宋_GB2312" w:hAnsi="仿宋"/>
          <w:color w:val="auto"/>
          <w:szCs w:val="32"/>
        </w:rPr>
        <w:t>加强党对教育工作的全面领导，健全党委统一领导、党政齐抓共管、部门各负其责的领导体制，</w:t>
      </w:r>
      <w:r>
        <w:rPr>
          <w:rFonts w:ascii="仿宋_GB2312" w:hAnsi="仿宋"/>
          <w:color w:val="auto"/>
          <w:szCs w:val="32"/>
        </w:rPr>
        <w:t>坚持党建与业务深度融合</w:t>
      </w:r>
      <w:r>
        <w:rPr>
          <w:rFonts w:hint="eastAsia" w:ascii="仿宋_GB2312" w:hAnsi="仿宋"/>
          <w:color w:val="auto"/>
          <w:szCs w:val="32"/>
        </w:rPr>
        <w:t>，为“十五五”规划落地见效提供坚实的政治引领和组织保障。坚持教育优先发展战略，压实政府教育投入主体责任，强化区级统筹协调，健全与学龄人口规模、结构变化及教育事业发展需求相适应的教育财政投入动态调整机制。加强宣传引导，坚持“健康第一”的全面发展理念，促进家校社联动，推动形成全社会共同关心支持教育改革发展的良好局面。重大事项及时按程序向区委、区政府请示报告。</w:t>
      </w:r>
    </w:p>
    <w:p w14:paraId="60A8B710">
      <w:pPr>
        <w:adjustRightInd w:val="0"/>
        <w:snapToGrid w:val="0"/>
        <w:spacing w:line="640" w:lineRule="exact"/>
        <w:ind w:firstLine="0" w:firstLineChars="0"/>
        <w:rPr>
          <w:rFonts w:hint="eastAsia" w:ascii="楷体" w:hAnsi="楷体" w:eastAsia="楷体"/>
          <w:color w:val="auto"/>
          <w:sz w:val="24"/>
          <w:szCs w:val="21"/>
        </w:rPr>
      </w:pPr>
    </w:p>
    <w:sectPr>
      <w:headerReference r:id="rId5" w:type="default"/>
      <w:footerReference r:id="rId6" w:type="default"/>
      <w:pgSz w:w="11906" w:h="16838"/>
      <w:pgMar w:top="1440" w:right="1800" w:bottom="1440" w:left="1800" w:header="851" w:footer="992"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B40172F-4EAF-4427-AC22-957F39815798}"/>
  </w:font>
  <w:font w:name="Arial">
    <w:panose1 w:val="020B0604020202020204"/>
    <w:charset w:val="01"/>
    <w:family w:val="swiss"/>
    <w:pitch w:val="default"/>
    <w:sig w:usb0="E0002EFF" w:usb1="C000785B" w:usb2="00000009" w:usb3="00000000" w:csb0="400001FF" w:csb1="FFFF0000"/>
    <w:embedRegular r:id="rId2" w:fontKey="{5E29CAE3-A610-40D4-A8C0-9B2D551FD92C}"/>
  </w:font>
  <w:font w:name="黑体">
    <w:panose1 w:val="02010609060101010101"/>
    <w:charset w:val="86"/>
    <w:family w:val="auto"/>
    <w:pitch w:val="default"/>
    <w:sig w:usb0="800002BF" w:usb1="38CF7CFA" w:usb2="00000016" w:usb3="00000000" w:csb0="00040001" w:csb1="00000000"/>
    <w:embedRegular r:id="rId3" w:fontKey="{E44479CE-89E3-448D-B7D5-FFC88D1ECD38}"/>
  </w:font>
  <w:font w:name="Courier New">
    <w:panose1 w:val="02070309020205020404"/>
    <w:charset w:val="01"/>
    <w:family w:val="modern"/>
    <w:pitch w:val="default"/>
    <w:sig w:usb0="E0002EFF" w:usb1="C0007843" w:usb2="00000009" w:usb3="00000000" w:csb0="400001FF" w:csb1="FFFF0000"/>
    <w:embedRegular r:id="rId4" w:fontKey="{DE9E25E4-6241-4336-9595-4DB08F7FB5CC}"/>
  </w:font>
  <w:font w:name="Symbol">
    <w:panose1 w:val="05050102010706020507"/>
    <w:charset w:val="02"/>
    <w:family w:val="roman"/>
    <w:pitch w:val="default"/>
    <w:sig w:usb0="00000000" w:usb1="00000000" w:usb2="00000000" w:usb3="00000000" w:csb0="80000000" w:csb1="00000000"/>
    <w:embedRegular r:id="rId5" w:fontKey="{2289BB60-BD43-4013-8BF4-9CA8F4043964}"/>
  </w:font>
  <w:font w:name="Calibri">
    <w:panose1 w:val="020F0502020204030204"/>
    <w:charset w:val="00"/>
    <w:family w:val="swiss"/>
    <w:pitch w:val="default"/>
    <w:sig w:usb0="E4002EFF" w:usb1="C000247B" w:usb2="00000009" w:usb3="00000000" w:csb0="200001FF" w:csb1="00000000"/>
    <w:embedRegular r:id="rId6" w:fontKey="{05EDDEE9-816E-45DB-B01C-B21D6C8EC5BA}"/>
  </w:font>
  <w:font w:name="仿宋_GB2312">
    <w:panose1 w:val="02010609030101010101"/>
    <w:charset w:val="86"/>
    <w:family w:val="modern"/>
    <w:pitch w:val="default"/>
    <w:sig w:usb0="00000001" w:usb1="080E0000" w:usb2="00000000" w:usb3="00000000" w:csb0="00040000" w:csb1="00000000"/>
    <w:embedRegular r:id="rId7" w:fontKey="{7502DF4E-F409-4F6E-8172-3F5299B25F02}"/>
  </w:font>
  <w:font w:name="Calibri Light">
    <w:panose1 w:val="020F0302020204030204"/>
    <w:charset w:val="00"/>
    <w:family w:val="swiss"/>
    <w:pitch w:val="default"/>
    <w:sig w:usb0="E4002EFF" w:usb1="C000247B" w:usb2="00000009" w:usb3="00000000" w:csb0="200001FF" w:csb1="00000000"/>
    <w:embedRegular r:id="rId8" w:fontKey="{0846FCC7-6C7D-4AAD-AA0F-4DEE17C2F3A8}"/>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华文宋体">
    <w:panose1 w:val="02010600040101010101"/>
    <w:charset w:val="86"/>
    <w:family w:val="auto"/>
    <w:pitch w:val="default"/>
    <w:sig w:usb0="00000287" w:usb1="080F0000" w:usb2="00000000" w:usb3="00000000" w:csb0="0004009F" w:csb1="DFD70000"/>
  </w:font>
  <w:font w:name="方正小标宋简体">
    <w:panose1 w:val="02010600010101010101"/>
    <w:charset w:val="86"/>
    <w:family w:val="auto"/>
    <w:pitch w:val="default"/>
    <w:sig w:usb0="00000001" w:usb1="080E0000" w:usb2="00000000" w:usb3="00000000" w:csb0="00040000" w:csb1="00000000"/>
    <w:embedRegular r:id="rId9" w:fontKey="{B01AAECE-50AB-4454-A410-F84F9B2EDDCC}"/>
  </w:font>
  <w:font w:name="仿宋">
    <w:panose1 w:val="02010609060101010101"/>
    <w:charset w:val="86"/>
    <w:family w:val="modern"/>
    <w:pitch w:val="default"/>
    <w:sig w:usb0="800002BF" w:usb1="38CF7CFA" w:usb2="00000016" w:usb3="00000000" w:csb0="00040001" w:csb1="00000000"/>
    <w:embedRegular r:id="rId10" w:fontKey="{7FEC208E-084D-4B7A-923D-473DFB347429}"/>
  </w:font>
  <w:font w:name="楷体_GB2312">
    <w:panose1 w:val="02010609030101010101"/>
    <w:charset w:val="86"/>
    <w:family w:val="modern"/>
    <w:pitch w:val="default"/>
    <w:sig w:usb0="00000001" w:usb1="080E0000" w:usb2="00000000" w:usb3="00000000" w:csb0="00040000" w:csb1="00000000"/>
    <w:embedRegular r:id="rId11" w:fontKey="{E1B60135-45DF-4AB9-8FA5-5F65E50F91A9}"/>
  </w:font>
  <w:font w:name="ˎ̥">
    <w:altName w:val="方正宝黑体 简 Light"/>
    <w:panose1 w:val="00000000000000000000"/>
    <w:charset w:val="00"/>
    <w:family w:val="roman"/>
    <w:pitch w:val="default"/>
    <w:sig w:usb0="00000000" w:usb1="00000000" w:usb2="00000000" w:usb3="00000000" w:csb0="00040001" w:csb1="00000000"/>
    <w:embedRegular r:id="rId12" w:fontKey="{5BBAEA21-57A7-4F77-8ED1-75D31930F55D}"/>
  </w:font>
  <w:font w:name="思源宋体">
    <w:altName w:val="宋体"/>
    <w:panose1 w:val="02020400000000000000"/>
    <w:charset w:val="86"/>
    <w:family w:val="auto"/>
    <w:pitch w:val="default"/>
    <w:sig w:usb0="00000000" w:usb1="00000000" w:usb2="00000016" w:usb3="00000000" w:csb0="602E0107" w:csb1="00000000"/>
  </w:font>
  <w:font w:name="楷体">
    <w:panose1 w:val="02010609060101010101"/>
    <w:charset w:val="86"/>
    <w:family w:val="modern"/>
    <w:pitch w:val="default"/>
    <w:sig w:usb0="800002BF" w:usb1="38CF7CFA" w:usb2="00000016" w:usb3="00000000" w:csb0="00040001" w:csb1="00000000"/>
    <w:embedRegular r:id="rId13" w:fontKey="{D2245D45-C7E5-4D4B-88AC-B712C8AB042C}"/>
  </w:font>
  <w:font w:name="方正宝黑体 简 Light">
    <w:panose1 w:val="020004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295B6">
    <w:pPr>
      <w:pStyle w:val="15"/>
      <w:ind w:firstLine="360"/>
      <w:jc w:val="cente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666115" cy="139700"/>
              <wp:effectExtent l="0" t="0" r="0" b="0"/>
              <wp:wrapNone/>
              <wp:docPr id="4097" name="文本框 2"/>
              <wp:cNvGraphicFramePr/>
              <a:graphic xmlns:a="http://schemas.openxmlformats.org/drawingml/2006/main">
                <a:graphicData uri="http://schemas.microsoft.com/office/word/2010/wordprocessingShape">
                  <wps:wsp>
                    <wps:cNvSpPr/>
                    <wps:spPr>
                      <a:xfrm>
                        <a:off x="0" y="0"/>
                        <a:ext cx="666115" cy="139700"/>
                      </a:xfrm>
                      <a:prstGeom prst="rect">
                        <a:avLst/>
                      </a:prstGeom>
                      <a:ln>
                        <a:noFill/>
                      </a:ln>
                    </wps:spPr>
                    <wps:txbx>
                      <w:txbxContent>
                        <w:p w14:paraId="646D1ADA">
                          <w:pPr>
                            <w:pStyle w:val="15"/>
                            <w:ind w:firstLine="360"/>
                          </w:pPr>
                          <w:r>
                            <w:t xml:space="preserve">— </w:t>
                          </w:r>
                          <w:r>
                            <w:fldChar w:fldCharType="begin"/>
                          </w:r>
                          <w:r>
                            <w:instrText xml:space="preserve"> PAGE  \* MERGEFORMAT </w:instrText>
                          </w:r>
                          <w:r>
                            <w:fldChar w:fldCharType="separate"/>
                          </w:r>
                          <w:r>
                            <w:t>35</w:t>
                          </w:r>
                          <w:r>
                            <w:fldChar w:fldCharType="end"/>
                          </w:r>
                          <w:r>
                            <w:t xml:space="preserve"> —</w:t>
                          </w:r>
                        </w:p>
                      </w:txbxContent>
                    </wps:txbx>
                    <wps:bodyPr wrap="none" lIns="0" tIns="0" rIns="0" bIns="0" upright="1">
                      <a:spAutoFit/>
                    </wps:bodyPr>
                  </wps:wsp>
                </a:graphicData>
              </a:graphic>
            </wp:anchor>
          </w:drawing>
        </mc:Choice>
        <mc:Fallback>
          <w:pict>
            <v:rect id="文本框 2" o:spid="_x0000_s1026" o:spt="1" style="position:absolute;left:0pt;margin-top:0pt;height:11pt;width:52.45pt;mso-position-horizontal:center;mso-position-horizontal-relative:margin;mso-wrap-style:none;z-index:251659264;mso-width-relative:page;mso-height-relative:page;" filled="f" stroked="f" coordsize="21600,21600" o:gfxdata="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MvadKtIAAAAEAQAADwAAAAAAAAABACAAAAAiAAAAZHJzL2Rvd25yZXYu&#10;eG1sUEsBAhQAFAAAAAgAh07iQITkzQTIAQAAhQMAAA4AAAAAAAAAAQAgAAAAIQEAAGRycy9lMm9E&#10;b2MueG1sUEsFBgAAAAAGAAYAWQEAAFsFAAAAAA==&#10;">
              <v:fill on="f" focussize="0,0"/>
              <v:stroke on="f"/>
              <v:imagedata o:title=""/>
              <o:lock v:ext="edit" aspectratio="f"/>
              <v:textbox inset="0mm,0mm,0mm,0mm" style="mso-fit-shape-to-text:t;">
                <w:txbxContent>
                  <w:p w14:paraId="646D1ADA">
                    <w:pPr>
                      <w:pStyle w:val="15"/>
                      <w:ind w:firstLine="360"/>
                    </w:pPr>
                    <w:r>
                      <w:t xml:space="preserve">— </w:t>
                    </w:r>
                    <w:r>
                      <w:fldChar w:fldCharType="begin"/>
                    </w:r>
                    <w:r>
                      <w:instrText xml:space="preserve"> PAGE  \* MERGEFORMAT </w:instrText>
                    </w:r>
                    <w:r>
                      <w:fldChar w:fldCharType="separate"/>
                    </w:r>
                    <w:r>
                      <w:t>35</w:t>
                    </w:r>
                    <w:r>
                      <w:fldChar w:fldCharType="end"/>
                    </w:r>
                    <w:r>
                      <w:t xml:space="preserve"> —</w:t>
                    </w:r>
                  </w:p>
                </w:txbxContent>
              </v:textbox>
            </v:rect>
          </w:pict>
        </mc:Fallback>
      </mc:AlternateContent>
    </w:r>
  </w:p>
  <w:p w14:paraId="3C562A67">
    <w:pPr>
      <w:pStyle w:val="1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303C8">
    <w:pPr>
      <w:pStyle w:val="1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E11BEE"/>
    <w:multiLevelType w:val="multilevel"/>
    <w:tmpl w:val="5BE11BEE"/>
    <w:lvl w:ilvl="0" w:tentative="0">
      <w:start w:val="1"/>
      <w:numFmt w:val="decimal"/>
      <w:pStyle w:val="57"/>
      <w:lvlText w:val="%1."/>
      <w:lvlJc w:val="left"/>
      <w:pPr>
        <w:ind w:left="1000" w:hanging="360"/>
      </w:pPr>
      <w:rPr>
        <w:rFonts w:hint="default"/>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bordersDoNotSurroundHeader w:val="1"/>
  <w:bordersDoNotSurroundFooter w:val="1"/>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oNotShadeFormData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775"/>
    <w:rsid w:val="000B0F79"/>
    <w:rsid w:val="000F344E"/>
    <w:rsid w:val="001A59C6"/>
    <w:rsid w:val="001D4BD0"/>
    <w:rsid w:val="001D5C13"/>
    <w:rsid w:val="00282437"/>
    <w:rsid w:val="004127C1"/>
    <w:rsid w:val="005077F0"/>
    <w:rsid w:val="005827A5"/>
    <w:rsid w:val="005C689E"/>
    <w:rsid w:val="00655513"/>
    <w:rsid w:val="00721D40"/>
    <w:rsid w:val="0073679B"/>
    <w:rsid w:val="00736867"/>
    <w:rsid w:val="007B6785"/>
    <w:rsid w:val="00824DC4"/>
    <w:rsid w:val="00832085"/>
    <w:rsid w:val="00841F16"/>
    <w:rsid w:val="008513CA"/>
    <w:rsid w:val="008A632D"/>
    <w:rsid w:val="008F1092"/>
    <w:rsid w:val="00906694"/>
    <w:rsid w:val="00936919"/>
    <w:rsid w:val="00956435"/>
    <w:rsid w:val="00963E03"/>
    <w:rsid w:val="00A20775"/>
    <w:rsid w:val="00AA6945"/>
    <w:rsid w:val="00B0129E"/>
    <w:rsid w:val="00B04287"/>
    <w:rsid w:val="00B243DD"/>
    <w:rsid w:val="00B66411"/>
    <w:rsid w:val="00C24D36"/>
    <w:rsid w:val="00CD0C91"/>
    <w:rsid w:val="00D30594"/>
    <w:rsid w:val="00D50D11"/>
    <w:rsid w:val="00D6565F"/>
    <w:rsid w:val="00D7483E"/>
    <w:rsid w:val="00D84954"/>
    <w:rsid w:val="00E34B65"/>
    <w:rsid w:val="00F31353"/>
    <w:rsid w:val="00F64663"/>
    <w:rsid w:val="00FD651B"/>
    <w:rsid w:val="08430644"/>
    <w:rsid w:val="1EBFEE31"/>
    <w:rsid w:val="3FFDF8A2"/>
    <w:rsid w:val="45F7A6DF"/>
    <w:rsid w:val="5DFD60A2"/>
    <w:rsid w:val="5FB82BE8"/>
    <w:rsid w:val="5FFB0B4D"/>
    <w:rsid w:val="66EF521E"/>
    <w:rsid w:val="77BBCAE6"/>
    <w:rsid w:val="7DBD4D29"/>
    <w:rsid w:val="7E7D213A"/>
    <w:rsid w:val="7FEFF9D0"/>
    <w:rsid w:val="87FB08CE"/>
    <w:rsid w:val="93073E02"/>
    <w:rsid w:val="BB7A0793"/>
    <w:rsid w:val="BF1B997B"/>
    <w:rsid w:val="D5FD7203"/>
    <w:rsid w:val="D7F61AE8"/>
    <w:rsid w:val="DBDFAA4C"/>
    <w:rsid w:val="DFF7C3B9"/>
    <w:rsid w:val="FBBFA91C"/>
    <w:rsid w:val="FF6D0CA6"/>
    <w:rsid w:val="FFED55F8"/>
    <w:rsid w:val="FFEF83C5"/>
    <w:rsid w:val="FFFDF825"/>
    <w:rsid w:val="FFFF67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880" w:firstLineChars="200"/>
      <w:jc w:val="both"/>
    </w:pPr>
    <w:rPr>
      <w:rFonts w:ascii="Calibri" w:hAnsi="Calibri" w:eastAsia="仿宋_GB2312" w:cs="Times New Roman"/>
      <w:kern w:val="2"/>
      <w:sz w:val="32"/>
      <w:szCs w:val="24"/>
      <w:lang w:val="en-US" w:eastAsia="zh-CN" w:bidi="ar-SA"/>
    </w:rPr>
  </w:style>
  <w:style w:type="paragraph" w:styleId="3">
    <w:name w:val="heading 1"/>
    <w:basedOn w:val="1"/>
    <w:next w:val="1"/>
    <w:link w:val="32"/>
    <w:qFormat/>
    <w:uiPriority w:val="0"/>
    <w:pPr>
      <w:keepNext/>
      <w:keepLines/>
      <w:spacing w:before="340" w:after="330" w:line="578" w:lineRule="auto"/>
      <w:outlineLvl w:val="0"/>
    </w:pPr>
    <w:rPr>
      <w:rFonts w:ascii="Times New Roman" w:hAnsi="Times New Roman" w:eastAsia="宋体"/>
      <w:b/>
      <w:bCs/>
      <w:kern w:val="44"/>
      <w:sz w:val="44"/>
      <w:szCs w:val="44"/>
    </w:rPr>
  </w:style>
  <w:style w:type="paragraph" w:styleId="4">
    <w:name w:val="heading 2"/>
    <w:basedOn w:val="1"/>
    <w:next w:val="1"/>
    <w:link w:val="33"/>
    <w:qFormat/>
    <w:uiPriority w:val="0"/>
    <w:pPr>
      <w:keepNext/>
      <w:keepLines/>
      <w:spacing w:before="260" w:after="260" w:line="416" w:lineRule="auto"/>
      <w:outlineLvl w:val="1"/>
    </w:pPr>
    <w:rPr>
      <w:rFonts w:ascii="Calibri Light" w:hAnsi="Calibri Light" w:eastAsia="宋体"/>
      <w:b/>
      <w:bCs/>
      <w:szCs w:val="32"/>
    </w:rPr>
  </w:style>
  <w:style w:type="paragraph" w:styleId="5">
    <w:name w:val="heading 3"/>
    <w:basedOn w:val="1"/>
    <w:next w:val="1"/>
    <w:link w:val="34"/>
    <w:qFormat/>
    <w:uiPriority w:val="0"/>
    <w:pPr>
      <w:spacing w:beforeAutospacing="1" w:afterAutospacing="1"/>
      <w:jc w:val="left"/>
      <w:outlineLvl w:val="2"/>
    </w:pPr>
    <w:rPr>
      <w:rFonts w:hint="eastAsia" w:ascii="宋体" w:hAnsi="宋体" w:eastAsia="宋体"/>
      <w:b/>
      <w:bCs/>
      <w:kern w:val="0"/>
      <w:sz w:val="27"/>
      <w:szCs w:val="27"/>
    </w:rPr>
  </w:style>
  <w:style w:type="paragraph" w:styleId="6">
    <w:name w:val="heading 4"/>
    <w:basedOn w:val="1"/>
    <w:next w:val="1"/>
    <w:qFormat/>
    <w:uiPriority w:val="0"/>
    <w:pPr>
      <w:spacing w:beforeAutospacing="1" w:afterAutospacing="1"/>
      <w:jc w:val="left"/>
      <w:outlineLvl w:val="3"/>
    </w:pPr>
    <w:rPr>
      <w:rFonts w:hint="eastAsia" w:ascii="宋体" w:hAnsi="宋体" w:eastAsia="宋体"/>
      <w:b/>
      <w:bCs/>
      <w:kern w:val="0"/>
      <w:sz w:val="24"/>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rPr>
  </w:style>
  <w:style w:type="paragraph" w:styleId="7">
    <w:name w:val="toc 7"/>
    <w:basedOn w:val="1"/>
    <w:next w:val="1"/>
    <w:qFormat/>
    <w:uiPriority w:val="0"/>
    <w:pPr>
      <w:ind w:left="1920"/>
      <w:jc w:val="left"/>
    </w:pPr>
    <w:rPr>
      <w:rFonts w:ascii="等线" w:hAnsi="Times New Roman" w:eastAsia="等线"/>
      <w:sz w:val="20"/>
      <w:szCs w:val="20"/>
    </w:rPr>
  </w:style>
  <w:style w:type="paragraph" w:styleId="8">
    <w:name w:val="caption"/>
    <w:basedOn w:val="1"/>
    <w:next w:val="1"/>
    <w:qFormat/>
    <w:uiPriority w:val="0"/>
    <w:rPr>
      <w:rFonts w:hint="eastAsia" w:ascii="Arial" w:hAnsi="Arial" w:eastAsia="黑体"/>
      <w:sz w:val="20"/>
    </w:rPr>
  </w:style>
  <w:style w:type="paragraph" w:styleId="9">
    <w:name w:val="annotation text"/>
    <w:basedOn w:val="1"/>
    <w:link w:val="35"/>
    <w:qFormat/>
    <w:uiPriority w:val="0"/>
    <w:pPr>
      <w:jc w:val="left"/>
    </w:pPr>
    <w:rPr>
      <w:rFonts w:ascii="Times New Roman" w:hAnsi="Times New Roman" w:eastAsia="宋体"/>
    </w:rPr>
  </w:style>
  <w:style w:type="paragraph" w:styleId="10">
    <w:name w:val="Body Text"/>
    <w:basedOn w:val="1"/>
    <w:qFormat/>
    <w:uiPriority w:val="0"/>
    <w:pPr>
      <w:spacing w:after="140" w:line="276" w:lineRule="auto"/>
    </w:pPr>
    <w:rPr>
      <w:rFonts w:ascii="Times New Roman" w:hAnsi="Times New Roman" w:eastAsia="宋体"/>
    </w:rPr>
  </w:style>
  <w:style w:type="paragraph" w:styleId="11">
    <w:name w:val="toc 5"/>
    <w:basedOn w:val="1"/>
    <w:next w:val="1"/>
    <w:qFormat/>
    <w:uiPriority w:val="0"/>
    <w:pPr>
      <w:ind w:left="1280"/>
      <w:jc w:val="left"/>
    </w:pPr>
    <w:rPr>
      <w:rFonts w:ascii="等线" w:hAnsi="Times New Roman" w:eastAsia="等线"/>
      <w:sz w:val="20"/>
      <w:szCs w:val="20"/>
    </w:rPr>
  </w:style>
  <w:style w:type="paragraph" w:styleId="12">
    <w:name w:val="toc 3"/>
    <w:basedOn w:val="1"/>
    <w:next w:val="1"/>
    <w:qFormat/>
    <w:uiPriority w:val="0"/>
    <w:pPr>
      <w:ind w:left="640"/>
      <w:jc w:val="left"/>
    </w:pPr>
    <w:rPr>
      <w:rFonts w:ascii="等线" w:hAnsi="Times New Roman" w:eastAsia="等线"/>
      <w:sz w:val="20"/>
      <w:szCs w:val="20"/>
    </w:rPr>
  </w:style>
  <w:style w:type="paragraph" w:styleId="13">
    <w:name w:val="toc 8"/>
    <w:basedOn w:val="1"/>
    <w:next w:val="1"/>
    <w:qFormat/>
    <w:uiPriority w:val="0"/>
    <w:pPr>
      <w:ind w:left="2240"/>
      <w:jc w:val="left"/>
    </w:pPr>
    <w:rPr>
      <w:rFonts w:ascii="等线" w:hAnsi="Times New Roman" w:eastAsia="等线"/>
      <w:sz w:val="20"/>
      <w:szCs w:val="20"/>
    </w:rPr>
  </w:style>
  <w:style w:type="paragraph" w:styleId="14">
    <w:name w:val="Balloon Text"/>
    <w:basedOn w:val="1"/>
    <w:link w:val="36"/>
    <w:qFormat/>
    <w:uiPriority w:val="0"/>
    <w:rPr>
      <w:rFonts w:ascii="Times New Roman" w:hAnsi="Times New Roman" w:eastAsia="宋体"/>
      <w:sz w:val="18"/>
      <w:szCs w:val="18"/>
    </w:rPr>
  </w:style>
  <w:style w:type="paragraph" w:styleId="15">
    <w:name w:val="footer"/>
    <w:basedOn w:val="1"/>
    <w:link w:val="37"/>
    <w:qFormat/>
    <w:uiPriority w:val="0"/>
    <w:pPr>
      <w:tabs>
        <w:tab w:val="center" w:pos="4153"/>
        <w:tab w:val="right" w:pos="8306"/>
      </w:tabs>
      <w:snapToGrid w:val="0"/>
      <w:jc w:val="left"/>
    </w:pPr>
    <w:rPr>
      <w:rFonts w:ascii="Times New Roman" w:hAnsi="Times New Roman" w:eastAsia="宋体"/>
      <w:sz w:val="18"/>
    </w:rPr>
  </w:style>
  <w:style w:type="paragraph" w:styleId="16">
    <w:name w:val="header"/>
    <w:basedOn w:val="1"/>
    <w:link w:val="3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eastAsia="宋体"/>
      <w:sz w:val="18"/>
    </w:rPr>
  </w:style>
  <w:style w:type="paragraph" w:styleId="17">
    <w:name w:val="toc 1"/>
    <w:basedOn w:val="1"/>
    <w:next w:val="1"/>
    <w:qFormat/>
    <w:uiPriority w:val="0"/>
    <w:pPr>
      <w:spacing w:before="120"/>
      <w:jc w:val="left"/>
    </w:pPr>
    <w:rPr>
      <w:rFonts w:ascii="等线" w:hAnsi="Times New Roman" w:eastAsia="等线"/>
      <w:b/>
      <w:bCs/>
      <w:iCs/>
      <w:sz w:val="24"/>
    </w:rPr>
  </w:style>
  <w:style w:type="paragraph" w:styleId="18">
    <w:name w:val="toc 4"/>
    <w:basedOn w:val="1"/>
    <w:next w:val="1"/>
    <w:qFormat/>
    <w:uiPriority w:val="0"/>
    <w:pPr>
      <w:ind w:left="960"/>
      <w:jc w:val="left"/>
    </w:pPr>
    <w:rPr>
      <w:rFonts w:ascii="等线" w:hAnsi="Times New Roman" w:eastAsia="等线"/>
      <w:sz w:val="20"/>
      <w:szCs w:val="20"/>
    </w:rPr>
  </w:style>
  <w:style w:type="paragraph" w:styleId="19">
    <w:name w:val="footnote text"/>
    <w:basedOn w:val="1"/>
    <w:link w:val="39"/>
    <w:qFormat/>
    <w:uiPriority w:val="0"/>
    <w:pPr>
      <w:snapToGrid w:val="0"/>
      <w:jc w:val="left"/>
    </w:pPr>
    <w:rPr>
      <w:rFonts w:ascii="Times New Roman" w:hAnsi="Times New Roman" w:eastAsia="宋体"/>
      <w:sz w:val="18"/>
      <w:szCs w:val="18"/>
    </w:rPr>
  </w:style>
  <w:style w:type="paragraph" w:styleId="20">
    <w:name w:val="toc 6"/>
    <w:basedOn w:val="1"/>
    <w:next w:val="1"/>
    <w:qFormat/>
    <w:uiPriority w:val="0"/>
    <w:pPr>
      <w:ind w:left="1600"/>
      <w:jc w:val="left"/>
    </w:pPr>
    <w:rPr>
      <w:rFonts w:ascii="等线" w:hAnsi="Times New Roman" w:eastAsia="等线"/>
      <w:sz w:val="20"/>
      <w:szCs w:val="20"/>
    </w:rPr>
  </w:style>
  <w:style w:type="paragraph" w:styleId="21">
    <w:name w:val="toc 2"/>
    <w:basedOn w:val="1"/>
    <w:next w:val="1"/>
    <w:qFormat/>
    <w:uiPriority w:val="0"/>
    <w:pPr>
      <w:spacing w:before="120"/>
      <w:ind w:left="320"/>
      <w:jc w:val="left"/>
    </w:pPr>
    <w:rPr>
      <w:rFonts w:ascii="等线" w:hAnsi="Times New Roman" w:eastAsia="等线"/>
      <w:b/>
      <w:bCs/>
      <w:sz w:val="22"/>
      <w:szCs w:val="22"/>
    </w:rPr>
  </w:style>
  <w:style w:type="paragraph" w:styleId="22">
    <w:name w:val="toc 9"/>
    <w:basedOn w:val="1"/>
    <w:next w:val="1"/>
    <w:qFormat/>
    <w:uiPriority w:val="0"/>
    <w:pPr>
      <w:ind w:left="2560"/>
      <w:jc w:val="left"/>
    </w:pPr>
    <w:rPr>
      <w:rFonts w:ascii="等线" w:hAnsi="Times New Roman" w:eastAsia="等线"/>
      <w:sz w:val="20"/>
      <w:szCs w:val="20"/>
    </w:rPr>
  </w:style>
  <w:style w:type="paragraph" w:styleId="23">
    <w:name w:val="Normal (Web)"/>
    <w:basedOn w:val="1"/>
    <w:qFormat/>
    <w:uiPriority w:val="0"/>
    <w:pPr>
      <w:spacing w:beforeAutospacing="1" w:afterAutospacing="1"/>
      <w:jc w:val="left"/>
    </w:pPr>
    <w:rPr>
      <w:rFonts w:ascii="Times New Roman" w:hAnsi="Times New Roman" w:eastAsia="宋体"/>
      <w:kern w:val="0"/>
      <w:sz w:val="24"/>
    </w:rPr>
  </w:style>
  <w:style w:type="paragraph" w:styleId="24">
    <w:name w:val="annotation subject"/>
    <w:basedOn w:val="9"/>
    <w:next w:val="9"/>
    <w:link w:val="40"/>
    <w:qFormat/>
    <w:uiPriority w:val="0"/>
    <w:rPr>
      <w:b/>
      <w:bCs/>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rPr>
      <w:rFonts w:ascii="Times New Roman" w:hAnsi="Times New Roman" w:eastAsia="宋体" w:cs="Times New Roman"/>
      <w:b/>
    </w:rPr>
  </w:style>
  <w:style w:type="character" w:styleId="29">
    <w:name w:val="Hyperlink"/>
    <w:qFormat/>
    <w:uiPriority w:val="0"/>
    <w:rPr>
      <w:rFonts w:ascii="Times New Roman" w:hAnsi="Times New Roman" w:eastAsia="宋体" w:cs="Times New Roman"/>
      <w:color w:val="0026E5"/>
      <w:u w:val="single"/>
    </w:rPr>
  </w:style>
  <w:style w:type="character" w:styleId="30">
    <w:name w:val="annotation reference"/>
    <w:qFormat/>
    <w:uiPriority w:val="0"/>
    <w:rPr>
      <w:rFonts w:ascii="Times New Roman" w:hAnsi="Times New Roman" w:eastAsia="宋体" w:cs="Times New Roman"/>
      <w:sz w:val="21"/>
      <w:szCs w:val="21"/>
    </w:rPr>
  </w:style>
  <w:style w:type="character" w:styleId="31">
    <w:name w:val="footnote reference"/>
    <w:qFormat/>
    <w:uiPriority w:val="0"/>
    <w:rPr>
      <w:rFonts w:ascii="Times New Roman" w:hAnsi="Times New Roman" w:eastAsia="宋体" w:cs="Times New Roman"/>
      <w:vertAlign w:val="superscript"/>
    </w:rPr>
  </w:style>
  <w:style w:type="character" w:customStyle="1" w:styleId="32">
    <w:name w:val="标题 1 字符"/>
    <w:link w:val="3"/>
    <w:qFormat/>
    <w:uiPriority w:val="0"/>
    <w:rPr>
      <w:rFonts w:ascii="Calibri" w:hAnsi="Calibri" w:eastAsia="仿宋_GB2312" w:cs="Times New Roman"/>
      <w:b/>
      <w:bCs/>
      <w:kern w:val="44"/>
      <w:sz w:val="44"/>
      <w:szCs w:val="44"/>
    </w:rPr>
  </w:style>
  <w:style w:type="character" w:customStyle="1" w:styleId="33">
    <w:name w:val="标题 2 字符"/>
    <w:link w:val="4"/>
    <w:qFormat/>
    <w:uiPriority w:val="0"/>
    <w:rPr>
      <w:rFonts w:ascii="Calibri Light" w:hAnsi="Calibri Light" w:eastAsia="宋体" w:cs="Times New Roman"/>
      <w:b/>
      <w:bCs/>
      <w:kern w:val="2"/>
      <w:sz w:val="32"/>
      <w:szCs w:val="32"/>
    </w:rPr>
  </w:style>
  <w:style w:type="character" w:customStyle="1" w:styleId="34">
    <w:name w:val="标题 3 字符"/>
    <w:link w:val="5"/>
    <w:qFormat/>
    <w:uiPriority w:val="0"/>
    <w:rPr>
      <w:rFonts w:hint="eastAsia" w:ascii="宋体" w:hAnsi="宋体" w:eastAsia="宋体" w:cs="Times New Roman"/>
      <w:b/>
      <w:bCs/>
      <w:kern w:val="0"/>
      <w:sz w:val="27"/>
      <w:szCs w:val="27"/>
    </w:rPr>
  </w:style>
  <w:style w:type="character" w:customStyle="1" w:styleId="35">
    <w:name w:val="批注文字 字符"/>
    <w:link w:val="9"/>
    <w:qFormat/>
    <w:uiPriority w:val="0"/>
    <w:rPr>
      <w:rFonts w:ascii="Calibri" w:hAnsi="Calibri" w:eastAsia="仿宋_GB2312" w:cs="Times New Roman"/>
      <w:kern w:val="2"/>
      <w:sz w:val="32"/>
      <w:szCs w:val="24"/>
    </w:rPr>
  </w:style>
  <w:style w:type="character" w:customStyle="1" w:styleId="36">
    <w:name w:val="批注框文本 字符"/>
    <w:link w:val="14"/>
    <w:qFormat/>
    <w:uiPriority w:val="0"/>
    <w:rPr>
      <w:rFonts w:ascii="Calibri" w:hAnsi="Calibri" w:eastAsia="仿宋_GB2312" w:cs="Times New Roman"/>
      <w:kern w:val="2"/>
      <w:sz w:val="18"/>
      <w:szCs w:val="18"/>
    </w:rPr>
  </w:style>
  <w:style w:type="character" w:customStyle="1" w:styleId="37">
    <w:name w:val="页脚 字符"/>
    <w:link w:val="15"/>
    <w:qFormat/>
    <w:uiPriority w:val="0"/>
    <w:rPr>
      <w:rFonts w:ascii="Calibri" w:hAnsi="Calibri" w:eastAsia="仿宋_GB2312" w:cs="Times New Roman"/>
      <w:kern w:val="2"/>
      <w:sz w:val="18"/>
      <w:szCs w:val="24"/>
    </w:rPr>
  </w:style>
  <w:style w:type="character" w:customStyle="1" w:styleId="38">
    <w:name w:val="页眉 字符"/>
    <w:link w:val="16"/>
    <w:qFormat/>
    <w:uiPriority w:val="0"/>
    <w:rPr>
      <w:rFonts w:ascii="Times New Roman" w:hAnsi="Times New Roman" w:eastAsia="宋体" w:cs="Times New Roman"/>
      <w:sz w:val="18"/>
    </w:rPr>
  </w:style>
  <w:style w:type="character" w:customStyle="1" w:styleId="39">
    <w:name w:val="脚注文本 字符"/>
    <w:link w:val="19"/>
    <w:qFormat/>
    <w:uiPriority w:val="0"/>
    <w:rPr>
      <w:rFonts w:ascii="Calibri" w:hAnsi="Calibri" w:eastAsia="仿宋_GB2312" w:cs="Times New Roman"/>
      <w:kern w:val="2"/>
      <w:sz w:val="18"/>
      <w:szCs w:val="18"/>
    </w:rPr>
  </w:style>
  <w:style w:type="character" w:customStyle="1" w:styleId="40">
    <w:name w:val="批注主题 字符"/>
    <w:link w:val="24"/>
    <w:qFormat/>
    <w:uiPriority w:val="0"/>
    <w:rPr>
      <w:rFonts w:ascii="Calibri" w:hAnsi="Calibri" w:eastAsia="仿宋_GB2312" w:cs="Times New Roman"/>
      <w:b/>
      <w:bCs/>
      <w:kern w:val="2"/>
      <w:sz w:val="32"/>
      <w:szCs w:val="24"/>
    </w:rPr>
  </w:style>
  <w:style w:type="paragraph" w:customStyle="1" w:styleId="41">
    <w:name w:val="标题1"/>
    <w:basedOn w:val="1"/>
    <w:qFormat/>
    <w:uiPriority w:val="0"/>
    <w:pPr>
      <w:spacing w:line="500" w:lineRule="exact"/>
      <w:ind w:firstLine="640"/>
      <w:outlineLvl w:val="0"/>
    </w:pPr>
    <w:rPr>
      <w:rFonts w:hint="eastAsia" w:ascii="黑体" w:hAnsi="黑体" w:eastAsia="黑体"/>
      <w:bCs/>
      <w:color w:val="000000"/>
      <w:szCs w:val="32"/>
    </w:rPr>
  </w:style>
  <w:style w:type="character" w:customStyle="1" w:styleId="42">
    <w:name w:val="_Style 40"/>
    <w:qFormat/>
    <w:uiPriority w:val="0"/>
    <w:rPr>
      <w:rFonts w:ascii="Times New Roman" w:hAnsi="Times New Roman" w:eastAsia="宋体" w:cs="Times New Roman"/>
      <w:color w:val="605E5C"/>
      <w:shd w:val="clear" w:color="auto" w:fill="E1DFDD"/>
    </w:rPr>
  </w:style>
  <w:style w:type="character" w:customStyle="1" w:styleId="43">
    <w:name w:val="fontstyle01"/>
    <w:qFormat/>
    <w:uiPriority w:val="0"/>
    <w:rPr>
      <w:rFonts w:hint="eastAsia" w:ascii="仿宋_GB2312" w:hAnsi="Times New Roman" w:eastAsia="仿宋_GB2312" w:cs="Times New Roman"/>
      <w:color w:val="000000"/>
      <w:sz w:val="28"/>
      <w:szCs w:val="28"/>
    </w:rPr>
  </w:style>
  <w:style w:type="paragraph" w:customStyle="1" w:styleId="44">
    <w:name w:val="_Style 42"/>
    <w:basedOn w:val="3"/>
    <w:next w:val="1"/>
    <w:qFormat/>
    <w:uiPriority w:val="0"/>
    <w:pPr>
      <w:widowControl/>
      <w:spacing w:before="480" w:after="0" w:line="276" w:lineRule="auto"/>
      <w:ind w:firstLine="0" w:firstLineChars="0"/>
      <w:jc w:val="left"/>
      <w:outlineLvl w:val="9"/>
    </w:pPr>
    <w:rPr>
      <w:rFonts w:ascii="等线 Light" w:hAnsi="等线 Light" w:eastAsia="等线 Light"/>
      <w:color w:val="0F4761"/>
      <w:kern w:val="0"/>
      <w:sz w:val="28"/>
      <w:szCs w:val="28"/>
    </w:rPr>
  </w:style>
  <w:style w:type="paragraph" w:customStyle="1" w:styleId="45">
    <w:name w:val="目录 11"/>
    <w:next w:val="1"/>
    <w:qFormat/>
    <w:uiPriority w:val="0"/>
    <w:pPr>
      <w:wordWrap w:val="0"/>
      <w:jc w:val="both"/>
    </w:pPr>
    <w:rPr>
      <w:rFonts w:ascii="Calibri" w:hAnsi="Calibri" w:eastAsia="宋体" w:cs="Times New Roman"/>
      <w:sz w:val="21"/>
      <w:szCs w:val="22"/>
      <w:lang w:val="en-US" w:eastAsia="zh-CN" w:bidi="ar-SA"/>
    </w:rPr>
  </w:style>
  <w:style w:type="paragraph" w:customStyle="1" w:styleId="46">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7">
    <w:name w:val="WPSOffice手动目录 2"/>
    <w:qFormat/>
    <w:uiPriority w:val="0"/>
    <w:pPr>
      <w:ind w:left="200" w:leftChars="200"/>
    </w:pPr>
    <w:rPr>
      <w:rFonts w:ascii="Times New Roman" w:hAnsi="Times New Roman" w:eastAsia="宋体" w:cs="Times New Roman"/>
      <w:lang w:val="en-US" w:eastAsia="zh-CN" w:bidi="ar-SA"/>
    </w:rPr>
  </w:style>
  <w:style w:type="paragraph" w:styleId="48">
    <w:name w:val="List Paragraph"/>
    <w:basedOn w:val="1"/>
    <w:qFormat/>
    <w:uiPriority w:val="0"/>
    <w:pPr>
      <w:ind w:firstLine="420"/>
    </w:pPr>
    <w:rPr>
      <w:rFonts w:ascii="Times New Roman" w:hAnsi="Times New Roman" w:eastAsia="宋体"/>
    </w:rPr>
  </w:style>
  <w:style w:type="paragraph" w:customStyle="1" w:styleId="49">
    <w:name w:val="修订2"/>
    <w:qFormat/>
    <w:uiPriority w:val="0"/>
    <w:rPr>
      <w:rFonts w:ascii="Calibri" w:hAnsi="Calibri" w:eastAsia="仿宋_GB2312" w:cs="Times New Roman"/>
      <w:kern w:val="2"/>
      <w:sz w:val="32"/>
      <w:szCs w:val="24"/>
      <w:lang w:val="en-US" w:eastAsia="zh-CN" w:bidi="ar-SA"/>
    </w:rPr>
  </w:style>
  <w:style w:type="paragraph" w:customStyle="1" w:styleId="50">
    <w:name w:val="TOC Heading1"/>
    <w:basedOn w:val="3"/>
    <w:next w:val="1"/>
    <w:qFormat/>
    <w:uiPriority w:val="0"/>
    <w:pPr>
      <w:widowControl/>
      <w:spacing w:before="240" w:after="0" w:line="259" w:lineRule="auto"/>
      <w:ind w:firstLine="0" w:firstLineChars="0"/>
      <w:jc w:val="left"/>
      <w:outlineLvl w:val="9"/>
    </w:pPr>
    <w:rPr>
      <w:rFonts w:ascii="Calibri Light" w:hAnsi="Calibri Light"/>
      <w:b w:val="0"/>
      <w:bCs w:val="0"/>
      <w:color w:val="2D54A0"/>
      <w:kern w:val="0"/>
      <w:sz w:val="32"/>
      <w:szCs w:val="32"/>
    </w:rPr>
  </w:style>
  <w:style w:type="paragraph" w:customStyle="1" w:styleId="51">
    <w:name w:val="TOC 标题1"/>
    <w:basedOn w:val="3"/>
    <w:next w:val="1"/>
    <w:qFormat/>
    <w:uiPriority w:val="0"/>
    <w:pPr>
      <w:widowControl/>
      <w:spacing w:before="240" w:after="0" w:line="259" w:lineRule="auto"/>
      <w:ind w:firstLine="0" w:firstLineChars="0"/>
      <w:jc w:val="left"/>
      <w:outlineLvl w:val="9"/>
    </w:pPr>
    <w:rPr>
      <w:rFonts w:ascii="Calibri Light" w:hAnsi="Calibri Light"/>
      <w:b w:val="0"/>
      <w:bCs w:val="0"/>
      <w:color w:val="2D54A0"/>
      <w:kern w:val="0"/>
      <w:sz w:val="32"/>
      <w:szCs w:val="32"/>
      <w:lang w:eastAsia="en-US"/>
    </w:rPr>
  </w:style>
  <w:style w:type="paragraph" w:customStyle="1" w:styleId="52">
    <w:name w:val="修订1"/>
    <w:qFormat/>
    <w:uiPriority w:val="0"/>
    <w:rPr>
      <w:rFonts w:ascii="Calibri" w:hAnsi="Calibri" w:eastAsia="仿宋_GB2312" w:cs="Times New Roman"/>
      <w:kern w:val="2"/>
      <w:sz w:val="32"/>
      <w:szCs w:val="24"/>
      <w:lang w:val="en-US" w:eastAsia="zh-CN" w:bidi="ar-SA"/>
    </w:rPr>
  </w:style>
  <w:style w:type="paragraph" w:customStyle="1" w:styleId="53">
    <w:name w:val="表格文字"/>
    <w:basedOn w:val="1"/>
    <w:qFormat/>
    <w:uiPriority w:val="0"/>
    <w:pPr>
      <w:ind w:firstLine="0" w:firstLineChars="0"/>
    </w:pPr>
    <w:rPr>
      <w:rFonts w:ascii="Times New Roman" w:hAnsi="Times New Roman" w:eastAsia="华文宋体"/>
      <w:sz w:val="21"/>
    </w:rPr>
  </w:style>
  <w:style w:type="paragraph" w:customStyle="1" w:styleId="54">
    <w:name w:val="_Style 52"/>
    <w:qFormat/>
    <w:uiPriority w:val="0"/>
    <w:rPr>
      <w:rFonts w:ascii="Calibri" w:hAnsi="Calibri" w:eastAsia="仿宋_GB2312" w:cs="Times New Roman"/>
      <w:kern w:val="2"/>
      <w:sz w:val="32"/>
      <w:szCs w:val="24"/>
      <w:lang w:val="en-US" w:eastAsia="zh-CN" w:bidi="ar-SA"/>
    </w:rPr>
  </w:style>
  <w:style w:type="paragraph" w:customStyle="1" w:styleId="55">
    <w:name w:val="WPSOffice手动目录 1"/>
    <w:qFormat/>
    <w:uiPriority w:val="0"/>
    <w:rPr>
      <w:rFonts w:ascii="Times New Roman" w:hAnsi="Times New Roman" w:eastAsia="宋体" w:cs="Times New Roman"/>
      <w:lang w:val="en-US" w:eastAsia="zh-CN" w:bidi="ar-SA"/>
    </w:rPr>
  </w:style>
  <w:style w:type="paragraph" w:customStyle="1" w:styleId="56">
    <w:name w:val="TOC 11"/>
    <w:next w:val="1"/>
    <w:qFormat/>
    <w:uiPriority w:val="0"/>
    <w:pPr>
      <w:wordWrap w:val="0"/>
      <w:spacing w:after="160" w:line="278" w:lineRule="auto"/>
      <w:jc w:val="both"/>
    </w:pPr>
    <w:rPr>
      <w:rFonts w:ascii="Times New Roman" w:hAnsi="Times New Roman" w:eastAsia="宋体" w:cs="Times New Roman"/>
      <w:sz w:val="21"/>
      <w:szCs w:val="22"/>
      <w:lang w:val="en-US" w:eastAsia="zh-CN" w:bidi="ar-SA"/>
    </w:rPr>
  </w:style>
  <w:style w:type="paragraph" w:customStyle="1" w:styleId="57">
    <w:name w:val="仿宋3号"/>
    <w:basedOn w:val="1"/>
    <w:qFormat/>
    <w:uiPriority w:val="0"/>
    <w:pPr>
      <w:numPr>
        <w:ilvl w:val="0"/>
        <w:numId w:val="1"/>
      </w:numPr>
      <w:adjustRightInd w:val="0"/>
      <w:snapToGrid w:val="0"/>
      <w:spacing w:line="640" w:lineRule="exact"/>
      <w:ind w:firstLine="0" w:firstLineChars="0"/>
      <w:outlineLvl w:val="2"/>
    </w:pPr>
    <w:rPr>
      <w:rFonts w:hint="eastAsia" w:ascii="仿宋_GB2312" w:hAnsi="仿宋_GB2312" w:eastAsia="宋体"/>
      <w:b/>
      <w:bCs/>
      <w:szCs w:val="32"/>
    </w:rPr>
  </w:style>
  <w:style w:type="paragraph" w:customStyle="1" w:styleId="58">
    <w:name w:val="Revision"/>
    <w:hidden/>
    <w:unhideWhenUsed/>
    <w:qFormat/>
    <w:uiPriority w:val="99"/>
    <w:rPr>
      <w:rFonts w:ascii="Calibri" w:hAnsi="Calibri"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fb96f65c-3ece-44a9-8b7a-ffe9408a303a</errorID>
      <errorWord xmlns="http://schemas.wps.cn/vas-ai-hub/contract-review">平急两用</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“平急两用”</item>
      </candidateList>
      <explain xmlns="http://schemas.wps.cn/vas-ai-hub/contract-review">注意检查当前固定表述标点是否使用规范。</explain>
      <paraID xmlns="http://schemas.wps.cn/vas-ai-hub/contract-review">5460BEDE</paraID>
      <start xmlns="http://schemas.wps.cn/vas-ai-hub/contract-review">5</start>
      <end xmlns="http://schemas.wps.cn/vas-ai-hub/contract-review">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7a56623c-7f87-460d-945c-4a67f2cc70bd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7822C5B4</paraID>
      <start xmlns="http://schemas.wps.cn/vas-ai-hub/contract-review">25</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738d54cc-a16f-4f18-88f9-f2a42c6d9312</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item>
      </candidateList>
      <explain xmlns="http://schemas.wps.cn/vas-ai-hub/contract-review"/>
      <paraID xmlns="http://schemas.wps.cn/vas-ai-hub/contract-review">4EDBD0B7</paraID>
      <start xmlns="http://schemas.wps.cn/vas-ai-hub/contract-review">69</start>
      <end xmlns="http://schemas.wps.cn/vas-ai-hub/contract-review">70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7d598f46-35c7-4992-8452-89337aa02839</errorID>
      <errorWord xmlns="http://schemas.wps.cn/vas-ai-hub/contract-review">大思政课</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“大思政课”</item>
      </candidateList>
      <explain xmlns="http://schemas.wps.cn/vas-ai-hub/contract-review">注意检查当前固定表述标点是否使用规范。</explain>
      <paraID xmlns="http://schemas.wps.cn/vas-ai-hub/contract-review">6E2718C3</paraID>
      <start xmlns="http://schemas.wps.cn/vas-ai-hub/contract-review">64</start>
      <end xmlns="http://schemas.wps.cn/vas-ai-hub/contract-review">68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87ffe49a-6bb7-4b8f-8a56-1cb4b0233b2b</errorID>
      <errorWord xmlns="http://schemas.wps.cn/vas-ai-hub/contract-review">平急两用</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“平急两用”</item>
      </candidateList>
      <explain xmlns="http://schemas.wps.cn/vas-ai-hub/contract-review">注意检查当前固定表述标点是否使用规范。</explain>
      <paraID xmlns="http://schemas.wps.cn/vas-ai-hub/contract-review">75BC97E8</paraID>
      <start xmlns="http://schemas.wps.cn/vas-ai-hub/contract-review">112</start>
      <end xmlns="http://schemas.wps.cn/vas-ai-hub/contract-review">116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4c7495fb-8cb6-418d-97c8-0d89f0574779</errorID>
      <errorWord xmlns="http://schemas.wps.cn/vas-ai-hub/contract-review">十五五时期</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“十五五”时期</item>
      </candidateList>
      <explain xmlns="http://schemas.wps.cn/vas-ai-hub/contract-review"/>
      <paraID xmlns="http://schemas.wps.cn/vas-ai-hub/contract-review">45270467</paraID>
      <start xmlns="http://schemas.wps.cn/vas-ai-hub/contract-review">30</start>
      <end xmlns="http://schemas.wps.cn/vas-ai-hub/contract-review">37</end>
      <status xmlns="http://schemas.wps.cn/vas-ai-hub/contract-review">modified</status>
      <modifiedWord xmlns="http://schemas.wps.cn/vas-ai-hub/contract-review">“十五五”时期</modifiedWord>
      <trackRevisions xmlns="http://schemas.wps.cn/vas-ai-hub/contract-review">false</trackRevisions>
    </reviewItem>
    <reviewItem xmlns="http://schemas.wps.cn/vas-ai-hub/contract-review">
      <errorID xmlns="http://schemas.wps.cn/vas-ai-hub/contract-review">c7202c31-2746-4861-908d-46307cafe89e</errorID>
      <errorWord xmlns="http://schemas.wps.cn/vas-ai-hub/contract-review">以高质量发展为主题</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以推动高质量发展为主题</item>
      </candidateList>
      <explain xmlns="http://schemas.wps.cn/vas-ai-hub/contract-review">词汇“以推动高质量发展为主题”在特定场景下为固定表述形式，请确认此处的“以高质量发展为主题”是否存在不当。</explain>
      <paraID xmlns="http://schemas.wps.cn/vas-ai-hub/contract-review">1FE53F02</paraID>
      <start xmlns="http://schemas.wps.cn/vas-ai-hub/contract-review">89</start>
      <end xmlns="http://schemas.wps.cn/vas-ai-hub/contract-review">98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ee73a7c7-c0fd-4022-8832-589f5fcba8eb</errorID>
      <errorWord xmlns="http://schemas.wps.cn/vas-ai-hub/contract-review">“大思政课</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‘大思政课’</item>
      </candidateList>
      <explain xmlns="http://schemas.wps.cn/vas-ai-hub/contract-review"/>
      <paraID xmlns="http://schemas.wps.cn/vas-ai-hub/contract-review">3B046580</paraID>
      <start xmlns="http://schemas.wps.cn/vas-ai-hub/contract-review">106</start>
      <end xmlns="http://schemas.wps.cn/vas-ai-hub/contract-review">111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d0fbba5f-fc55-4736-9dcf-7ef0fd2bb653</errorID>
      <errorWord xmlns="http://schemas.wps.cn/vas-ai-hub/contract-review">砺志</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励志</item>
      </candidateList>
      <explain xmlns="http://schemas.wps.cn/vas-ai-hub/contract-review"/>
      <paraID xmlns="http://schemas.wps.cn/vas-ai-hub/contract-review">109CD977</paraID>
      <start xmlns="http://schemas.wps.cn/vas-ai-hub/contract-review">128</start>
      <end xmlns="http://schemas.wps.cn/vas-ai-hub/contract-review">130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ff4080b9-efc7-4c92-a6d3-7fb5c5e1275e</errorID>
      <errorWord xmlns="http://schemas.wps.cn/vas-ai-hub/contract-review">教师职级</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教师职称</item>
      </candidateList>
      <explain xmlns="http://schemas.wps.cn/vas-ai-hub/contract-review"/>
      <paraID xmlns="http://schemas.wps.cn/vas-ai-hub/contract-review">76613B3D</paraID>
      <start xmlns="http://schemas.wps.cn/vas-ai-hub/contract-review">197</start>
      <end xmlns="http://schemas.wps.cn/vas-ai-hub/contract-review">201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d233a041-5b4d-48fe-bd3f-5269f5832fd2</errorID>
      <errorWord xmlns="http://schemas.wps.cn/vas-ai-hub/contract-review">平急两用</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“平急两用”</item>
      </candidateList>
      <explain xmlns="http://schemas.wps.cn/vas-ai-hub/contract-review">注意检查当前固定表述标点是否使用规范。</explain>
      <paraID xmlns="http://schemas.wps.cn/vas-ai-hub/contract-review">132F97D4</paraID>
      <start xmlns="http://schemas.wps.cn/vas-ai-hub/contract-review">5</start>
      <end xmlns="http://schemas.wps.cn/vas-ai-hub/contract-review">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90ae8358-613a-4264-a0e1-b5074fbb16a9</errorID>
      <errorWord xmlns="http://schemas.wps.cn/vas-ai-hub/contract-review">&gt;</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49E0CD5E</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813e03a6-fb62-4250-b224-601df3e982f8</errorID>
      <errorWord xmlns="http://schemas.wps.cn/vas-ai-hub/contract-review">&gt;</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4EDBCACD</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454a78af-0fa5-4633-a3c2-693856d12727</errorID>
      <errorWord xmlns="http://schemas.wps.cn/vas-ai-hub/contract-review">&gt;</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3E18AB32</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56bb4754-1dcc-41c8-a0e9-9db4b16c5683</errorID>
      <errorWord xmlns="http://schemas.wps.cn/vas-ai-hub/contract-review">&gt;</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337C1263</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5dfcc6b9-b88f-4447-91b6-8a43ea93520f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
      <paraID xmlns="http://schemas.wps.cn/vas-ai-hub/contract-review">3E81203C</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3.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538044-3371-48AD-B6B4-C21BB41A405E}">
  <ds:schemaRefs/>
</ds:datastoreItem>
</file>

<file path=customXml/itemProps3.xml><?xml version="1.0" encoding="utf-8"?>
<ds:datastoreItem xmlns:ds="http://schemas.openxmlformats.org/officeDocument/2006/customXml" ds:itemID="{AA4BCBD9-5916-42B6-B9D1-5A794DF0D993}">
  <ds:schemaRefs/>
</ds:datastoreItem>
</file>

<file path=docProps/app.xml><?xml version="1.0" encoding="utf-8"?>
<Properties xmlns="http://schemas.openxmlformats.org/officeDocument/2006/extended-properties" xmlns:vt="http://schemas.openxmlformats.org/officeDocument/2006/docPropsVTypes">
  <Template>Normal</Template>
  <Pages>15</Pages>
  <Words>6442</Words>
  <Characters>6515</Characters>
  <Lines>398</Lines>
  <Paragraphs>236</Paragraphs>
  <TotalTime>5</TotalTime>
  <ScaleCrop>false</ScaleCrop>
  <LinksUpToDate>false</LinksUpToDate>
  <CharactersWithSpaces>6537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2026-09-01T15:02:00Z</dcterms:created>
  <dc:creator>WJ</dc:creator>
  <cp:lastModifiedBy>李嘉耕</cp:lastModifiedBy>
  <cp:lastPrinted>2025-08-30T01:39:00Z</cp:lastPrinted>
  <dcterms:modified xsi:type="dcterms:W3CDTF">2026-11-06T06:17:45Z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B2536B3F783961690669ED6A5C3AE39A_43</vt:lpwstr>
  </property>
  <property fmtid="{D5CDD505-2E9C-101B-9397-08002B2CF9AE}" pid="4" name="KSOTemplateDocerSaveRecord">
    <vt:lpwstr>eyJoZGlkIjoiNjk3ODQxNGIwOGFhMGU0NWYwMzRiMWVhNDY2MDJiMDEiLCJ1c2VySWQiOiIxNjkyNDQwOTcwIn0=</vt:lpwstr>
  </property>
</Properties>
</file>