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E95CE"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52"/>
        </w:rPr>
      </w:pPr>
      <w:r>
        <w:rPr>
          <w:rFonts w:hint="eastAsia" w:ascii="Times New Roman" w:hAnsi="Times New Roman" w:eastAsia="方正小标宋简体" w:cs="Times New Roman"/>
          <w:sz w:val="44"/>
          <w:szCs w:val="52"/>
        </w:rPr>
        <w:t>北京市</w:t>
      </w:r>
      <w:r>
        <w:rPr>
          <w:rFonts w:ascii="Times New Roman" w:hAnsi="Times New Roman" w:eastAsia="方正小标宋简体" w:cs="Times New Roman"/>
          <w:sz w:val="44"/>
          <w:szCs w:val="52"/>
        </w:rPr>
        <w:t>平谷区</w:t>
      </w:r>
      <w:r>
        <w:rPr>
          <w:rFonts w:hint="eastAsia" w:ascii="Times New Roman" w:hAnsi="Times New Roman" w:eastAsia="方正小标宋简体" w:cs="Times New Roman"/>
          <w:sz w:val="44"/>
          <w:szCs w:val="52"/>
        </w:rPr>
        <w:t>“</w:t>
      </w:r>
      <w:r>
        <w:rPr>
          <w:rFonts w:ascii="Times New Roman" w:hAnsi="Times New Roman" w:eastAsia="方正小标宋简体" w:cs="Times New Roman"/>
          <w:sz w:val="44"/>
          <w:szCs w:val="52"/>
        </w:rPr>
        <w:t>十五五</w:t>
      </w:r>
      <w:r>
        <w:rPr>
          <w:rFonts w:hint="eastAsia" w:ascii="Times New Roman" w:hAnsi="Times New Roman" w:eastAsia="方正小标宋简体" w:cs="Times New Roman"/>
          <w:sz w:val="44"/>
          <w:szCs w:val="52"/>
        </w:rPr>
        <w:t>”</w:t>
      </w:r>
      <w:r>
        <w:rPr>
          <w:rFonts w:ascii="Times New Roman" w:hAnsi="Times New Roman" w:eastAsia="方正小标宋简体" w:cs="Times New Roman"/>
          <w:sz w:val="44"/>
          <w:szCs w:val="52"/>
        </w:rPr>
        <w:t>时期商业消费</w:t>
      </w:r>
    </w:p>
    <w:p w14:paraId="1E15EB83"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52"/>
        </w:rPr>
      </w:pPr>
      <w:r>
        <w:rPr>
          <w:rFonts w:ascii="Times New Roman" w:hAnsi="Times New Roman" w:eastAsia="方正小标宋简体" w:cs="Times New Roman"/>
          <w:sz w:val="44"/>
          <w:szCs w:val="52"/>
        </w:rPr>
        <w:t>高质量发展规划</w:t>
      </w:r>
    </w:p>
    <w:p w14:paraId="653AA0AF">
      <w:pPr>
        <w:spacing w:line="560" w:lineRule="exact"/>
        <w:jc w:val="both"/>
        <w:rPr>
          <w:rFonts w:ascii="Times New Roman" w:hAnsi="Times New Roman" w:eastAsia="楷体_GB2312" w:cs="Times New Roman"/>
          <w:sz w:val="40"/>
          <w:szCs w:val="40"/>
        </w:rPr>
      </w:pPr>
    </w:p>
    <w:p w14:paraId="1533343E"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“十五五”时期，平谷区以习近平新时代中国特色社会主义思想为指导，深入贯彻党中央、国务院关于提振消费的决策部署，聚力推进“1351K”战略落地实施，</w:t>
      </w:r>
      <w:bookmarkStart w:id="0" w:name="_Hlk200922326"/>
      <w:r>
        <w:rPr>
          <w:rFonts w:hint="eastAsia" w:ascii="仿宋_GB2312" w:hAnsi="仿宋_GB2312" w:eastAsia="仿宋_GB2312" w:cs="仿宋_GB2312"/>
          <w:sz w:val="32"/>
          <w:szCs w:val="32"/>
        </w:rPr>
        <w:t>为全面推动区域商业消费增量扩容、提质升级，特制定本规划。</w:t>
      </w:r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本规划实施期限为2026-2030年。</w:t>
      </w:r>
    </w:p>
    <w:p w14:paraId="6867D9C1">
      <w:pPr>
        <w:spacing w:line="560" w:lineRule="exact"/>
        <w:ind w:firstLine="640" w:firstLineChars="200"/>
        <w:outlineLvl w:val="0"/>
        <w:rPr>
          <w:rFonts w:ascii="Times New Roman" w:hAnsi="Times New Roman" w:eastAsia="黑体" w:cs="Times New Roman"/>
          <w:sz w:val="32"/>
          <w:szCs w:val="32"/>
        </w:rPr>
      </w:pPr>
      <w:bookmarkStart w:id="1" w:name="_Toc239672628"/>
      <w:r>
        <w:rPr>
          <w:rFonts w:hint="eastAsia" w:ascii="Times New Roman" w:hAnsi="Times New Roman" w:eastAsia="黑体" w:cs="Times New Roman"/>
          <w:sz w:val="32"/>
          <w:szCs w:val="32"/>
        </w:rPr>
        <w:t>一</w:t>
      </w:r>
      <w:r>
        <w:rPr>
          <w:rFonts w:ascii="Times New Roman" w:hAnsi="Times New Roman" w:eastAsia="黑体" w:cs="Times New Roman"/>
          <w:sz w:val="32"/>
          <w:szCs w:val="32"/>
        </w:rPr>
        <w:t>、</w:t>
      </w:r>
      <w:r>
        <w:rPr>
          <w:rFonts w:hint="eastAsia" w:ascii="Times New Roman" w:hAnsi="Times New Roman" w:eastAsia="黑体" w:cs="Times New Roman"/>
          <w:sz w:val="32"/>
          <w:szCs w:val="32"/>
        </w:rPr>
        <w:t>整体</w:t>
      </w:r>
      <w:r>
        <w:rPr>
          <w:rFonts w:ascii="Times New Roman" w:hAnsi="Times New Roman" w:eastAsia="黑体" w:cs="Times New Roman"/>
          <w:sz w:val="32"/>
          <w:szCs w:val="32"/>
        </w:rPr>
        <w:t>思路与</w:t>
      </w:r>
      <w:r>
        <w:rPr>
          <w:rFonts w:hint="eastAsia" w:ascii="Times New Roman" w:hAnsi="Times New Roman" w:eastAsia="黑体" w:cs="Times New Roman"/>
          <w:sz w:val="32"/>
          <w:szCs w:val="32"/>
        </w:rPr>
        <w:t>发展目标</w:t>
      </w:r>
      <w:bookmarkEnd w:id="1"/>
    </w:p>
    <w:p w14:paraId="7319B9E5">
      <w:pPr>
        <w:spacing w:line="560" w:lineRule="exact"/>
        <w:ind w:firstLine="640" w:firstLineChars="200"/>
        <w:outlineLvl w:val="1"/>
        <w:rPr>
          <w:rFonts w:ascii="Times New Roman" w:hAnsi="Times New Roman" w:eastAsia="楷体_GB2312" w:cs="Times New Roman"/>
          <w:sz w:val="32"/>
          <w:szCs w:val="36"/>
        </w:rPr>
      </w:pPr>
      <w:bookmarkStart w:id="2" w:name="_Toc239672629"/>
      <w:r>
        <w:rPr>
          <w:rFonts w:ascii="Times New Roman" w:hAnsi="Times New Roman" w:eastAsia="楷体_GB2312" w:cs="Times New Roman"/>
          <w:sz w:val="32"/>
          <w:szCs w:val="36"/>
        </w:rPr>
        <w:t>（一）指导思想</w:t>
      </w:r>
      <w:bookmarkEnd w:id="2"/>
    </w:p>
    <w:p w14:paraId="3CFD7EE7"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习近平新时代中国特色社会主义思想为指导，深入贯彻落实党的二十大和二十届历次全会精神，坚定不移落实党中央、国务院关于提振消费的决策部署，紧密围绕习近平总书记对北京重要讲话精神，全面贯彻新发展理念。坚持服务新时代首都发展，以服务北京国际消费中心城市、国际文化中心、国际交往中心功能定位为主线，聚焦“五子”联动协同，通过优化商业布局、打造核心载体、创建特色载体、做强产业矩阵、提升供给质量、深化融合创新、创新消费业态、优化发展环境等一系列系统化、创新性的举措，打造创新休闲消费新型场景，为推进平谷区高质量发展作出更多贡献。</w:t>
      </w:r>
    </w:p>
    <w:p w14:paraId="3DD5D930">
      <w:pPr>
        <w:spacing w:line="560" w:lineRule="exact"/>
        <w:ind w:firstLine="640" w:firstLineChars="200"/>
        <w:outlineLvl w:val="1"/>
        <w:rPr>
          <w:rFonts w:ascii="Times New Roman" w:hAnsi="Times New Roman" w:eastAsia="楷体_GB2312" w:cs="Times New Roman"/>
          <w:sz w:val="32"/>
          <w:szCs w:val="36"/>
        </w:rPr>
      </w:pPr>
      <w:bookmarkStart w:id="3" w:name="_Toc239672631"/>
      <w:r>
        <w:rPr>
          <w:rFonts w:ascii="Times New Roman" w:hAnsi="Times New Roman" w:eastAsia="楷体_GB2312" w:cs="Times New Roman"/>
          <w:sz w:val="32"/>
          <w:szCs w:val="36"/>
        </w:rPr>
        <w:t>（</w:t>
      </w:r>
      <w:r>
        <w:rPr>
          <w:rFonts w:hint="eastAsia" w:ascii="Times New Roman" w:hAnsi="Times New Roman" w:eastAsia="楷体_GB2312" w:cs="Times New Roman"/>
          <w:sz w:val="32"/>
          <w:szCs w:val="36"/>
          <w:lang w:val="en-US" w:eastAsia="zh-CN"/>
        </w:rPr>
        <w:t>二</w:t>
      </w:r>
      <w:r>
        <w:rPr>
          <w:rFonts w:ascii="Times New Roman" w:hAnsi="Times New Roman" w:eastAsia="楷体_GB2312" w:cs="Times New Roman"/>
          <w:sz w:val="32"/>
          <w:szCs w:val="36"/>
        </w:rPr>
        <w:t>）发展目标</w:t>
      </w:r>
      <w:bookmarkEnd w:id="3"/>
    </w:p>
    <w:p w14:paraId="4FF9D975"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bookmarkStart w:id="4" w:name="_Hlk200925069"/>
      <w:r>
        <w:rPr>
          <w:rFonts w:hint="eastAsia" w:ascii="仿宋_GB2312" w:hAnsi="仿宋_GB2312" w:eastAsia="仿宋_GB2312" w:cs="仿宋_GB2312"/>
          <w:sz w:val="32"/>
          <w:szCs w:val="32"/>
        </w:rPr>
        <w:t>到2030年，零售商业规模合理增长，全区社会消费品零售总额</w:t>
      </w:r>
      <w:r>
        <w:rPr>
          <w:rFonts w:ascii="仿宋_GB2312" w:hAnsi="仿宋_GB2312" w:eastAsia="仿宋_GB2312" w:cs="仿宋_GB2312"/>
          <w:sz w:val="32"/>
          <w:szCs w:val="32"/>
        </w:rPr>
        <w:t>年均增速达到5%</w:t>
      </w:r>
      <w:r>
        <w:rPr>
          <w:rFonts w:hint="eastAsia" w:ascii="仿宋_GB2312" w:hAnsi="仿宋_GB2312" w:eastAsia="仿宋_GB2312" w:cs="仿宋_GB2312"/>
          <w:sz w:val="32"/>
          <w:szCs w:val="32"/>
        </w:rPr>
        <w:t>，商品销售总额年均增速5%，住宿餐饮业营业额年均增速3%，城镇居民人均消费支出达到</w:t>
      </w:r>
      <w:r>
        <w:rPr>
          <w:rFonts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0</w:t>
      </w:r>
      <w:r>
        <w:rPr>
          <w:rFonts w:ascii="仿宋_GB2312" w:hAnsi="仿宋_GB2312" w:eastAsia="仿宋_GB2312" w:cs="仿宋_GB2312"/>
          <w:sz w:val="32"/>
          <w:szCs w:val="32"/>
        </w:rPr>
        <w:t>000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元，农村居民人均消费支出达到</w:t>
      </w:r>
      <w:r>
        <w:rPr>
          <w:rFonts w:ascii="仿宋_GB2312" w:hAnsi="仿宋_GB2312" w:eastAsia="仿宋_GB2312" w:cs="仿宋_GB2312"/>
          <w:sz w:val="32"/>
          <w:szCs w:val="32"/>
        </w:rPr>
        <w:t>28700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bookmarkEnd w:id="4"/>
      <w:r>
        <w:rPr>
          <w:rFonts w:hint="eastAsia" w:ascii="仿宋_GB2312" w:hAnsi="仿宋_GB2312" w:eastAsia="仿宋_GB2312" w:cs="仿宋_GB2312"/>
          <w:sz w:val="32"/>
          <w:szCs w:val="32"/>
        </w:rPr>
        <w:t>，居民在地消费年均增速达到6%。</w:t>
      </w:r>
    </w:p>
    <w:p w14:paraId="3F18413C"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bookmarkStart w:id="5" w:name="_Hlk200925083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1.商业网点体系结构显著优化</w:t>
      </w:r>
      <w:bookmarkEnd w:id="5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构建层次分明、功能互补的现代化商业网络，新增商业综合体1个，改造升级传统商业街区2条，商业营业面积新增10万平方米，升级一刻钟便民生活圈达14个。</w:t>
      </w:r>
    </w:p>
    <w:p w14:paraId="208B6B92"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bookmarkStart w:id="6" w:name="_Hlk200925088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2.商业品牌国际化水平显著提升</w:t>
      </w:r>
      <w:bookmarkEnd w:id="6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以“全球视野+本土特色”双轮驱动商业品牌能级跃升，吸引全国首店、全市首店达到50家以上，累计新品首发首秀首展活动超5场。通过文创赋能、科技加持，培育孵化消费新品牌，创制一批“高品质、高颜值、高体验、高附加值”新产品。</w:t>
      </w:r>
    </w:p>
    <w:p w14:paraId="1FAA928A"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bookmarkStart w:id="7" w:name="_Hlk200925093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</w:t>
      </w:r>
      <w:bookmarkEnd w:id="7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陆港型国家物流枢纽功能显著提升。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口岸设施实现全面提质升级，铁路场站、铁路海关监管作业场所建成投用，进口肉类指定监管场地功能充分发挥。对外开放通道持续拓展，国际班列、海铁联运班列实现稳定开行，与国内各物流枢纽节点城市合作深度、广度持续拓展。口岸开放发展生态持续完善，营商与通关环境持续优化，基本实现海关智能监管全程一体化，通关便利化水平、综合服务效能大幅提升。</w:t>
      </w:r>
    </w:p>
    <w:p w14:paraId="6DC46B15"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bookmarkStart w:id="8" w:name="_Hlk200925097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4.多元融合消费场景显著拓展</w:t>
      </w:r>
      <w:bookmarkEnd w:id="8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全方位塑造体验式消费潮流，深度融合数字科技与生态资源，打造前沿融合消费场景，打造6个“夜京城”新地标和融合消费打卡地，旗舰展会、农事节事赛事品牌达到10个。区域消费便利度与满意度指数显著提升，成为京津冀居民品质消费目的地。</w:t>
      </w:r>
    </w:p>
    <w:p w14:paraId="234CF240">
      <w:pPr>
        <w:spacing w:line="560" w:lineRule="exact"/>
        <w:jc w:val="center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图表1“十五五”时期平谷区商业消费发展目标</w:t>
      </w:r>
    </w:p>
    <w:tbl>
      <w:tblPr>
        <w:tblStyle w:val="2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8"/>
        <w:gridCol w:w="1056"/>
        <w:gridCol w:w="3263"/>
        <w:gridCol w:w="1417"/>
        <w:gridCol w:w="1327"/>
      </w:tblGrid>
      <w:tr w14:paraId="7D3AA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6513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一级指标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5E41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C735D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二级指标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2A04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发展目标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8BE0C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性质</w:t>
            </w:r>
          </w:p>
        </w:tc>
      </w:tr>
      <w:tr w14:paraId="07872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24891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综合指标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C958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（1）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0D872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社会消费品零售总额（亿元）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C720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120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FE7A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预期性</w:t>
            </w:r>
          </w:p>
        </w:tc>
      </w:tr>
      <w:tr w14:paraId="3ED71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6252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BC6C5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（2）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5549A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批发零售业商品销售总额年均增速（%）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B540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E3D10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预期性</w:t>
            </w:r>
          </w:p>
        </w:tc>
      </w:tr>
      <w:tr w14:paraId="01FD2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E1C0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E620C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（3）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3F272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住宿餐饮业营业额年均增速（%）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F8C0F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00E3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预期性</w:t>
            </w:r>
          </w:p>
        </w:tc>
      </w:tr>
      <w:tr w14:paraId="73CE4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98C6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0B897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（4）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62A84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限额以上企业实物商品网上零售额年均增速（%）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A0D4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D2CD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预期性</w:t>
            </w:r>
          </w:p>
        </w:tc>
      </w:tr>
      <w:tr w14:paraId="33731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240C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C572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（5）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76D58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城镇居民人均消费支出（元）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AB96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40000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8C9D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预期性</w:t>
            </w:r>
          </w:p>
        </w:tc>
      </w:tr>
      <w:tr w14:paraId="0D1E2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7BEF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57401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（6）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00A47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农村居民人均消费支出（元）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71D4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28700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C3F8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预期性</w:t>
            </w:r>
          </w:p>
        </w:tc>
      </w:tr>
      <w:tr w14:paraId="35488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FB37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53B8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（7）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91BE2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在地消费增速（%）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F7A4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2D31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预期性</w:t>
            </w:r>
          </w:p>
        </w:tc>
      </w:tr>
      <w:tr w14:paraId="6E040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C13E9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立体化商业网点网络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4ACF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（8）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FD0322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新增商业综合体（个）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E030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7B91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预期性</w:t>
            </w:r>
          </w:p>
        </w:tc>
      </w:tr>
      <w:tr w14:paraId="7715C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300EF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78A9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（9）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CC4C8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改造升级传统商业街区（条）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6054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609E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预期性</w:t>
            </w:r>
          </w:p>
        </w:tc>
      </w:tr>
      <w:tr w14:paraId="5808A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2690D7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F3F7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（10）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30E14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商业营业面积新增（万平方米）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FD82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5180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预期性</w:t>
            </w:r>
          </w:p>
        </w:tc>
      </w:tr>
      <w:tr w14:paraId="5AD73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3211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8F1D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（11）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22BA1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升级一刻钟便民生活圈（个）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0A29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14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B6D2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预期性</w:t>
            </w:r>
          </w:p>
        </w:tc>
      </w:tr>
      <w:tr w14:paraId="4C0D6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CB363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国际化商业品牌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A9A0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（12）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4002C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累计全国首店、北京首店（个）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7549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50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56FC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预期性</w:t>
            </w:r>
          </w:p>
        </w:tc>
      </w:tr>
      <w:tr w14:paraId="66AE8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61DB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EE6E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（13）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DC5B9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累计新品首发首秀首展活动（场）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729D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5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C081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预期性</w:t>
            </w:r>
          </w:p>
        </w:tc>
      </w:tr>
      <w:tr w14:paraId="58511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54F6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特色化融合消费地标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3A1AA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（14）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6DFE01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打造“夜京城”新地标和融合消费打卡地（个）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640F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6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6D39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预期性</w:t>
            </w:r>
          </w:p>
        </w:tc>
      </w:tr>
      <w:tr w14:paraId="3A95F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34C6C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7A752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（15）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AD7B2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旗舰展会、农事节事赛事品牌（个）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01988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4B30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预期性</w:t>
            </w:r>
          </w:p>
        </w:tc>
      </w:tr>
      <w:tr w14:paraId="1ACFD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5F55288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安心消费环境建设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6BEF84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（16）</w:t>
            </w:r>
          </w:p>
        </w:tc>
        <w:tc>
          <w:tcPr>
            <w:tcW w:w="32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0790F">
            <w:pPr>
              <w:adjustRightInd w:val="0"/>
              <w:snapToGrid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食品安全抽检合格率（%）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13A0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&gt;98.7</w:t>
            </w:r>
          </w:p>
        </w:tc>
        <w:tc>
          <w:tcPr>
            <w:tcW w:w="13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CB31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约束性</w:t>
            </w:r>
          </w:p>
        </w:tc>
      </w:tr>
    </w:tbl>
    <w:p w14:paraId="3277B35A">
      <w:pPr>
        <w:spacing w:line="560" w:lineRule="exact"/>
        <w:ind w:firstLine="640" w:firstLineChars="200"/>
        <w:outlineLvl w:val="0"/>
        <w:rPr>
          <w:rFonts w:ascii="Times New Roman" w:hAnsi="Times New Roman" w:eastAsia="黑体" w:cs="Times New Roman"/>
          <w:sz w:val="32"/>
          <w:szCs w:val="32"/>
        </w:rPr>
      </w:pPr>
      <w:bookmarkStart w:id="9" w:name="_Toc239672632"/>
      <w:r>
        <w:rPr>
          <w:rFonts w:hint="eastAsia" w:ascii="Times New Roman" w:hAnsi="Times New Roman" w:eastAsia="黑体" w:cs="Times New Roman"/>
          <w:sz w:val="32"/>
          <w:szCs w:val="32"/>
        </w:rPr>
        <w:t>二</w:t>
      </w:r>
      <w:r>
        <w:rPr>
          <w:rFonts w:ascii="Times New Roman" w:hAnsi="Times New Roman" w:eastAsia="黑体" w:cs="Times New Roman"/>
          <w:sz w:val="32"/>
          <w:szCs w:val="32"/>
        </w:rPr>
        <w:t>、重点</w:t>
      </w:r>
      <w:r>
        <w:rPr>
          <w:rFonts w:hint="eastAsia" w:ascii="Times New Roman" w:hAnsi="Times New Roman" w:eastAsia="黑体" w:cs="Times New Roman"/>
          <w:sz w:val="32"/>
          <w:szCs w:val="32"/>
        </w:rPr>
        <w:t>任务</w:t>
      </w:r>
      <w:bookmarkEnd w:id="9"/>
    </w:p>
    <w:p w14:paraId="35285ECF">
      <w:pPr>
        <w:spacing w:line="560" w:lineRule="exact"/>
        <w:ind w:firstLine="640" w:firstLineChars="200"/>
        <w:outlineLvl w:val="1"/>
        <w:rPr>
          <w:rFonts w:ascii="Times New Roman" w:hAnsi="Times New Roman" w:eastAsia="楷体_GB2312" w:cs="Times New Roman"/>
          <w:sz w:val="32"/>
          <w:szCs w:val="36"/>
        </w:rPr>
      </w:pPr>
      <w:bookmarkStart w:id="10" w:name="_Toc239672633"/>
      <w:r>
        <w:rPr>
          <w:rFonts w:ascii="Times New Roman" w:hAnsi="Times New Roman" w:eastAsia="楷体_GB2312" w:cs="Times New Roman"/>
          <w:sz w:val="32"/>
          <w:szCs w:val="36"/>
        </w:rPr>
        <w:t>（一）</w:t>
      </w:r>
      <w:r>
        <w:rPr>
          <w:rFonts w:hint="eastAsia" w:ascii="Times New Roman" w:hAnsi="Times New Roman" w:eastAsia="楷体_GB2312" w:cs="Times New Roman"/>
          <w:sz w:val="32"/>
          <w:szCs w:val="36"/>
        </w:rPr>
        <w:t>优化商业布局，构建协同发展格局</w:t>
      </w:r>
      <w:bookmarkEnd w:id="10"/>
    </w:p>
    <w:p w14:paraId="68CA003E">
      <w:pPr>
        <w:tabs>
          <w:tab w:val="left" w:pos="720"/>
        </w:tabs>
        <w:spacing w:line="560" w:lineRule="exact"/>
        <w:ind w:firstLine="641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bookmarkStart w:id="11" w:name="_Toc239672634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1.构建“1+4+9+N”商业体系。</w:t>
      </w:r>
      <w:r>
        <w:rPr>
          <w:rFonts w:hint="eastAsia" w:ascii="仿宋_GB2312" w:hAnsi="仿宋_GB2312" w:eastAsia="仿宋_GB2312" w:cs="仿宋_GB2312"/>
          <w:sz w:val="32"/>
          <w:szCs w:val="32"/>
        </w:rPr>
        <w:t>全力构建层次分明、功能互补的“1+4+9+N”的全域消费空间体系。“1”即平谷全域，加快全域旅游示范区建设，提升全域休闲旅游的整体吸引力，吸引更多国内外的消费者，建设世界级生态休闲度假目的地。“4”即打造</w:t>
      </w:r>
      <w:r>
        <w:rPr>
          <w:rFonts w:ascii="仿宋_GB2312" w:hAnsi="仿宋_GB2312" w:eastAsia="仿宋_GB2312" w:cs="仿宋_GB2312"/>
          <w:sz w:val="32"/>
          <w:szCs w:val="32"/>
        </w:rPr>
        <w:t>四大核心商圈增长极，做强万德福青年</w:t>
      </w:r>
      <w:r>
        <w:rPr>
          <w:rFonts w:hint="eastAsia" w:ascii="仿宋_GB2312" w:hAnsi="仿宋_GB2312" w:eastAsia="仿宋_GB2312" w:cs="仿宋_GB2312"/>
          <w:sz w:val="32"/>
          <w:szCs w:val="32"/>
        </w:rPr>
        <w:t>潮聚</w:t>
      </w:r>
      <w:r>
        <w:rPr>
          <w:rFonts w:ascii="仿宋_GB2312" w:hAnsi="仿宋_GB2312" w:eastAsia="仿宋_GB2312" w:cs="仿宋_GB2312"/>
          <w:sz w:val="32"/>
          <w:szCs w:val="32"/>
        </w:rPr>
        <w:t>商圈、兴谷万达城市核心商圈、马坊</w:t>
      </w:r>
      <w:r>
        <w:rPr>
          <w:rFonts w:hint="eastAsia" w:ascii="仿宋_GB2312" w:hAnsi="仿宋_GB2312" w:eastAsia="仿宋_GB2312" w:cs="仿宋_GB2312"/>
          <w:sz w:val="32"/>
          <w:szCs w:val="32"/>
        </w:rPr>
        <w:t>陆港优享消费活力圈</w:t>
      </w:r>
      <w:r>
        <w:rPr>
          <w:rFonts w:ascii="仿宋_GB2312" w:hAnsi="仿宋_GB2312" w:eastAsia="仿宋_GB2312" w:cs="仿宋_GB2312"/>
          <w:sz w:val="32"/>
          <w:szCs w:val="32"/>
        </w:rPr>
        <w:t>、金海湖滨水休闲</w:t>
      </w:r>
      <w:r>
        <w:rPr>
          <w:rFonts w:hint="eastAsia" w:ascii="仿宋_GB2312" w:hAnsi="仿宋_GB2312" w:eastAsia="仿宋_GB2312" w:cs="仿宋_GB2312"/>
          <w:sz w:val="32"/>
          <w:szCs w:val="32"/>
        </w:rPr>
        <w:t>消费活力圈</w:t>
      </w:r>
      <w:r>
        <w:rPr>
          <w:rFonts w:ascii="仿宋_GB2312" w:hAnsi="仿宋_GB2312" w:eastAsia="仿宋_GB2312" w:cs="仿宋_GB2312"/>
          <w:sz w:val="32"/>
          <w:szCs w:val="32"/>
        </w:rPr>
        <w:t>，形成四极联动、错位互补、全域赋能的消费升级核心引擎。</w:t>
      </w:r>
      <w:r>
        <w:rPr>
          <w:rFonts w:hint="eastAsia" w:ascii="仿宋_GB2312" w:hAnsi="仿宋_GB2312" w:eastAsia="仿宋_GB2312" w:cs="仿宋_GB2312"/>
          <w:sz w:val="32"/>
          <w:szCs w:val="32"/>
        </w:rPr>
        <w:t>“9”即构建“一核两轴三园三市集”功能布局，以平谷万达广场为“一核”，餐饮休闲两条街、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国农港商业街区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街为</w:t>
      </w:r>
      <w:r>
        <w:rPr>
          <w:rFonts w:hint="eastAsia" w:ascii="仿宋_GB2312" w:hAnsi="仿宋_GB2312" w:eastAsia="仿宋_GB2312" w:cs="仿宋_GB2312"/>
          <w:sz w:val="32"/>
          <w:szCs w:val="32"/>
        </w:rPr>
        <w:t>“两轴”，新消费时尚休闲花园（电视塔环岛街心花园）、情绪消费体验空间（宠物经济产业园锐E空间）、农业休闲观光园区（苹东市集外围的农业观光园）为“三园”，北大市场、苹东市集、金海永顺市集为“三市集”。“N”即联动农业中关村、京平综合物流枢纽、直播电商产业功能区、平急两用发展先行区、食品营养谷等N个赋能载体，共同绘就“1+4+9+N”全域消费新图景，全面提升平谷区商业消费的集聚力、辐射力与影响力。</w:t>
      </w:r>
      <w:bookmarkEnd w:id="11"/>
    </w:p>
    <w:p w14:paraId="28782A95">
      <w:pPr>
        <w:tabs>
          <w:tab w:val="left" w:pos="720"/>
        </w:tabs>
        <w:spacing w:line="560" w:lineRule="exact"/>
        <w:ind w:firstLine="641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bookmarkStart w:id="12" w:name="_Toc239672635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激活万德福青年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潮聚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商圈动能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聚焦“都市生活新中心”定位，</w:t>
      </w:r>
      <w:r>
        <w:rPr>
          <w:rFonts w:ascii="仿宋_GB2312" w:hAnsi="仿宋_GB2312" w:eastAsia="仿宋_GB2312" w:cs="仿宋_GB2312"/>
          <w:sz w:val="32"/>
          <w:szCs w:val="32"/>
        </w:rPr>
        <w:t>完善商圈配套基础设施，统筹推进公共停车位、</w:t>
      </w:r>
      <w:r>
        <w:rPr>
          <w:rFonts w:hint="eastAsia" w:ascii="仿宋_GB2312" w:hAnsi="仿宋_GB2312" w:eastAsia="仿宋_GB2312" w:cs="仿宋_GB2312"/>
          <w:sz w:val="32"/>
          <w:szCs w:val="32"/>
        </w:rPr>
        <w:t>分时共享停车</w:t>
      </w:r>
      <w:r>
        <w:rPr>
          <w:rFonts w:ascii="仿宋_GB2312" w:hAnsi="仿宋_GB2312" w:eastAsia="仿宋_GB2312" w:cs="仿宋_GB2312"/>
          <w:sz w:val="32"/>
          <w:szCs w:val="32"/>
        </w:rPr>
        <w:t>建设，优化片区交通接驳体系，提升客流承载、停放保障、夯实商圈长效发展硬件基础。创新创业消费载体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潮流社交场景、</w:t>
      </w:r>
      <w:r>
        <w:rPr>
          <w:rFonts w:hint="eastAsia" w:ascii="仿宋_GB2312" w:hAnsi="仿宋_GB2312" w:eastAsia="仿宋_GB2312" w:cs="仿宋_GB2312"/>
          <w:sz w:val="32"/>
          <w:szCs w:val="32"/>
        </w:rPr>
        <w:t>升级</w:t>
      </w:r>
      <w:r>
        <w:rPr>
          <w:rFonts w:ascii="仿宋_GB2312" w:hAnsi="仿宋_GB2312" w:eastAsia="仿宋_GB2312" w:cs="仿宋_GB2312"/>
          <w:sz w:val="32"/>
          <w:szCs w:val="32"/>
        </w:rPr>
        <w:t>配套商业</w:t>
      </w:r>
      <w:r>
        <w:rPr>
          <w:rFonts w:hint="eastAsia" w:ascii="仿宋_GB2312" w:hAnsi="仿宋_GB2312" w:eastAsia="仿宋_GB2312" w:cs="仿宋_GB2312"/>
          <w:sz w:val="32"/>
          <w:szCs w:val="32"/>
        </w:rPr>
        <w:t>。紧抓国家农业科技创新港</w:t>
      </w:r>
      <w:r>
        <w:rPr>
          <w:rFonts w:ascii="仿宋_GB2312" w:hAnsi="仿宋_GB2312" w:eastAsia="仿宋_GB2312" w:cs="仿宋_GB2312"/>
          <w:sz w:val="32"/>
          <w:szCs w:val="32"/>
        </w:rPr>
        <w:t>建设、地铁22号线创新港站TOD综合开发契机，聚焦校地融合、青年赋能、业态创新，打造适配青年群体消费、社交、创业需求的非标特色商业活力片区。</w:t>
      </w:r>
      <w:bookmarkEnd w:id="12"/>
    </w:p>
    <w:p w14:paraId="6C53C578">
      <w:pPr>
        <w:tabs>
          <w:tab w:val="left" w:pos="720"/>
        </w:tabs>
        <w:spacing w:line="560" w:lineRule="exact"/>
        <w:ind w:firstLine="641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bookmarkStart w:id="13" w:name="_Toc239672636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3.加快提升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兴谷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万达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商圈能级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全力推进万达广场建设首都东部商业新地标，聚焦科技、时尚发展方向，引进新能源汽车城市展厅、机器人体验等中高端品牌及创新业态；推动商场空间迭代升级，植入文化休闲、体育运动等消费内容，打造一批特色融合消费场景与公共空间网红打卡点，促进文化、旅游、体育业态向商业载体相互导入，引导文旅客群转化为商业消费流量。常态化策划开展特色化、品质化文商旅体展主题促消费活动，构建线上线下宣传推介矩阵，放大商圈品牌影响力。</w:t>
      </w:r>
      <w:bookmarkEnd w:id="13"/>
    </w:p>
    <w:p w14:paraId="25066ABA">
      <w:pPr>
        <w:tabs>
          <w:tab w:val="left" w:pos="720"/>
        </w:tabs>
        <w:spacing w:line="560" w:lineRule="exact"/>
        <w:ind w:firstLine="641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bookmarkStart w:id="14" w:name="_Toc239672637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4.提速马坊陆港优享消费活力圈建设。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以</w:t>
      </w:r>
      <w:r>
        <w:rPr>
          <w:rFonts w:ascii="仿宋_GB2312" w:hAnsi="仿宋_GB2312" w:eastAsia="仿宋_GB2312" w:cs="仿宋_GB2312"/>
          <w:sz w:val="32"/>
          <w:szCs w:val="32"/>
        </w:rPr>
        <w:t>地铁22号线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通车为契机，推动马坊镇中心区南区土地一级开发项目入市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ascii="仿宋_GB2312" w:hAnsi="仿宋_GB2312" w:eastAsia="仿宋_GB2312" w:cs="仿宋_GB2312"/>
          <w:sz w:val="32"/>
          <w:szCs w:val="32"/>
        </w:rPr>
        <w:t>谋划片区商业布局、社区配套、街区商业、便民服务设施，依托轨道客流优势，打造轨道站点型综合消费片区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ascii="仿宋_GB2312" w:hAnsi="仿宋_GB2312" w:eastAsia="仿宋_GB2312" w:cs="仿宋_GB2312"/>
          <w:sz w:val="32"/>
          <w:szCs w:val="32"/>
        </w:rPr>
        <w:t>深化会展与商业联动发展，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依托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310万平高标仓集群优势，积极</w:t>
      </w:r>
      <w:r>
        <w:rPr>
          <w:rFonts w:ascii="仿宋_GB2312" w:hAnsi="仿宋_GB2312" w:eastAsia="仿宋_GB2312" w:cs="仿宋_GB2312"/>
          <w:sz w:val="32"/>
          <w:szCs w:val="32"/>
        </w:rPr>
        <w:t>培育爬宠展、</w:t>
      </w:r>
      <w:r>
        <w:rPr>
          <w:rFonts w:hint="eastAsia" w:ascii="仿宋_GB2312" w:hAnsi="仿宋_GB2312" w:eastAsia="仿宋_GB2312" w:cs="仿宋_GB2312"/>
          <w:sz w:val="32"/>
          <w:szCs w:val="32"/>
        </w:rPr>
        <w:t>农产品展、</w:t>
      </w:r>
      <w:r>
        <w:rPr>
          <w:rFonts w:ascii="仿宋_GB2312" w:hAnsi="仿宋_GB2312" w:eastAsia="仿宋_GB2312" w:cs="仿宋_GB2312"/>
          <w:sz w:val="32"/>
          <w:szCs w:val="32"/>
        </w:rPr>
        <w:t>汽车展等特色展会业态，完善住宿、餐饮、夜间经济等配套服务，激活会展消费、过境消费、周末休闲消费潜力。优化产业聚集区域周边</w:t>
      </w:r>
      <w:r>
        <w:rPr>
          <w:rFonts w:hint="eastAsia" w:ascii="仿宋_GB2312" w:hAnsi="仿宋_GB2312" w:eastAsia="仿宋_GB2312" w:cs="仿宋_GB2312"/>
          <w:sz w:val="32"/>
          <w:szCs w:val="32"/>
        </w:rPr>
        <w:t>商业</w:t>
      </w:r>
      <w:r>
        <w:rPr>
          <w:rFonts w:ascii="仿宋_GB2312" w:hAnsi="仿宋_GB2312" w:eastAsia="仿宋_GB2312" w:cs="仿宋_GB2312"/>
          <w:sz w:val="32"/>
          <w:szCs w:val="32"/>
        </w:rPr>
        <w:t>布局，丰富社交、消费、娱乐等资源配套</w:t>
      </w:r>
      <w:r>
        <w:rPr>
          <w:rFonts w:hint="eastAsia" w:ascii="仿宋_GB2312" w:hAnsi="仿宋_GB2312" w:eastAsia="仿宋_GB2312" w:cs="仿宋_GB2312"/>
          <w:sz w:val="32"/>
          <w:szCs w:val="32"/>
        </w:rPr>
        <w:t>，建设与园区定位、产业发展需求相匹配的消费供给体系，打造交通枢纽型商贸新高地。</w:t>
      </w:r>
      <w:bookmarkEnd w:id="14"/>
    </w:p>
    <w:p w14:paraId="63539A3F">
      <w:pPr>
        <w:tabs>
          <w:tab w:val="left" w:pos="720"/>
        </w:tabs>
        <w:spacing w:line="560" w:lineRule="exact"/>
        <w:ind w:firstLine="641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bookmarkStart w:id="15" w:name="_Toc239672638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5.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塑造金海湖滨水消费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活力圈。</w:t>
      </w:r>
      <w:r>
        <w:rPr>
          <w:rFonts w:hint="eastAsia" w:ascii="仿宋_GB2312" w:hAnsi="仿宋_GB2312" w:eastAsia="仿宋_GB2312" w:cs="仿宋_GB2312"/>
          <w:sz w:val="32"/>
          <w:szCs w:val="32"/>
        </w:rPr>
        <w:t>立足金海湖优质生态滨水资源，系统推进环湖景观道、滨水步行道、山顶步道、骑行道建设，构建“四道联动”的立体化全域游览交通体系。有效串联金海湖国际会展中心、碧波岛、手游园、帆船园等核心文旅消费节点，实现景点资源、消费业态、游览动线的有机融合。聚焦商务会展、休闲度假、团建康养、特色文旅四大核心功能，持续补齐高端餐饮、露营漫憩、会务服务、康养休闲等配套业态，不断拓展消费场景、提质消费供给。着力打造功能完善、特色鲜明、生态优越的综合性滨水消费集聚区，推动优质生态资源向消费动能、发展势能高效转化，构建生态文旅消费全新增长极。</w:t>
      </w:r>
      <w:bookmarkEnd w:id="15"/>
    </w:p>
    <w:p w14:paraId="19513D41">
      <w:pPr>
        <w:spacing w:line="560" w:lineRule="exact"/>
        <w:ind w:firstLine="640" w:firstLineChars="200"/>
        <w:outlineLvl w:val="1"/>
        <w:rPr>
          <w:rFonts w:ascii="Times New Roman" w:hAnsi="Times New Roman" w:eastAsia="楷体_GB2312" w:cs="Times New Roman"/>
          <w:sz w:val="32"/>
          <w:szCs w:val="36"/>
        </w:rPr>
      </w:pPr>
      <w:bookmarkStart w:id="16" w:name="_Toc239672639"/>
      <w:r>
        <w:rPr>
          <w:rFonts w:ascii="Times New Roman" w:hAnsi="Times New Roman" w:eastAsia="楷体_GB2312" w:cs="Times New Roman"/>
          <w:sz w:val="32"/>
          <w:szCs w:val="36"/>
        </w:rPr>
        <w:t>（二）</w:t>
      </w:r>
      <w:r>
        <w:rPr>
          <w:rFonts w:hint="eastAsia" w:ascii="Times New Roman" w:hAnsi="Times New Roman" w:eastAsia="楷体_GB2312" w:cs="Times New Roman"/>
          <w:sz w:val="32"/>
          <w:szCs w:val="36"/>
        </w:rPr>
        <w:t>培育消费新空间，塑造城市消费名片</w:t>
      </w:r>
      <w:bookmarkEnd w:id="16"/>
    </w:p>
    <w:p w14:paraId="5CA7B357">
      <w:pPr>
        <w:tabs>
          <w:tab w:val="left" w:pos="720"/>
        </w:tabs>
        <w:spacing w:line="560" w:lineRule="exact"/>
        <w:ind w:firstLine="641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bookmarkStart w:id="17" w:name="_Toc239672640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6.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培育高辨识度特色商业业态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ascii="仿宋_GB2312" w:hAnsi="仿宋_GB2312" w:eastAsia="仿宋_GB2312" w:cs="仿宋_GB2312"/>
          <w:sz w:val="32"/>
          <w:szCs w:val="32"/>
        </w:rPr>
        <w:t>紧扣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ascii="仿宋_GB2312" w:hAnsi="仿宋_GB2312" w:eastAsia="仿宋_GB2312" w:cs="仿宋_GB2312"/>
          <w:sz w:val="32"/>
          <w:szCs w:val="32"/>
        </w:rPr>
        <w:t>十五五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ascii="仿宋_GB2312" w:hAnsi="仿宋_GB2312" w:eastAsia="仿宋_GB2312" w:cs="仿宋_GB2312"/>
          <w:sz w:val="32"/>
          <w:szCs w:val="32"/>
        </w:rPr>
        <w:t>时期城市更新行动总体部署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ascii="仿宋_GB2312" w:hAnsi="仿宋_GB2312" w:eastAsia="仿宋_GB2312" w:cs="仿宋_GB2312"/>
          <w:sz w:val="32"/>
          <w:szCs w:val="32"/>
        </w:rPr>
        <w:t>聚焦老旧厂区、低效载体、存量空间提质增效，推动商业空间功能复合化、业态非标化、场景特色化升级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ascii="仿宋_GB2312" w:hAnsi="仿宋_GB2312" w:eastAsia="仿宋_GB2312" w:cs="仿宋_GB2312"/>
          <w:sz w:val="32"/>
          <w:szCs w:val="32"/>
        </w:rPr>
        <w:t>重点盘活华润雪花啤酒厂老旧厂区存量资源，利用原有工业风貌与建筑肌理，植入宠物文旅、精酿体验、创意休闲等新业态，打造工业遗存活化、产消融合的综合性产业消费园区。持续推进钨丝邦创意园提质升级，通过微改造、精提升优化园区空间载体，引入文创艺术、手作体验、潮流零售、休闲咖啡等新兴业态，以点状更新带动片区商业整体能级提升。</w:t>
      </w:r>
      <w:bookmarkEnd w:id="17"/>
    </w:p>
    <w:p w14:paraId="2897EA72">
      <w:pPr>
        <w:tabs>
          <w:tab w:val="left" w:pos="720"/>
        </w:tabs>
        <w:spacing w:line="560" w:lineRule="exact"/>
        <w:ind w:firstLine="641"/>
        <w:outlineLvl w:val="2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18" w:name="_Toc239672641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7.培育丝路电商物产馆集群。</w:t>
      </w:r>
      <w:r>
        <w:rPr>
          <w:rFonts w:hint="eastAsia" w:ascii="仿宋_GB2312" w:hAnsi="仿宋_GB2312" w:eastAsia="仿宋_GB2312" w:cs="仿宋_GB2312"/>
          <w:sz w:val="32"/>
          <w:szCs w:val="32"/>
        </w:rPr>
        <w:t>培育丝路电商物产馆集群，依托国际班列开行，持续丰富“一带一路”进口商品馆商品品类和功能，打造“丝路电商”休闲消费直播体验区。以跨境商品展销、产地好物推介为核心，配套简易民俗文化展示，推动经贸往来与文化互鉴，建成首都东部规模领先、品类丰富的“一带一路”跨境商品体验中心与对外文化交流窗口。</w:t>
      </w:r>
      <w:bookmarkEnd w:id="18"/>
    </w:p>
    <w:p w14:paraId="6709E915">
      <w:pPr>
        <w:tabs>
          <w:tab w:val="left" w:pos="720"/>
        </w:tabs>
        <w:spacing w:line="560" w:lineRule="exact"/>
        <w:ind w:firstLine="641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bookmarkStart w:id="19" w:name="_Toc239672642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8.推动商业载体动态焕新。</w:t>
      </w:r>
      <w:r>
        <w:rPr>
          <w:rFonts w:hint="eastAsia" w:ascii="仿宋_GB2312" w:hAnsi="仿宋_GB2312" w:eastAsia="仿宋_GB2312" w:cs="仿宋_GB2312"/>
          <w:sz w:val="32"/>
          <w:szCs w:val="32"/>
        </w:rPr>
        <w:t>引导国泰、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万德福商街</w:t>
      </w:r>
      <w:r>
        <w:rPr>
          <w:rFonts w:hint="eastAsia" w:ascii="仿宋_GB2312" w:hAnsi="仿宋_GB2312" w:eastAsia="仿宋_GB2312" w:cs="仿宋_GB2312"/>
          <w:sz w:val="32"/>
          <w:szCs w:val="32"/>
        </w:rPr>
        <w:t>、新开街步行街等存量商业载体，结合城市更新实施建筑修缮、空间重构与基础设施升级，优化消费环境，适度扩容体验类、社交类业态比重，推动业态及建筑载体焕新升级，实现从商品售卖向场景化生活服务供给转变，从传统单一零售向多元业态融合转型。</w:t>
      </w:r>
      <w:bookmarkEnd w:id="19"/>
    </w:p>
    <w:p w14:paraId="023FCA63">
      <w:pPr>
        <w:spacing w:line="560" w:lineRule="exact"/>
        <w:ind w:firstLine="640" w:firstLineChars="200"/>
        <w:outlineLvl w:val="1"/>
        <w:rPr>
          <w:rFonts w:ascii="Times New Roman" w:hAnsi="Times New Roman" w:eastAsia="楷体_GB2312" w:cs="Times New Roman"/>
          <w:sz w:val="32"/>
          <w:szCs w:val="36"/>
        </w:rPr>
      </w:pPr>
      <w:bookmarkStart w:id="20" w:name="_Toc239672643"/>
      <w:r>
        <w:rPr>
          <w:rFonts w:hint="eastAsia" w:ascii="Times New Roman" w:hAnsi="Times New Roman" w:eastAsia="楷体_GB2312" w:cs="Times New Roman"/>
          <w:sz w:val="32"/>
          <w:szCs w:val="36"/>
        </w:rPr>
        <w:t>（三）提质</w:t>
      </w:r>
      <w:r>
        <w:rPr>
          <w:rFonts w:ascii="Times New Roman" w:hAnsi="Times New Roman" w:eastAsia="楷体_GB2312" w:cs="Times New Roman"/>
          <w:sz w:val="32"/>
          <w:szCs w:val="36"/>
        </w:rPr>
        <w:t>民生消费，激活</w:t>
      </w:r>
      <w:r>
        <w:rPr>
          <w:rFonts w:hint="eastAsia" w:ascii="Times New Roman" w:hAnsi="Times New Roman" w:eastAsia="楷体_GB2312" w:cs="Times New Roman"/>
          <w:sz w:val="32"/>
          <w:szCs w:val="36"/>
        </w:rPr>
        <w:t>生活消费</w:t>
      </w:r>
      <w:r>
        <w:rPr>
          <w:rFonts w:ascii="Times New Roman" w:hAnsi="Times New Roman" w:eastAsia="楷体_GB2312" w:cs="Times New Roman"/>
          <w:sz w:val="32"/>
          <w:szCs w:val="36"/>
        </w:rPr>
        <w:t>活力</w:t>
      </w:r>
      <w:bookmarkEnd w:id="20"/>
    </w:p>
    <w:p w14:paraId="6443DFD3">
      <w:pPr>
        <w:tabs>
          <w:tab w:val="left" w:pos="720"/>
        </w:tabs>
        <w:spacing w:line="560" w:lineRule="exact"/>
        <w:ind w:firstLine="641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bookmarkStart w:id="21" w:name="_Toc239672644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9.升级便民商业服务网络。</w:t>
      </w:r>
      <w:r>
        <w:rPr>
          <w:rFonts w:hint="eastAsia" w:ascii="仿宋_GB2312" w:hAnsi="仿宋_GB2312" w:eastAsia="仿宋_GB2312" w:cs="仿宋_GB2312"/>
          <w:sz w:val="32"/>
          <w:szCs w:val="32"/>
        </w:rPr>
        <w:t>面向乡镇、农村下沉消费市场，完善城乡商贸流通服务网络，在重点乡镇布局建设5家农村商贸中心，对100个重点村实施村级便利店提质升级，补齐乡村商业设施短板。以“一老一小”需求为核心导向，推动便民生活圈建设扩围升级，聚焦老年、儿童重点群体，精准匹配差异化消费需求，优化便民服务供给。依托商场、步行街现有经营空间，植入适老便民服务、老年体验、亲子游乐等功能业态，持续拓展“一老一小”特色消费场景，提升商业载体普惠服务能力。</w:t>
      </w:r>
      <w:bookmarkEnd w:id="21"/>
    </w:p>
    <w:p w14:paraId="1AEE93C6">
      <w:pPr>
        <w:tabs>
          <w:tab w:val="left" w:pos="720"/>
        </w:tabs>
        <w:spacing w:line="560" w:lineRule="exact"/>
        <w:ind w:firstLine="641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bookmarkStart w:id="22" w:name="_Toc239672645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10.打造烟火气消费地标市集。</w:t>
      </w:r>
      <w:r>
        <w:rPr>
          <w:rFonts w:hint="eastAsia" w:ascii="仿宋_GB2312" w:hAnsi="仿宋_GB2312" w:eastAsia="仿宋_GB2312" w:cs="仿宋_GB2312"/>
          <w:sz w:val="32"/>
          <w:szCs w:val="32"/>
        </w:rPr>
        <w:t>全面提升北大市场、苹东市集、金海永顺市集等标志性市集。推动各市集围绕自身特色实施品质、形象“双升工程”，统筹推进经营空间优化重塑与硬件设施提质改造，规范招牌标识、景观小品、视觉体系等公共风貌，塑造兼具市井烟火气息与精致品质的社区消费场景，实现本地居民、外来游客双向引流。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紧扣特色节庆节点，常态化开展民俗展演、非遗展示、特色展销等主题活动，以市集为载体活化本土文化资源，打造传播平谷地域特色、激活基层消费活力的重要窗口。</w:t>
      </w:r>
      <w:bookmarkEnd w:id="22"/>
    </w:p>
    <w:p w14:paraId="4DA7CF8C">
      <w:pPr>
        <w:spacing w:line="560" w:lineRule="exact"/>
        <w:ind w:firstLine="640" w:firstLineChars="200"/>
        <w:outlineLvl w:val="1"/>
        <w:rPr>
          <w:rFonts w:ascii="Times New Roman" w:hAnsi="Times New Roman" w:eastAsia="楷体_GB2312" w:cs="Times New Roman"/>
          <w:sz w:val="32"/>
          <w:szCs w:val="36"/>
        </w:rPr>
      </w:pPr>
      <w:bookmarkStart w:id="23" w:name="_Toc239672646"/>
      <w:r>
        <w:rPr>
          <w:rFonts w:ascii="Times New Roman" w:hAnsi="Times New Roman" w:eastAsia="楷体_GB2312" w:cs="Times New Roman"/>
          <w:sz w:val="32"/>
          <w:szCs w:val="36"/>
        </w:rPr>
        <w:t>（</w:t>
      </w:r>
      <w:r>
        <w:rPr>
          <w:rFonts w:hint="eastAsia" w:ascii="Times New Roman" w:hAnsi="Times New Roman" w:eastAsia="楷体_GB2312" w:cs="Times New Roman"/>
          <w:sz w:val="32"/>
          <w:szCs w:val="36"/>
        </w:rPr>
        <w:t>四</w:t>
      </w:r>
      <w:r>
        <w:rPr>
          <w:rFonts w:ascii="Times New Roman" w:hAnsi="Times New Roman" w:eastAsia="楷体_GB2312" w:cs="Times New Roman"/>
          <w:sz w:val="32"/>
          <w:szCs w:val="36"/>
        </w:rPr>
        <w:t>）</w:t>
      </w:r>
      <w:r>
        <w:rPr>
          <w:rFonts w:hint="eastAsia" w:ascii="Times New Roman" w:hAnsi="Times New Roman" w:eastAsia="楷体_GB2312" w:cs="Times New Roman"/>
          <w:sz w:val="32"/>
          <w:szCs w:val="36"/>
        </w:rPr>
        <w:t>提升供给质量，推动消费品质升级</w:t>
      </w:r>
      <w:bookmarkEnd w:id="23"/>
    </w:p>
    <w:p w14:paraId="39D205AD">
      <w:pPr>
        <w:widowControl/>
        <w:spacing w:line="560" w:lineRule="exact"/>
        <w:ind w:firstLine="643" w:firstLineChars="200"/>
        <w:jc w:val="left"/>
        <w:outlineLvl w:val="1"/>
        <w:rPr>
          <w:rFonts w:hint="eastAsia"/>
        </w:rPr>
      </w:pPr>
      <w:bookmarkStart w:id="24" w:name="_Toc239672647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11.加速新消费品牌培育。</w:t>
      </w:r>
      <w:r>
        <w:rPr>
          <w:rFonts w:hint="eastAsia" w:ascii="仿宋_GB2312" w:hAnsi="仿宋_GB2312" w:eastAsia="仿宋_GB2312" w:cs="仿宋_GB2312"/>
          <w:sz w:val="32"/>
          <w:szCs w:val="32"/>
        </w:rPr>
        <w:t>聚焦时尚轻奢、美妆护肤、潮流运动等领域，加大国际名品、新锐潮牌、特色首店招引力度，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丰富区域高端、潮流消费供给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优化首店经济发展配套保障，为品牌首店、本土优质品牌开展新品首发、主题展销等创新活动，提供场地统筹、审批备案等全方位服务支持，持续激活首发经济活力。深耕平谷本土特色资源，强化属地新消费品牌孵化培育，围绕桃文化IP，创新研发桃主题茶饮、酒水、甜品等特色食品及桃吊坠、精油、洗护香薰等文创美妆产品。扶持优质新品、本土新锐品牌入驻核心商圈、线上电商平台，拓宽市场化推广渠道。</w:t>
      </w:r>
      <w:bookmarkEnd w:id="24"/>
    </w:p>
    <w:p w14:paraId="49309331">
      <w:pPr>
        <w:tabs>
          <w:tab w:val="left" w:pos="720"/>
        </w:tabs>
        <w:spacing w:line="560" w:lineRule="exact"/>
        <w:ind w:firstLine="641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bookmarkStart w:id="25" w:name="_Toc239672648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12.培育高品质餐饮消费。</w:t>
      </w:r>
      <w:r>
        <w:rPr>
          <w:rFonts w:hint="eastAsia" w:ascii="仿宋_GB2312" w:hAnsi="仿宋_GB2312" w:eastAsia="仿宋_GB2312" w:cs="仿宋_GB2312"/>
          <w:sz w:val="32"/>
          <w:szCs w:val="32"/>
        </w:rPr>
        <w:t>深化“吃在平谷”特色品牌建设，丰富品牌餐饮业态供给，积极引入知名连锁餐厅、商务餐厅、网红餐厅、老字号餐饮等，全面升级餐饮消费体验。加快推进谷丰东路、东寺渠美食街建设，汇聚主题餐厅、特色小吃、深夜食堂等多元业态，打造集餐饮消费、社交娱乐、文化体验于一体的餐</w:t>
      </w:r>
      <w:bookmarkStart w:id="54" w:name="_GoBack"/>
      <w:bookmarkEnd w:id="54"/>
      <w:r>
        <w:rPr>
          <w:rFonts w:hint="eastAsia" w:ascii="仿宋_GB2312" w:hAnsi="仿宋_GB2312" w:eastAsia="仿宋_GB2312" w:cs="仿宋_GB2312"/>
          <w:sz w:val="32"/>
          <w:szCs w:val="32"/>
        </w:rPr>
        <w:t>饮集聚区。推动各乡镇结合自身农业优势资源，打造乡村特色餐饮业态。持续举办美食季、美食市集等特色餐饮活动，叫响“要想吃得好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就往平谷跑”口号。</w:t>
      </w:r>
      <w:bookmarkEnd w:id="25"/>
    </w:p>
    <w:p w14:paraId="70C7C49E">
      <w:pPr>
        <w:widowControl/>
        <w:tabs>
          <w:tab w:val="left" w:pos="720"/>
        </w:tabs>
        <w:spacing w:line="560" w:lineRule="exact"/>
        <w:ind w:firstLine="641"/>
        <w:jc w:val="left"/>
        <w:outlineLvl w:val="2"/>
        <w:rPr>
          <w:rFonts w:hint="eastAsia" w:ascii="仿宋_GB2312" w:hAnsi="仿宋_GB2312" w:eastAsia="仿宋_GB2312" w:cs="仿宋_GB2312"/>
          <w:sz w:val="32"/>
          <w:szCs w:val="32"/>
          <w:lang w:bidi="ar"/>
        </w:rPr>
      </w:pPr>
      <w:bookmarkStart w:id="26" w:name="_Toc239672649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13.打造特色夜间消费场景。</w:t>
      </w:r>
      <w:r>
        <w:rPr>
          <w:rFonts w:hint="eastAsia" w:ascii="仿宋_GB2312" w:hAnsi="仿宋_GB2312" w:eastAsia="仿宋_GB2312" w:cs="仿宋_GB2312"/>
          <w:sz w:val="32"/>
          <w:szCs w:val="32"/>
        </w:rPr>
        <w:t>以桃源里、梨树沟、万达广场、苹东市集、渔阳滑雪场等场景为主阵地，激活全域夜间消费活力。积极培育流动轻消费业态、特色美食夜市，系统构建“夜景、夜购、夜娱、夜休闲”多元融合的夜间消费生态，打造一批辨识度高、影响力强的“夜京城”融合消费打卡地标。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立足平谷独特山谷地貌与优质自然生态资源，深耕特色夜游产品体系，创新打造户外音乐节、沉浸式实景剧本游、星空露营等体验项目。</w:t>
      </w:r>
      <w:bookmarkEnd w:id="26"/>
    </w:p>
    <w:p w14:paraId="3ACEE5DF">
      <w:pPr>
        <w:widowControl/>
        <w:tabs>
          <w:tab w:val="left" w:pos="720"/>
        </w:tabs>
        <w:spacing w:line="560" w:lineRule="exact"/>
        <w:ind w:firstLine="641"/>
        <w:jc w:val="left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bookmarkStart w:id="27" w:name="_Toc239672650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14.推广绿色低碳消费模式。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大力推广新能源汽车普及应用，以便利城乡居民消费换新为核心抓手，持续优化绿色出行消费供给。推动家电回收、家装样板间体验等便民服务场景常态化进驻商圈商场、社区阵地，有序引导</w:t>
      </w:r>
      <w:r>
        <w:rPr>
          <w:rFonts w:hint="eastAsia" w:ascii="仿宋_GB2312" w:hAnsi="仿宋_GB2312" w:eastAsia="仿宋_GB2312" w:cs="仿宋_GB2312"/>
          <w:sz w:val="32"/>
          <w:szCs w:val="32"/>
        </w:rPr>
        <w:t>居民开展旧房装修、局部改造和居家适老化改造。推动万达广场等重点商业主体打造低碳消费商场，全方位构建绿色消费新生态，为可持续发展注入强劲动力。</w:t>
      </w:r>
      <w:bookmarkEnd w:id="27"/>
    </w:p>
    <w:p w14:paraId="2E557B3F">
      <w:pPr>
        <w:spacing w:line="560" w:lineRule="exact"/>
        <w:ind w:firstLine="640" w:firstLineChars="200"/>
        <w:outlineLvl w:val="1"/>
        <w:rPr>
          <w:rFonts w:ascii="Times New Roman" w:hAnsi="Times New Roman" w:eastAsia="楷体_GB2312" w:cs="Times New Roman"/>
          <w:sz w:val="32"/>
          <w:szCs w:val="36"/>
        </w:rPr>
      </w:pPr>
      <w:bookmarkStart w:id="28" w:name="_Toc239672651"/>
      <w:r>
        <w:rPr>
          <w:rFonts w:ascii="Times New Roman" w:hAnsi="Times New Roman" w:eastAsia="楷体_GB2312" w:cs="Times New Roman"/>
          <w:sz w:val="32"/>
          <w:szCs w:val="36"/>
        </w:rPr>
        <w:t>（</w:t>
      </w:r>
      <w:r>
        <w:rPr>
          <w:rFonts w:hint="eastAsia" w:ascii="Times New Roman" w:hAnsi="Times New Roman" w:eastAsia="楷体_GB2312" w:cs="Times New Roman"/>
          <w:sz w:val="32"/>
          <w:szCs w:val="36"/>
        </w:rPr>
        <w:t>五</w:t>
      </w:r>
      <w:r>
        <w:rPr>
          <w:rFonts w:ascii="Times New Roman" w:hAnsi="Times New Roman" w:eastAsia="楷体_GB2312" w:cs="Times New Roman"/>
          <w:sz w:val="32"/>
          <w:szCs w:val="36"/>
        </w:rPr>
        <w:t>）</w:t>
      </w:r>
      <w:r>
        <w:rPr>
          <w:rFonts w:hint="eastAsia" w:ascii="Times New Roman" w:hAnsi="Times New Roman" w:eastAsia="楷体_GB2312" w:cs="Times New Roman"/>
          <w:sz w:val="32"/>
          <w:szCs w:val="36"/>
        </w:rPr>
        <w:t>创新消费业态，引领潮流消费趋势</w:t>
      </w:r>
      <w:bookmarkEnd w:id="28"/>
    </w:p>
    <w:p w14:paraId="2065F48F">
      <w:pPr>
        <w:widowControl/>
        <w:spacing w:line="560" w:lineRule="exact"/>
        <w:ind w:firstLine="643" w:firstLineChars="200"/>
        <w:outlineLvl w:val="1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29" w:name="_Toc239672652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15.培育宠物特色</w:t>
      </w:r>
      <w:r>
        <w:rPr>
          <w:rFonts w:ascii="仿宋_GB2312" w:hAnsi="仿宋_GB2312" w:eastAsia="仿宋_GB2312" w:cs="仿宋_GB2312"/>
          <w:b/>
          <w:bCs/>
          <w:sz w:val="32"/>
          <w:szCs w:val="32"/>
        </w:rPr>
        <w:t>消费场景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加快推进北京（平谷）宠物文化产业园、爬行动物馆、蝴蝶馆等特色载体建设，常态化开展北京世界爬行动物及用品展、萌宠主题市集等品牌活动。持续拓展宠物友好消费场景，积极导入宠物友好型酒店、精品民宿、乡村咖啡等配套业态，完善全域宠物友好服务体系。</w:t>
      </w:r>
      <w:bookmarkEnd w:id="29"/>
    </w:p>
    <w:p w14:paraId="4A0F6775">
      <w:pPr>
        <w:tabs>
          <w:tab w:val="left" w:pos="720"/>
        </w:tabs>
        <w:spacing w:line="560" w:lineRule="exact"/>
        <w:ind w:firstLine="641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bookmarkStart w:id="30" w:name="_Toc239672653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16.拓展银发消费友好环境。</w:t>
      </w:r>
      <w:r>
        <w:rPr>
          <w:rFonts w:hint="eastAsia" w:ascii="仿宋_GB2312" w:hAnsi="仿宋_GB2312" w:eastAsia="仿宋_GB2312" w:cs="仿宋_GB2312"/>
          <w:sz w:val="32"/>
          <w:szCs w:val="32"/>
        </w:rPr>
        <w:t>支持购物中心、商超改造无障碍通道、增设休息座椅，打造适老化购物环境，鼓励商场开设老年服务窗口，提供人工导购等便利服务。引导大型商超举办银发主题购物节，支持设立银发消费专区，集中展销老年服饰、养生食品、智能养老设备、机器人等商品，打造“老有所购、老有所享”的消费新场景。</w:t>
      </w:r>
      <w:bookmarkEnd w:id="30"/>
    </w:p>
    <w:p w14:paraId="4C00CE3E">
      <w:pPr>
        <w:tabs>
          <w:tab w:val="left" w:pos="720"/>
        </w:tabs>
        <w:spacing w:line="560" w:lineRule="exact"/>
        <w:ind w:firstLine="641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bookmarkStart w:id="31" w:name="_Toc239672654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17.发展康养消费特色业态。</w:t>
      </w:r>
      <w:r>
        <w:rPr>
          <w:rFonts w:hint="eastAsia" w:ascii="仿宋_GB2312" w:hAnsi="仿宋_GB2312" w:eastAsia="仿宋_GB2312" w:cs="仿宋_GB2312"/>
          <w:sz w:val="32"/>
          <w:szCs w:val="32"/>
        </w:rPr>
        <w:t>加速推动中药材产业与乡村旅游、生态建设、健康养老深度融合，布局药食同源康养文旅产业，推动国家康养旅游示范基地建设。高标准建设金海湖平急两用体检中心项目，打造康养消费新极核。推动峪口镇、熊儿寨乡、黄松峪乡、刘家店镇等地建设中药材生态种植示范基地。推动八段锦、太极拳等传统功法带练活动进景区、进社区，实现活动对康养旅游项目的推广引流作用。</w:t>
      </w:r>
      <w:bookmarkEnd w:id="31"/>
    </w:p>
    <w:p w14:paraId="35772DF4">
      <w:pPr>
        <w:spacing w:line="560" w:lineRule="exact"/>
        <w:ind w:firstLine="640" w:firstLineChars="200"/>
        <w:outlineLvl w:val="1"/>
        <w:rPr>
          <w:rFonts w:ascii="Times New Roman" w:hAnsi="Times New Roman" w:eastAsia="楷体_GB2312" w:cs="Times New Roman"/>
          <w:sz w:val="32"/>
          <w:szCs w:val="36"/>
        </w:rPr>
      </w:pPr>
      <w:bookmarkStart w:id="32" w:name="_Toc239672655"/>
      <w:r>
        <w:rPr>
          <w:rFonts w:ascii="Times New Roman" w:hAnsi="Times New Roman" w:eastAsia="楷体_GB2312" w:cs="Times New Roman"/>
          <w:sz w:val="32"/>
          <w:szCs w:val="36"/>
        </w:rPr>
        <w:t>（</w:t>
      </w:r>
      <w:r>
        <w:rPr>
          <w:rFonts w:hint="eastAsia" w:ascii="Times New Roman" w:hAnsi="Times New Roman" w:eastAsia="楷体_GB2312" w:cs="Times New Roman"/>
          <w:sz w:val="32"/>
          <w:szCs w:val="36"/>
        </w:rPr>
        <w:t>六</w:t>
      </w:r>
      <w:r>
        <w:rPr>
          <w:rFonts w:ascii="Times New Roman" w:hAnsi="Times New Roman" w:eastAsia="楷体_GB2312" w:cs="Times New Roman"/>
          <w:sz w:val="32"/>
          <w:szCs w:val="36"/>
        </w:rPr>
        <w:t>）</w:t>
      </w:r>
      <w:r>
        <w:rPr>
          <w:rFonts w:hint="eastAsia" w:ascii="Times New Roman" w:hAnsi="Times New Roman" w:eastAsia="楷体_GB2312" w:cs="Times New Roman"/>
          <w:sz w:val="32"/>
          <w:szCs w:val="36"/>
        </w:rPr>
        <w:t>做强产业矩阵，深化消费产业融合</w:t>
      </w:r>
      <w:bookmarkEnd w:id="32"/>
    </w:p>
    <w:p w14:paraId="382ABD30">
      <w:pPr>
        <w:spacing w:line="560" w:lineRule="exact"/>
        <w:ind w:firstLine="643" w:firstLineChars="200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  <w:bookmarkStart w:id="33" w:name="_Toc239672656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18.强化消费与在地产业联动。</w:t>
      </w:r>
      <w:r>
        <w:rPr>
          <w:rFonts w:hint="eastAsia" w:ascii="仿宋_GB2312" w:hAnsi="Times New Roman" w:eastAsia="仿宋_GB2312"/>
          <w:sz w:val="32"/>
          <w:szCs w:val="32"/>
        </w:rPr>
        <w:t>发挥“中关村现代食品营养谷”产业势能，</w:t>
      </w:r>
      <w:r>
        <w:rPr>
          <w:rFonts w:hint="eastAsia" w:ascii="仿宋_GB2312" w:hAnsi="Times New Roman" w:eastAsia="仿宋_GB2312"/>
          <w:sz w:val="32"/>
          <w:szCs w:val="32"/>
          <w:lang w:bidi="ar"/>
        </w:rPr>
        <w:t>构建集研发创新、精深制造、场景消费于一体的健康食品全产业链条，打通产业端与消费端衔接通道</w:t>
      </w:r>
      <w:r>
        <w:rPr>
          <w:rFonts w:hint="eastAsia" w:ascii="仿宋_GB2312" w:hAnsi="Times New Roman" w:eastAsia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依托国家农业科技创新港等国家级平台资源，重点围绕植物蛋白、种质培育等未来食品前沿赛道，持续丰富健康食品消费供给，培育科技赋能、特色鲜明的现代农业消费新场景，构建产业支撑消费、消费牵引产业的良性循环发展格局。</w:t>
      </w:r>
      <w:bookmarkEnd w:id="33"/>
    </w:p>
    <w:p w14:paraId="5AA8A238">
      <w:pPr>
        <w:tabs>
          <w:tab w:val="left" w:pos="720"/>
        </w:tabs>
        <w:spacing w:line="560" w:lineRule="exact"/>
        <w:ind w:firstLine="641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bookmarkStart w:id="34" w:name="_Toc239672657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19.促进消费与数字产业融通。</w:t>
      </w:r>
      <w:r>
        <w:rPr>
          <w:rFonts w:hint="eastAsia" w:ascii="仿宋_GB2312" w:hAnsi="仿宋_GB2312" w:eastAsia="仿宋_GB2312" w:cs="仿宋_GB2312"/>
          <w:sz w:val="32"/>
          <w:szCs w:val="32"/>
        </w:rPr>
        <w:t>以直播电商为核心引擎，推动数字信息新兴消费产业集群化发展。高标准建设直播电商园区（基地），完善政策扶持体系，吸引头部MCN机构、知名直播电商企业入驻，形成产业集聚效应。常态化举办东方甄选供应商交流峰会、“与辉同行”助农直播、食品直播电商选品大会等特色活动。深入挖掘本土主播资源，培育电商直播“新农人”；推动企业利用人工智能大模型、虚拟现实（VR）全景和数字人等技术，拓展电商直播场景。吸引一批“溯源直播”活动，推动直播产业联动田园、景区、农业园、产业园，打造“直播+体验”线上消费新场景。</w:t>
      </w:r>
      <w:bookmarkEnd w:id="34"/>
    </w:p>
    <w:p w14:paraId="126418A3">
      <w:pPr>
        <w:tabs>
          <w:tab w:val="left" w:pos="720"/>
        </w:tabs>
        <w:spacing w:line="560" w:lineRule="exact"/>
        <w:ind w:firstLine="641"/>
        <w:outlineLvl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bookmarkStart w:id="35" w:name="_Toc239672658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20.</w:t>
      </w:r>
      <w:bookmarkEnd w:id="35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培育发展枢纽经济增长极。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以物流网建设为契机，推动陆港型国家物流枢纽从单点布局向组网联动发展，重点招引食材供应链、医药健康、城市快消品等供应链企业集聚，培育枢纽偏好型产业。探索仓储用地兼容产业发展，推进“物流+”融合发展，以枢纽聚产业、以产业强枢纽，赋能首都“两区”建设和国际消费中心城市建设。</w:t>
      </w:r>
    </w:p>
    <w:p w14:paraId="37FDB81F">
      <w:pPr>
        <w:spacing w:line="560" w:lineRule="exact"/>
        <w:ind w:firstLine="640" w:firstLineChars="200"/>
        <w:outlineLvl w:val="1"/>
        <w:rPr>
          <w:rFonts w:ascii="Times New Roman" w:hAnsi="Times New Roman" w:eastAsia="楷体_GB2312" w:cs="Times New Roman"/>
          <w:sz w:val="32"/>
          <w:szCs w:val="36"/>
        </w:rPr>
      </w:pPr>
      <w:bookmarkStart w:id="36" w:name="_Toc239672659"/>
      <w:r>
        <w:rPr>
          <w:rFonts w:ascii="Times New Roman" w:hAnsi="Times New Roman" w:eastAsia="楷体_GB2312" w:cs="Times New Roman"/>
          <w:sz w:val="32"/>
          <w:szCs w:val="36"/>
        </w:rPr>
        <w:t>（</w:t>
      </w:r>
      <w:r>
        <w:rPr>
          <w:rFonts w:hint="eastAsia" w:ascii="Times New Roman" w:hAnsi="Times New Roman" w:eastAsia="楷体_GB2312" w:cs="Times New Roman"/>
          <w:sz w:val="32"/>
          <w:szCs w:val="36"/>
        </w:rPr>
        <w:t>七</w:t>
      </w:r>
      <w:r>
        <w:rPr>
          <w:rFonts w:ascii="Times New Roman" w:hAnsi="Times New Roman" w:eastAsia="楷体_GB2312" w:cs="Times New Roman"/>
          <w:sz w:val="32"/>
          <w:szCs w:val="36"/>
        </w:rPr>
        <w:t>）</w:t>
      </w:r>
      <w:r>
        <w:rPr>
          <w:rFonts w:hint="eastAsia" w:ascii="Times New Roman" w:hAnsi="Times New Roman" w:eastAsia="楷体_GB2312" w:cs="Times New Roman"/>
          <w:sz w:val="32"/>
          <w:szCs w:val="36"/>
        </w:rPr>
        <w:t>深化融合创新，释放消费五新活力</w:t>
      </w:r>
      <w:bookmarkEnd w:id="36"/>
    </w:p>
    <w:p w14:paraId="1B8D4DBD">
      <w:pPr>
        <w:tabs>
          <w:tab w:val="left" w:pos="720"/>
        </w:tabs>
        <w:spacing w:line="560" w:lineRule="exact"/>
        <w:ind w:firstLine="641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bookmarkStart w:id="37" w:name="_Toc239672660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21.绘就旅游消费新画卷。</w:t>
      </w:r>
      <w:r>
        <w:rPr>
          <w:rFonts w:hint="eastAsia" w:ascii="仿宋_GB2312" w:hAnsi="仿宋_GB2312" w:eastAsia="仿宋_GB2312" w:cs="仿宋_GB2312"/>
          <w:sz w:val="32"/>
          <w:szCs w:val="32"/>
        </w:rPr>
        <w:t>高标准建设“京畿长城”国家风景道平谷段，完善沿线服务设施，打造景旅深度融合的文旅精品线路。创建金海湖国家级旅游度假区，将金海湖镇打造成为集会议会展、购物消费、休闲旅游特色为一体的“世界休闲小镇”。对标5A标准推动丫髻山设施提质升级，深挖道教养生文化内涵，赋能文旅康养业态发展。实施京津冀森林公园、平谷区京津冀绿道一期工程（</w:t>
      </w:r>
      <w:r>
        <w:rPr>
          <w:rFonts w:ascii="仿宋_GB2312" w:hAnsi="仿宋_GB2312" w:eastAsia="仿宋_GB2312" w:cs="仿宋_GB2312"/>
          <w:sz w:val="32"/>
          <w:szCs w:val="32"/>
        </w:rPr>
        <w:t>CityRun</w:t>
      </w:r>
      <w:r>
        <w:rPr>
          <w:rFonts w:hint="eastAsia" w:ascii="仿宋_GB2312" w:hAnsi="仿宋_GB2312" w:eastAsia="仿宋_GB2312" w:cs="仿宋_GB2312"/>
          <w:sz w:val="32"/>
          <w:szCs w:val="32"/>
        </w:rPr>
        <w:t>北京桃花马绿道）等重点生态工程。</w:t>
      </w:r>
      <w:r>
        <w:rPr>
          <w:rFonts w:ascii="仿宋_GB2312" w:hAnsi="仿宋_GB2312" w:eastAsia="仿宋_GB2312" w:cs="仿宋_GB2312"/>
          <w:sz w:val="32"/>
          <w:szCs w:val="32"/>
        </w:rPr>
        <w:t>完善高品质住宿配套，推动金海湖、马坊等核心区域布局高端度假型酒店，提升区域接待能力与服务水平。</w:t>
      </w:r>
      <w:bookmarkStart w:id="38" w:name="_Toc213172604"/>
      <w:r>
        <w:rPr>
          <w:rFonts w:hint="eastAsia" w:ascii="仿宋_GB2312" w:hAnsi="仿宋_GB2312" w:eastAsia="仿宋_GB2312" w:cs="仿宋_GB2312"/>
          <w:sz w:val="32"/>
          <w:szCs w:val="32"/>
        </w:rPr>
        <w:t>支持各景区延伸旅游消费链条，打造户外自驾野营集聚区和房车营地。</w:t>
      </w:r>
      <w:bookmarkEnd w:id="37"/>
    </w:p>
    <w:bookmarkEnd w:id="38"/>
    <w:p w14:paraId="16EC0249">
      <w:pPr>
        <w:tabs>
          <w:tab w:val="left" w:pos="720"/>
        </w:tabs>
        <w:spacing w:line="560" w:lineRule="exact"/>
        <w:ind w:firstLine="641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bookmarkStart w:id="39" w:name="_Toc239672661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22.培育文化消费新内涵。</w:t>
      </w:r>
      <w:r>
        <w:rPr>
          <w:rFonts w:hint="eastAsia" w:ascii="仿宋_GB2312" w:hAnsi="仿宋_GB2312" w:eastAsia="仿宋_GB2312" w:cs="仿宋_GB2312"/>
          <w:sz w:val="32"/>
          <w:szCs w:val="32"/>
        </w:rPr>
        <w:t>挖掘“75321”平谷历史文化内涵，培育平谷特色旅游文化品牌矩阵。提升平谷博物馆、上宅文化陈列馆的数字化水平，探索发展AI文旅助手。推动熊儿寨乡、山东庄镇等地打造平谷红色革命文化品牌。深度挖掘平谷“中国书法之乡”、“中国楹联之乡”国家级文化品牌潜力，打造南独乐河艺术乡村，形成“艺术游民”部落。以“桃花节”为载体，串联赏花游览、鲜桃采摘、农事体验等特色文旅资源，持续丰富文旅消费场景，提升“平谷好物”文创品牌、“桃醉平谷”形象品牌、“中国乐谷”音乐品牌影响力。</w:t>
      </w:r>
      <w:bookmarkEnd w:id="39"/>
    </w:p>
    <w:p w14:paraId="77206DF4">
      <w:pPr>
        <w:tabs>
          <w:tab w:val="left" w:pos="720"/>
        </w:tabs>
        <w:spacing w:line="560" w:lineRule="exact"/>
        <w:ind w:firstLine="641"/>
        <w:outlineLvl w:val="2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40" w:name="_Toc239672662"/>
      <w:bookmarkStart w:id="41" w:name="OLE_LINK4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23.打造体育消费新范式。</w:t>
      </w:r>
      <w:r>
        <w:rPr>
          <w:rFonts w:hint="eastAsia" w:ascii="仿宋_GB2312" w:hAnsi="仿宋_GB2312" w:eastAsia="仿宋_GB2312" w:cs="仿宋_GB2312"/>
          <w:sz w:val="32"/>
          <w:szCs w:val="32"/>
        </w:rPr>
        <w:t>强化赛事经济，做强京津冀铁人三项赛、京津冀国际公路自行车挑战赛、北京平谷环长城100越野挑战赛等体育赛事品牌，打造国家户外赛事高地。开发赛事主题文创产品与旅游线路，推动赛事IP持续转化。强化冰雪运动消费，立足渔阳滑雪场等体育资源，联合优质体育品牌开展品牌展示、产品试用、运动挑战赛、明星互动等活动，吸引广大游客和滑雪爱好者参与。激活骑行消费经济，串联景区、乡村休闲综合体等消费节点，沿金海湖沿线配建驿站、标识等配套服务设施，提供休憩、应急等服务。依托水域资源，提升水上运动配套设施；鼓励翟墨帆船园等运营机构，开设帆船、划艇、桨板等无动力水上项目专业培训课程，培育体育消费新增长点。</w:t>
      </w:r>
      <w:bookmarkEnd w:id="40"/>
    </w:p>
    <w:bookmarkEnd w:id="41"/>
    <w:p w14:paraId="322715C3">
      <w:pPr>
        <w:tabs>
          <w:tab w:val="left" w:pos="720"/>
        </w:tabs>
        <w:spacing w:line="560" w:lineRule="exact"/>
        <w:ind w:firstLine="641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bookmarkStart w:id="42" w:name="_Toc239672663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24.构筑乡村消费新高地</w:t>
      </w:r>
      <w:r>
        <w:rPr>
          <w:rFonts w:hint="eastAsia" w:ascii="仿宋_GB2312" w:hAnsi="仿宋_GB2312" w:eastAsia="仿宋_GB2312" w:cs="仿宋_GB2312"/>
          <w:sz w:val="32"/>
          <w:szCs w:val="32"/>
        </w:rPr>
        <w:t>。巩固“国家乡村振兴示范区”建设成果，推动平谷乡村旅游精品线路</w:t>
      </w:r>
      <w:r>
        <w:rPr>
          <w:rStyle w:val="32"/>
          <w:rFonts w:hint="eastAsia" w:ascii="仿宋_GB2312" w:hAnsi="仿宋_GB2312" w:eastAsia="仿宋_GB2312" w:cs="仿宋_GB2312"/>
          <w:sz w:val="32"/>
          <w:szCs w:val="32"/>
        </w:rPr>
        <w:footnoteReference w:id="0"/>
      </w:r>
      <w:r>
        <w:rPr>
          <w:rFonts w:hint="eastAsia" w:ascii="仿宋_GB2312" w:hAnsi="仿宋_GB2312" w:eastAsia="仿宋_GB2312" w:cs="仿宋_GB2312"/>
          <w:sz w:val="32"/>
          <w:szCs w:val="32"/>
        </w:rPr>
        <w:t>进一步扩围，提升沿途商业供给品质。推进大兴庄镇以“西、良、周、吉”四个村为核心打造</w:t>
      </w:r>
      <w:r>
        <w:rPr>
          <w:rFonts w:ascii="仿宋_GB2312" w:hAnsi="仿宋_GB2312" w:eastAsia="仿宋_GB2312" w:cs="仿宋_GB2312"/>
          <w:sz w:val="32"/>
          <w:szCs w:val="32"/>
        </w:rPr>
        <w:t>A</w:t>
      </w:r>
      <w:r>
        <w:rPr>
          <w:rFonts w:hint="eastAsia" w:ascii="仿宋_GB2312" w:hAnsi="仿宋_GB2312" w:eastAsia="仿宋_GB2312" w:cs="仿宋_GB2312"/>
          <w:sz w:val="32"/>
          <w:szCs w:val="32"/>
        </w:rPr>
        <w:t>级旅游景区，形成农旅融合、文化传承和生态保护相结合的样板。</w:t>
      </w:r>
      <w:r>
        <w:rPr>
          <w:rFonts w:ascii="仿宋_GB2312" w:hAnsi="仿宋_GB2312" w:eastAsia="仿宋_GB2312" w:cs="仿宋_GB2312"/>
          <w:sz w:val="32"/>
          <w:szCs w:val="32"/>
        </w:rPr>
        <w:t>加快推进桃源里欢乐田园、四座楼核桃集散中心等重点项目提质运营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ascii="仿宋_GB2312" w:hAnsi="仿宋_GB2312" w:eastAsia="仿宋_GB2312" w:cs="仿宋_GB2312"/>
          <w:sz w:val="32"/>
          <w:szCs w:val="32"/>
        </w:rPr>
        <w:t>依托乡村特色资源优势，布局一批主题化、差异化研学基地，</w:t>
      </w:r>
      <w:r>
        <w:rPr>
          <w:rFonts w:hint="eastAsia" w:ascii="仿宋_GB2312" w:hAnsi="仿宋_GB2312" w:eastAsia="仿宋_GB2312" w:cs="仿宋_GB2312"/>
          <w:sz w:val="32"/>
          <w:szCs w:val="32"/>
        </w:rPr>
        <w:t>构建融合观光、采摘、科普、亲子活动的农旅消费新模式。</w:t>
      </w:r>
      <w:bookmarkEnd w:id="42"/>
    </w:p>
    <w:p w14:paraId="207AB7E1">
      <w:pPr>
        <w:tabs>
          <w:tab w:val="left" w:pos="720"/>
        </w:tabs>
        <w:spacing w:line="560" w:lineRule="exact"/>
        <w:ind w:firstLine="641"/>
        <w:outlineLvl w:val="2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43" w:name="_Toc239672664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25.塑造会展消费新窗口。</w:t>
      </w:r>
      <w:r>
        <w:rPr>
          <w:rFonts w:hint="eastAsia" w:ascii="仿宋_GB2312" w:hAnsi="仿宋_GB2312" w:eastAsia="仿宋_GB2312" w:cs="仿宋_GB2312"/>
          <w:sz w:val="32"/>
          <w:szCs w:val="32"/>
        </w:rPr>
        <w:t>立足世界休闲大会成果资源可持续利用，将金海湖国际会展中心打造成为京津冀会展经济新高地，盘活马坊物流仓空间拓展会展配套功能，扩充展会承接条件，赋能区域会展产业发展。打造中国农民丰收节、“南山艺术季”等文化艺术休闲品牌。深挖“票根经济”潜力，强化活动引流与消费场景深度联动，推动赛事、酒店、景区及商户联动开展联合营销，推出“凭赛入园”“凭票折扣”“活动专属消费券”等系列优惠举措。</w:t>
      </w:r>
      <w:bookmarkEnd w:id="43"/>
    </w:p>
    <w:p w14:paraId="1EECE4A5">
      <w:pPr>
        <w:spacing w:line="560" w:lineRule="exact"/>
        <w:ind w:firstLine="640" w:firstLineChars="200"/>
        <w:outlineLvl w:val="1"/>
        <w:rPr>
          <w:rFonts w:ascii="Times New Roman" w:hAnsi="Times New Roman" w:eastAsia="楷体_GB2312" w:cs="Times New Roman"/>
          <w:sz w:val="32"/>
          <w:szCs w:val="36"/>
        </w:rPr>
      </w:pPr>
      <w:bookmarkStart w:id="44" w:name="_Toc239672665"/>
      <w:r>
        <w:rPr>
          <w:rFonts w:ascii="Times New Roman" w:hAnsi="Times New Roman" w:eastAsia="楷体_GB2312" w:cs="Times New Roman"/>
          <w:sz w:val="32"/>
          <w:szCs w:val="36"/>
        </w:rPr>
        <w:t>（</w:t>
      </w:r>
      <w:r>
        <w:rPr>
          <w:rFonts w:hint="eastAsia" w:ascii="Times New Roman" w:hAnsi="Times New Roman" w:eastAsia="楷体_GB2312" w:cs="Times New Roman"/>
          <w:sz w:val="32"/>
          <w:szCs w:val="36"/>
        </w:rPr>
        <w:t>八</w:t>
      </w:r>
      <w:r>
        <w:rPr>
          <w:rFonts w:ascii="Times New Roman" w:hAnsi="Times New Roman" w:eastAsia="楷体_GB2312" w:cs="Times New Roman"/>
          <w:sz w:val="32"/>
          <w:szCs w:val="36"/>
        </w:rPr>
        <w:t>）</w:t>
      </w:r>
      <w:r>
        <w:rPr>
          <w:rFonts w:hint="eastAsia" w:ascii="Times New Roman" w:hAnsi="Times New Roman" w:eastAsia="楷体_GB2312" w:cs="Times New Roman"/>
          <w:sz w:val="32"/>
          <w:szCs w:val="36"/>
        </w:rPr>
        <w:t>优化发展环境，筑牢消费保障基础</w:t>
      </w:r>
      <w:bookmarkEnd w:id="44"/>
    </w:p>
    <w:p w14:paraId="010C405F">
      <w:pPr>
        <w:tabs>
          <w:tab w:val="left" w:pos="720"/>
        </w:tabs>
        <w:spacing w:line="560" w:lineRule="exact"/>
        <w:ind w:firstLine="641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bookmarkStart w:id="45" w:name="_Toc239672666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26.完善交通基础配套设施。</w:t>
      </w:r>
      <w:r>
        <w:rPr>
          <w:rFonts w:hint="eastAsia" w:ascii="仿宋_GB2312" w:hAnsi="仿宋_GB2312" w:eastAsia="仿宋_GB2312" w:cs="仿宋_GB2312"/>
          <w:sz w:val="32"/>
          <w:szCs w:val="32"/>
        </w:rPr>
        <w:t>持续优化完善承平高速金海湖服务区加油、零售、休憩、餐饮等配套服务设施，充分激活过境车流客流，推动流量有效转化为消费增量。合理布局</w:t>
      </w:r>
      <w:r>
        <w:rPr>
          <w:rFonts w:ascii="仿宋_GB2312" w:hAnsi="仿宋_GB2312" w:eastAsia="仿宋_GB2312" w:cs="仿宋_GB2312"/>
          <w:sz w:val="32"/>
          <w:szCs w:val="32"/>
        </w:rPr>
        <w:t>地铁22号线</w:t>
      </w:r>
      <w:r>
        <w:rPr>
          <w:rFonts w:hint="eastAsia" w:ascii="仿宋_GB2312" w:hAnsi="仿宋_GB2312" w:eastAsia="仿宋_GB2312" w:cs="仿宋_GB2312"/>
          <w:sz w:val="32"/>
          <w:szCs w:val="32"/>
        </w:rPr>
        <w:t>平谷站轨道交通P+R停车换乘设施，统筹优化轨道、公交及慢行系统衔接。提升商圈整体通达效率，构建连续、安全的自行车道网络，串联周边社区、写字楼与商业载体，打通慢行交通微循环，全面提升区域慢行通达性与消费便利性。</w:t>
      </w:r>
      <w:bookmarkEnd w:id="45"/>
    </w:p>
    <w:p w14:paraId="4E0E395A">
      <w:pPr>
        <w:tabs>
          <w:tab w:val="left" w:pos="720"/>
        </w:tabs>
        <w:spacing w:line="560" w:lineRule="exact"/>
        <w:ind w:firstLine="643" w:firstLineChars="200"/>
        <w:outlineLvl w:val="2"/>
        <w:rPr>
          <w:rFonts w:ascii="仿宋_GB2312" w:hAnsi="Calibri" w:eastAsia="仿宋_GB2312" w:cs="Times New Roman"/>
          <w:sz w:val="32"/>
          <w:szCs w:val="32"/>
        </w:rPr>
      </w:pPr>
      <w:bookmarkStart w:id="46" w:name="_Toc239672667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27.持续优化消费营商环境。</w:t>
      </w:r>
      <w:r>
        <w:rPr>
          <w:rFonts w:hint="eastAsia" w:ascii="仿宋_GB2312" w:hAnsi="仿宋_GB2312" w:eastAsia="仿宋_GB2312" w:cs="仿宋_GB2312"/>
          <w:sz w:val="32"/>
          <w:szCs w:val="32"/>
        </w:rPr>
        <w:t>以“包容审慎、高效服务”为原则，</w:t>
      </w:r>
      <w:r>
        <w:rPr>
          <w:rFonts w:hint="eastAsia" w:ascii="仿宋_GB2312" w:hAnsi="Calibri" w:eastAsia="仿宋_GB2312" w:cs="Times New Roman"/>
          <w:sz w:val="32"/>
          <w:szCs w:val="32"/>
        </w:rPr>
        <w:t>优化政策查询、精准推送等服务，统一政策兑现事项申报入口，</w:t>
      </w:r>
      <w:r>
        <w:rPr>
          <w:rFonts w:hint="eastAsia" w:ascii="仿宋_GB2312" w:eastAsia="仿宋_GB2312" w:cs="Times New Roman"/>
          <w:sz w:val="32"/>
          <w:szCs w:val="32"/>
        </w:rPr>
        <w:t>推进更多政策</w:t>
      </w:r>
      <w:r>
        <w:rPr>
          <w:rFonts w:hint="eastAsia" w:ascii="仿宋_GB2312" w:hAnsi="Calibri" w:eastAsia="仿宋_GB2312" w:cs="Times New Roman"/>
          <w:sz w:val="32"/>
          <w:szCs w:val="32"/>
        </w:rPr>
        <w:t>“直达快享”，</w:t>
      </w:r>
      <w:r>
        <w:rPr>
          <w:rFonts w:hint="eastAsia" w:ascii="仿宋_GB2312" w:hAnsi="仿宋_GB2312" w:eastAsia="仿宋_GB2312" w:cs="仿宋_GB2312"/>
          <w:sz w:val="32"/>
          <w:szCs w:val="32"/>
        </w:rPr>
        <w:t>构建创新友好型政策体系。落实“创建无需许可营销活动‘一件事’集成场景”政务服务事项，简化商业促销活动的备案流程。</w:t>
      </w:r>
      <w:r>
        <w:rPr>
          <w:rFonts w:hint="eastAsia" w:ascii="仿宋_GB2312" w:hAnsi="Calibri" w:eastAsia="仿宋_GB2312" w:cs="Times New Roman"/>
          <w:sz w:val="32"/>
          <w:szCs w:val="32"/>
        </w:rPr>
        <w:t>深化“一刻钟便民生活圈”建设，优化商业布局，健全便民服务体系，持续提升社区生活便利度与群众幸福感。</w:t>
      </w:r>
      <w:bookmarkEnd w:id="46"/>
    </w:p>
    <w:p w14:paraId="12BB1E6C">
      <w:pPr>
        <w:tabs>
          <w:tab w:val="left" w:pos="720"/>
        </w:tabs>
        <w:spacing w:line="560" w:lineRule="exact"/>
        <w:ind w:firstLine="641"/>
        <w:outlineLvl w:val="2"/>
        <w:rPr>
          <w:rFonts w:hint="eastAsia" w:ascii="仿宋_GB2312" w:hAnsi="仿宋_GB2312" w:eastAsia="仿宋_GB2312" w:cs="仿宋_GB2312"/>
          <w:sz w:val="32"/>
          <w:szCs w:val="32"/>
        </w:rPr>
      </w:pPr>
      <w:bookmarkStart w:id="47" w:name="_Toc239672668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28.</w:t>
      </w:r>
      <w:bookmarkStart w:id="48" w:name="_Toc80641104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营造舒心安心消费环境</w:t>
      </w:r>
      <w:bookmarkEnd w:id="48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强化商业消费国际化设施配套，推动各重点商圈统筹规划多语种标识体系，</w:t>
      </w:r>
      <w:r>
        <w:rPr>
          <w:rFonts w:hint="eastAsia" w:ascii="仿宋_GB2312" w:hAnsi="Times New Roman" w:eastAsia="仿宋_GB2312"/>
          <w:sz w:val="32"/>
          <w:szCs w:val="32"/>
        </w:rPr>
        <w:t>提升入境支付便利化水平，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建设15家离境退税店。加强消费领域信用体系建设。加大对销售假冒伪劣商品、侵犯知识产权、虚假宣传、价格欺诈等行为的打击力度，着力营造安全、放心、诚信的消费环境，切实保护消费者的合法权益。</w:t>
      </w:r>
      <w:r>
        <w:rPr>
          <w:rFonts w:ascii="仿宋_GB2312" w:hAnsi="仿宋_GB2312" w:eastAsia="仿宋_GB2312" w:cs="仿宋_GB2312"/>
          <w:sz w:val="32"/>
          <w:szCs w:val="32"/>
        </w:rPr>
        <w:t>健全</w:t>
      </w:r>
      <w:r>
        <w:rPr>
          <w:rFonts w:hint="eastAsia" w:ascii="仿宋_GB2312" w:hAnsi="仿宋_GB2312" w:eastAsia="仿宋_GB2312" w:cs="仿宋_GB2312"/>
          <w:sz w:val="32"/>
          <w:szCs w:val="32"/>
        </w:rPr>
        <w:t>预付费资金监管机制，明确资金存管比例和划转条件，为消费者筑牢资金安全防线。</w:t>
      </w:r>
      <w:bookmarkEnd w:id="47"/>
    </w:p>
    <w:p w14:paraId="2F8AC351">
      <w:pPr>
        <w:spacing w:line="560" w:lineRule="exact"/>
        <w:ind w:firstLine="640" w:firstLineChars="200"/>
        <w:outlineLvl w:val="0"/>
        <w:rPr>
          <w:rFonts w:ascii="Times New Roman" w:hAnsi="Times New Roman" w:eastAsia="黑体" w:cs="Times New Roman"/>
          <w:sz w:val="32"/>
          <w:szCs w:val="32"/>
        </w:rPr>
      </w:pPr>
      <w:bookmarkStart w:id="49" w:name="_Toc239672669"/>
      <w:r>
        <w:rPr>
          <w:rFonts w:hint="eastAsia" w:ascii="Times New Roman" w:hAnsi="Times New Roman" w:eastAsia="黑体" w:cs="Times New Roman"/>
          <w:sz w:val="32"/>
          <w:szCs w:val="32"/>
        </w:rPr>
        <w:t>三</w:t>
      </w:r>
      <w:r>
        <w:rPr>
          <w:rFonts w:ascii="Times New Roman" w:hAnsi="Times New Roman" w:eastAsia="黑体" w:cs="Times New Roman"/>
          <w:sz w:val="32"/>
          <w:szCs w:val="32"/>
        </w:rPr>
        <w:t>、保障措施</w:t>
      </w:r>
      <w:bookmarkEnd w:id="49"/>
    </w:p>
    <w:p w14:paraId="7973C919">
      <w:pPr>
        <w:spacing w:line="560" w:lineRule="exact"/>
        <w:ind w:firstLine="640" w:firstLineChars="200"/>
        <w:outlineLvl w:val="1"/>
        <w:rPr>
          <w:rFonts w:ascii="Times New Roman" w:hAnsi="Times New Roman" w:eastAsia="楷体_GB2312" w:cs="Times New Roman"/>
          <w:sz w:val="32"/>
          <w:szCs w:val="32"/>
        </w:rPr>
      </w:pPr>
      <w:bookmarkStart w:id="50" w:name="_Toc239672670"/>
      <w:r>
        <w:rPr>
          <w:rFonts w:ascii="Times New Roman" w:hAnsi="Times New Roman" w:eastAsia="楷体_GB2312" w:cs="Times New Roman"/>
          <w:sz w:val="32"/>
          <w:szCs w:val="32"/>
        </w:rPr>
        <w:t>（一）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构建高效协同组织体系</w:t>
      </w:r>
      <w:bookmarkEnd w:id="50"/>
    </w:p>
    <w:p w14:paraId="69F6B9A4">
      <w:pPr>
        <w:tabs>
          <w:tab w:val="left" w:pos="720"/>
        </w:tabs>
        <w:spacing w:line="560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依托平谷区培育建设国际消费中心城市工作机制，统筹协调商务、文旅、农业、体育、交通等部门，联动街乡、产业园区、重点企业，形成纵向贯通、横向协同的工作格局。</w:t>
      </w:r>
      <w:r>
        <w:rPr>
          <w:rFonts w:hint="eastAsia" w:ascii="仿宋_GB2312" w:hAnsi="Times New Roman" w:eastAsia="仿宋_GB2312"/>
          <w:sz w:val="32"/>
          <w:szCs w:val="32"/>
        </w:rPr>
        <w:t>实施清单化管理，动态完善任务清单、重点项目清单，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通过定期联席会议、专项通报等方式，</w:t>
      </w:r>
      <w:r>
        <w:rPr>
          <w:rFonts w:hint="eastAsia" w:ascii="仿宋_GB2312" w:hAnsi="Times New Roman" w:eastAsia="仿宋_GB2312"/>
          <w:sz w:val="32"/>
          <w:szCs w:val="32"/>
        </w:rPr>
        <w:t>强化项目落地服务保障。</w:t>
      </w:r>
    </w:p>
    <w:p w14:paraId="393CC8A2">
      <w:pPr>
        <w:spacing w:line="560" w:lineRule="exact"/>
        <w:ind w:firstLine="640" w:firstLineChars="200"/>
        <w:outlineLvl w:val="1"/>
        <w:rPr>
          <w:rFonts w:ascii="Times New Roman" w:hAnsi="Times New Roman" w:eastAsia="楷体_GB2312" w:cs="Times New Roman"/>
          <w:sz w:val="32"/>
          <w:szCs w:val="32"/>
        </w:rPr>
      </w:pPr>
      <w:bookmarkStart w:id="51" w:name="_Toc239672671"/>
      <w:r>
        <w:rPr>
          <w:rFonts w:ascii="Times New Roman" w:hAnsi="Times New Roman" w:eastAsia="楷体_GB2312" w:cs="Times New Roman"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二</w:t>
      </w:r>
      <w:r>
        <w:rPr>
          <w:rFonts w:ascii="Times New Roman" w:hAnsi="Times New Roman" w:eastAsia="楷体_GB2312" w:cs="Times New Roman"/>
          <w:sz w:val="32"/>
          <w:szCs w:val="32"/>
        </w:rPr>
        <w:t>）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完善多元政策支持体系</w:t>
      </w:r>
      <w:bookmarkEnd w:id="51"/>
    </w:p>
    <w:p w14:paraId="6BE9B296">
      <w:pPr>
        <w:tabs>
          <w:tab w:val="left" w:pos="720"/>
        </w:tabs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系</w:t>
      </w:r>
      <w:r>
        <w:rPr>
          <w:rFonts w:ascii="仿宋_GB2312" w:hAnsi="Times New Roman" w:eastAsia="仿宋_GB2312"/>
          <w:sz w:val="32"/>
          <w:szCs w:val="32"/>
        </w:rPr>
        <w:t>统构建支撑国际消费中心城市发展的政策保障体系</w:t>
      </w:r>
      <w:r>
        <w:rPr>
          <w:rFonts w:hint="eastAsia" w:ascii="仿宋_GB2312" w:hAnsi="仿宋_GB2312" w:eastAsia="仿宋_GB2312" w:cs="仿宋_GB2312"/>
          <w:sz w:val="32"/>
          <w:szCs w:val="32"/>
        </w:rPr>
        <w:t>，围绕首店经济、商圈升级、惠民便民等方向，出台专项扶持政策</w:t>
      </w:r>
      <w:r>
        <w:rPr>
          <w:rFonts w:ascii="仿宋_GB2312" w:hAnsi="仿宋_GB2312" w:eastAsia="仿宋_GB2312" w:cs="仿宋_GB2312"/>
          <w:sz w:val="32"/>
          <w:szCs w:val="32"/>
        </w:rPr>
        <w:t>，完</w:t>
      </w:r>
      <w:r>
        <w:rPr>
          <w:rFonts w:hint="eastAsia" w:ascii="仿宋_GB2312" w:hAnsi="Times New Roman" w:eastAsia="仿宋_GB2312"/>
          <w:sz w:val="32"/>
          <w:szCs w:val="32"/>
        </w:rPr>
        <w:t>善资金奖补、场地支持、品牌引进、业态创新等激励举措；</w:t>
      </w:r>
      <w:r>
        <w:rPr>
          <w:rFonts w:ascii="仿宋_GB2312" w:hAnsi="Times New Roman" w:eastAsia="仿宋_GB2312"/>
          <w:sz w:val="32"/>
          <w:szCs w:val="32"/>
        </w:rPr>
        <w:t>同时建立重点商贸企业、品牌主体、重大项目“一对一”精准服务机制，配备专属服务</w:t>
      </w:r>
      <w:r>
        <w:rPr>
          <w:rFonts w:hint="eastAsia" w:ascii="仿宋_GB2312" w:hAnsi="Times New Roman" w:eastAsia="仿宋_GB2312"/>
          <w:sz w:val="32"/>
          <w:szCs w:val="32"/>
        </w:rPr>
        <w:t>管家</w:t>
      </w:r>
      <w:r>
        <w:rPr>
          <w:rFonts w:ascii="仿宋_GB2312" w:hAnsi="Times New Roman" w:eastAsia="仿宋_GB2312"/>
          <w:sz w:val="32"/>
          <w:szCs w:val="32"/>
        </w:rPr>
        <w:t>，实行全流程</w:t>
      </w:r>
      <w:r>
        <w:rPr>
          <w:rFonts w:hint="eastAsia" w:ascii="仿宋_GB2312" w:hAnsi="Times New Roman" w:eastAsia="仿宋_GB2312"/>
          <w:sz w:val="32"/>
          <w:szCs w:val="32"/>
        </w:rPr>
        <w:t>协办</w:t>
      </w:r>
      <w:r>
        <w:rPr>
          <w:rFonts w:ascii="仿宋_GB2312" w:hAnsi="Times New Roman" w:eastAsia="仿宋_GB2312"/>
          <w:sz w:val="32"/>
          <w:szCs w:val="32"/>
        </w:rPr>
        <w:t>、常态化走访、清单化督办，以高效服务赋能消费提质扩容。</w:t>
      </w:r>
    </w:p>
    <w:p w14:paraId="7F75061F">
      <w:pPr>
        <w:spacing w:line="560" w:lineRule="exact"/>
        <w:ind w:firstLine="640" w:firstLineChars="200"/>
        <w:outlineLvl w:val="1"/>
        <w:rPr>
          <w:rFonts w:ascii="Times New Roman" w:hAnsi="Times New Roman" w:eastAsia="楷体_GB2312" w:cs="Times New Roman"/>
          <w:sz w:val="32"/>
          <w:szCs w:val="32"/>
        </w:rPr>
      </w:pPr>
      <w:bookmarkStart w:id="52" w:name="_Toc239672672"/>
      <w:r>
        <w:rPr>
          <w:rFonts w:hint="eastAsia" w:ascii="Times New Roman" w:hAnsi="Times New Roman" w:eastAsia="楷体_GB2312" w:cs="Times New Roman"/>
          <w:sz w:val="32"/>
          <w:szCs w:val="32"/>
        </w:rPr>
        <w:t>（三）强化人才创新多元支撑</w:t>
      </w:r>
      <w:bookmarkEnd w:id="52"/>
    </w:p>
    <w:p w14:paraId="4778C72D">
      <w:pPr>
        <w:pStyle w:val="16"/>
        <w:spacing w:line="560" w:lineRule="exact"/>
        <w:ind w:firstLine="640" w:firstLineChars="200"/>
        <w:rPr>
          <w:rFonts w:ascii="仿宋_GB2312" w:hAnsi="Calibri" w:eastAsia="仿宋_GB2312" w:cs="Times New Roman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完善人才培养、评价、激励机制，支持校企合作共建实训基地，定向培育本土专业化、复合型人才。</w:t>
      </w:r>
      <w:r>
        <w:rPr>
          <w:rFonts w:hint="eastAsia" w:ascii="仿宋_GB2312" w:hAnsi="Calibri" w:eastAsia="仿宋_GB2312" w:cs="Times New Roman"/>
          <w:sz w:val="32"/>
          <w:szCs w:val="32"/>
        </w:rPr>
        <w:t>引导孵化器企业为商业人才、初创企业提供低价办公空间；开发“青年驿站”，为求职、创业的优秀大学生提供短期住房保障。</w:t>
      </w:r>
      <w:r>
        <w:rPr>
          <w:rFonts w:ascii="仿宋_GB2312" w:hAnsi="仿宋_GB2312" w:eastAsia="仿宋_GB2312" w:cs="仿宋_GB2312"/>
          <w:sz w:val="32"/>
          <w:szCs w:val="32"/>
        </w:rPr>
        <w:t>强化科技创新赋能，鼓励新业态、新模式、新场景应用，推动数字技术与消费场景深度融合，以人才集聚与创新活力驱动消费业态提质升级。</w:t>
      </w:r>
    </w:p>
    <w:p w14:paraId="7F7DE32F">
      <w:pPr>
        <w:spacing w:line="560" w:lineRule="exact"/>
        <w:ind w:firstLine="640" w:firstLineChars="200"/>
        <w:outlineLvl w:val="1"/>
        <w:rPr>
          <w:rFonts w:ascii="Times New Roman" w:hAnsi="Times New Roman" w:eastAsia="楷体_GB2312" w:cs="Times New Roman"/>
          <w:sz w:val="32"/>
          <w:szCs w:val="32"/>
        </w:rPr>
      </w:pPr>
      <w:bookmarkStart w:id="53" w:name="_Toc239672673"/>
      <w:r>
        <w:rPr>
          <w:rFonts w:ascii="Times New Roman" w:hAnsi="Times New Roman" w:eastAsia="楷体_GB2312" w:cs="Times New Roman"/>
          <w:sz w:val="32"/>
          <w:szCs w:val="32"/>
        </w:rPr>
        <w:t>（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四</w:t>
      </w:r>
      <w:r>
        <w:rPr>
          <w:rFonts w:ascii="Times New Roman" w:hAnsi="Times New Roman" w:eastAsia="楷体_GB2312" w:cs="Times New Roman"/>
          <w:sz w:val="32"/>
          <w:szCs w:val="32"/>
        </w:rPr>
        <w:t>）</w:t>
      </w:r>
      <w:r>
        <w:rPr>
          <w:rFonts w:hint="eastAsia" w:ascii="Times New Roman" w:hAnsi="Times New Roman" w:eastAsia="楷体_GB2312" w:cs="Times New Roman"/>
          <w:sz w:val="32"/>
          <w:szCs w:val="32"/>
        </w:rPr>
        <w:t>塑造立体品牌营销矩阵</w:t>
      </w:r>
      <w:bookmarkEnd w:id="53"/>
    </w:p>
    <w:p w14:paraId="1B817A1D">
      <w:pPr>
        <w:tabs>
          <w:tab w:val="left" w:pos="720"/>
        </w:tabs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打造多元品牌推广体系，联合央媒、新媒体平台、行业协会及头部企业，构建“线上+线下”全媒体传播网络。策划“平谷微度假</w:t>
      </w:r>
      <w:r>
        <w:rPr>
          <w:rFonts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“研学平谷”等主题营销活动，推出系列短视频、直播带货、文旅攻略等内容产品，强化“世界休闲谷”品牌IP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全面提升平谷商业消费的国际知名度与市场竞争力。</w:t>
      </w:r>
    </w:p>
    <w:p w14:paraId="51365DB6">
      <w:pPr>
        <w:tabs>
          <w:tab w:val="left" w:pos="720"/>
        </w:tabs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12C263C">
      <w:pPr>
        <w:tabs>
          <w:tab w:val="left" w:pos="720"/>
        </w:tabs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5" w:type="first"/>
      <w:footerReference r:id="rId4" w:type="default"/>
      <w:pgSz w:w="11906" w:h="16838"/>
      <w:pgMar w:top="2098" w:right="1474" w:bottom="1984" w:left="1587" w:header="851" w:footer="992" w:gutter="0"/>
      <w:pgNumType w:fmt="decimal"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647EAF">
    <w:pPr>
      <w:pStyle w:val="17"/>
      <w:jc w:val="center"/>
      <w:rPr>
        <w:rFonts w:ascii="Times New Roman" w:hAnsi="Times New Roman" w:cs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C4220D">
                          <w:pPr>
                            <w:pStyle w:val="17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C4220D">
                    <w:pPr>
                      <w:pStyle w:val="17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 w14:paraId="325CCCD4">
    <w:pPr>
      <w:pStyle w:val="17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E17C4A">
    <w:pPr>
      <w:pStyle w:val="1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F9F633">
                          <w:pPr>
                            <w:pStyle w:val="17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  <w:p w14:paraId="6A80C9D6"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F9F633">
                    <w:pPr>
                      <w:pStyle w:val="17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—</w:t>
                    </w:r>
                  </w:p>
                  <w:p w14:paraId="6A80C9D6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59EB2BDB">
      <w:pPr>
        <w:pStyle w:val="21"/>
        <w:rPr>
          <w:rFonts w:hint="eastAsia"/>
        </w:rPr>
      </w:pPr>
      <w:r>
        <w:rPr>
          <w:rStyle w:val="32"/>
          <w:rFonts w:hint="eastAsia"/>
        </w:rPr>
        <w:footnoteRef/>
      </w:r>
      <w:r>
        <w:rPr>
          <w:rFonts w:hint="eastAsia" w:ascii="黑体" w:hAnsi="黑体" w:eastAsia="黑体"/>
        </w:rPr>
        <w:t>2024年经</w:t>
      </w:r>
      <w:r>
        <w:rPr>
          <w:rFonts w:ascii="黑体" w:hAnsi="黑体" w:eastAsia="黑体"/>
        </w:rPr>
        <w:t>文化和旅游部</w:t>
      </w:r>
      <w:r>
        <w:rPr>
          <w:rFonts w:hint="eastAsia" w:ascii="黑体" w:hAnsi="黑体" w:eastAsia="黑体"/>
        </w:rPr>
        <w:t>评选，</w:t>
      </w:r>
      <w:r>
        <w:rPr>
          <w:rFonts w:ascii="黑体" w:hAnsi="黑体" w:eastAsia="黑体"/>
        </w:rPr>
        <w:t>平谷区线路</w:t>
      </w:r>
      <w:r>
        <w:rPr>
          <w:rFonts w:hint="eastAsia" w:ascii="黑体" w:hAnsi="黑体" w:eastAsia="黑体"/>
        </w:rPr>
        <w:t>入选</w:t>
      </w:r>
      <w:r>
        <w:rPr>
          <w:rFonts w:ascii="黑体" w:hAnsi="黑体" w:eastAsia="黑体"/>
        </w:rPr>
        <w:t>85条“人间有味自在乡村”乡村旅游精品线路</w:t>
      </w:r>
      <w:r>
        <w:rPr>
          <w:rFonts w:hint="eastAsia" w:ascii="黑体" w:hAnsi="黑体" w:eastAsia="黑体"/>
        </w:rPr>
        <w:t>之一，</w:t>
      </w:r>
      <w:r>
        <w:rPr>
          <w:rFonts w:ascii="黑体" w:hAnsi="黑体" w:eastAsia="黑体"/>
        </w:rPr>
        <w:t>包括金海湖碧波岛、京东石林峡、丫髻山、京东大峡谷、梨树沟休闲谷等推荐打卡地。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EDA"/>
    <w:rsid w:val="000002DD"/>
    <w:rsid w:val="00004606"/>
    <w:rsid w:val="00010C34"/>
    <w:rsid w:val="0001359D"/>
    <w:rsid w:val="00013E57"/>
    <w:rsid w:val="00014E53"/>
    <w:rsid w:val="000208DD"/>
    <w:rsid w:val="00021E3A"/>
    <w:rsid w:val="00024387"/>
    <w:rsid w:val="00024B70"/>
    <w:rsid w:val="00026AF3"/>
    <w:rsid w:val="00033AF4"/>
    <w:rsid w:val="000426EE"/>
    <w:rsid w:val="00042C44"/>
    <w:rsid w:val="00045558"/>
    <w:rsid w:val="00045F1C"/>
    <w:rsid w:val="00046BFA"/>
    <w:rsid w:val="00053059"/>
    <w:rsid w:val="0005642F"/>
    <w:rsid w:val="00060528"/>
    <w:rsid w:val="000632BE"/>
    <w:rsid w:val="000657E3"/>
    <w:rsid w:val="00065984"/>
    <w:rsid w:val="00067730"/>
    <w:rsid w:val="00067E6C"/>
    <w:rsid w:val="0007038D"/>
    <w:rsid w:val="000753ED"/>
    <w:rsid w:val="0008157F"/>
    <w:rsid w:val="000843D6"/>
    <w:rsid w:val="000915B3"/>
    <w:rsid w:val="000926EC"/>
    <w:rsid w:val="00092DF0"/>
    <w:rsid w:val="00093646"/>
    <w:rsid w:val="00093E13"/>
    <w:rsid w:val="00095A47"/>
    <w:rsid w:val="000A21BE"/>
    <w:rsid w:val="000B1398"/>
    <w:rsid w:val="000C03D1"/>
    <w:rsid w:val="000C1A79"/>
    <w:rsid w:val="000C647C"/>
    <w:rsid w:val="000D3105"/>
    <w:rsid w:val="000D732B"/>
    <w:rsid w:val="000E71F7"/>
    <w:rsid w:val="000F216B"/>
    <w:rsid w:val="000F527E"/>
    <w:rsid w:val="000F5C51"/>
    <w:rsid w:val="00102931"/>
    <w:rsid w:val="0010455D"/>
    <w:rsid w:val="00106C3A"/>
    <w:rsid w:val="001106A1"/>
    <w:rsid w:val="0011071F"/>
    <w:rsid w:val="00113E58"/>
    <w:rsid w:val="0012144D"/>
    <w:rsid w:val="001216F1"/>
    <w:rsid w:val="001218FC"/>
    <w:rsid w:val="001220A9"/>
    <w:rsid w:val="00126AE1"/>
    <w:rsid w:val="00126BEA"/>
    <w:rsid w:val="00127164"/>
    <w:rsid w:val="00135135"/>
    <w:rsid w:val="00150327"/>
    <w:rsid w:val="00152597"/>
    <w:rsid w:val="001526FB"/>
    <w:rsid w:val="00153951"/>
    <w:rsid w:val="00156C78"/>
    <w:rsid w:val="00157D0C"/>
    <w:rsid w:val="00161734"/>
    <w:rsid w:val="00161878"/>
    <w:rsid w:val="001740B2"/>
    <w:rsid w:val="001744E6"/>
    <w:rsid w:val="001776F5"/>
    <w:rsid w:val="00181566"/>
    <w:rsid w:val="00183D9A"/>
    <w:rsid w:val="0018469E"/>
    <w:rsid w:val="00187810"/>
    <w:rsid w:val="001901A4"/>
    <w:rsid w:val="001A198D"/>
    <w:rsid w:val="001A1B28"/>
    <w:rsid w:val="001A58D2"/>
    <w:rsid w:val="001A6038"/>
    <w:rsid w:val="001C0A77"/>
    <w:rsid w:val="001C2F70"/>
    <w:rsid w:val="001C7535"/>
    <w:rsid w:val="001D5ACD"/>
    <w:rsid w:val="001D7F9C"/>
    <w:rsid w:val="001E14ED"/>
    <w:rsid w:val="001E49B6"/>
    <w:rsid w:val="001E65C7"/>
    <w:rsid w:val="001F5F43"/>
    <w:rsid w:val="00201695"/>
    <w:rsid w:val="002048F1"/>
    <w:rsid w:val="002078A9"/>
    <w:rsid w:val="00221DE2"/>
    <w:rsid w:val="00223DBD"/>
    <w:rsid w:val="002245AF"/>
    <w:rsid w:val="00224664"/>
    <w:rsid w:val="002258B4"/>
    <w:rsid w:val="0023169D"/>
    <w:rsid w:val="002332C9"/>
    <w:rsid w:val="002408A2"/>
    <w:rsid w:val="002453C6"/>
    <w:rsid w:val="00245594"/>
    <w:rsid w:val="002464B8"/>
    <w:rsid w:val="0024767B"/>
    <w:rsid w:val="00252B8E"/>
    <w:rsid w:val="00260930"/>
    <w:rsid w:val="00262CEE"/>
    <w:rsid w:val="00264BB4"/>
    <w:rsid w:val="00266F17"/>
    <w:rsid w:val="0027122D"/>
    <w:rsid w:val="00271E63"/>
    <w:rsid w:val="00272424"/>
    <w:rsid w:val="0028260A"/>
    <w:rsid w:val="002826D4"/>
    <w:rsid w:val="00293049"/>
    <w:rsid w:val="00293BB7"/>
    <w:rsid w:val="00294AEF"/>
    <w:rsid w:val="002A184E"/>
    <w:rsid w:val="002A1EF4"/>
    <w:rsid w:val="002A5F6B"/>
    <w:rsid w:val="002A6A02"/>
    <w:rsid w:val="002A6C30"/>
    <w:rsid w:val="002A7944"/>
    <w:rsid w:val="002B02EA"/>
    <w:rsid w:val="002B1195"/>
    <w:rsid w:val="002B5A4C"/>
    <w:rsid w:val="002C0A03"/>
    <w:rsid w:val="002C4A9D"/>
    <w:rsid w:val="002D5CB2"/>
    <w:rsid w:val="002D6CEA"/>
    <w:rsid w:val="002E211D"/>
    <w:rsid w:val="002E7424"/>
    <w:rsid w:val="002F1BC5"/>
    <w:rsid w:val="002F3A53"/>
    <w:rsid w:val="00302383"/>
    <w:rsid w:val="003031D0"/>
    <w:rsid w:val="003046C7"/>
    <w:rsid w:val="00305F50"/>
    <w:rsid w:val="003104E3"/>
    <w:rsid w:val="0031278B"/>
    <w:rsid w:val="00312E3E"/>
    <w:rsid w:val="003142F3"/>
    <w:rsid w:val="003147FD"/>
    <w:rsid w:val="00323F1C"/>
    <w:rsid w:val="0032633A"/>
    <w:rsid w:val="00327348"/>
    <w:rsid w:val="003333B4"/>
    <w:rsid w:val="0033365F"/>
    <w:rsid w:val="00340D5F"/>
    <w:rsid w:val="003472B9"/>
    <w:rsid w:val="00347C1D"/>
    <w:rsid w:val="00352864"/>
    <w:rsid w:val="00354B86"/>
    <w:rsid w:val="00362251"/>
    <w:rsid w:val="0036232B"/>
    <w:rsid w:val="00364BE6"/>
    <w:rsid w:val="00364CC9"/>
    <w:rsid w:val="0037148D"/>
    <w:rsid w:val="00373884"/>
    <w:rsid w:val="00374FC5"/>
    <w:rsid w:val="003771F6"/>
    <w:rsid w:val="00377906"/>
    <w:rsid w:val="00377A9A"/>
    <w:rsid w:val="00377B06"/>
    <w:rsid w:val="003934D9"/>
    <w:rsid w:val="0039672E"/>
    <w:rsid w:val="003A2000"/>
    <w:rsid w:val="003A3E3B"/>
    <w:rsid w:val="003A6348"/>
    <w:rsid w:val="003B22D2"/>
    <w:rsid w:val="003B57B1"/>
    <w:rsid w:val="003B660B"/>
    <w:rsid w:val="003C702F"/>
    <w:rsid w:val="003C770E"/>
    <w:rsid w:val="003C7B9B"/>
    <w:rsid w:val="003D0C91"/>
    <w:rsid w:val="003D2F39"/>
    <w:rsid w:val="003D5DE5"/>
    <w:rsid w:val="003D68E2"/>
    <w:rsid w:val="003E1220"/>
    <w:rsid w:val="003E1F1B"/>
    <w:rsid w:val="003E4CF4"/>
    <w:rsid w:val="003E4FFA"/>
    <w:rsid w:val="003F1121"/>
    <w:rsid w:val="003F1CEB"/>
    <w:rsid w:val="003F30A2"/>
    <w:rsid w:val="003F4511"/>
    <w:rsid w:val="0040566E"/>
    <w:rsid w:val="004060FD"/>
    <w:rsid w:val="00412B48"/>
    <w:rsid w:val="0041715C"/>
    <w:rsid w:val="00422E8D"/>
    <w:rsid w:val="004244BF"/>
    <w:rsid w:val="00433B8A"/>
    <w:rsid w:val="00435C7E"/>
    <w:rsid w:val="00435D12"/>
    <w:rsid w:val="00440196"/>
    <w:rsid w:val="00442F74"/>
    <w:rsid w:val="004530DF"/>
    <w:rsid w:val="004535CE"/>
    <w:rsid w:val="004566A6"/>
    <w:rsid w:val="004601C5"/>
    <w:rsid w:val="004620A7"/>
    <w:rsid w:val="00462343"/>
    <w:rsid w:val="0046492D"/>
    <w:rsid w:val="00464BAF"/>
    <w:rsid w:val="00473041"/>
    <w:rsid w:val="00483BDF"/>
    <w:rsid w:val="004849FE"/>
    <w:rsid w:val="0048739A"/>
    <w:rsid w:val="00487DC8"/>
    <w:rsid w:val="0049117E"/>
    <w:rsid w:val="00492841"/>
    <w:rsid w:val="004954EA"/>
    <w:rsid w:val="00495739"/>
    <w:rsid w:val="004A06E2"/>
    <w:rsid w:val="004A0987"/>
    <w:rsid w:val="004A0B86"/>
    <w:rsid w:val="004A6B85"/>
    <w:rsid w:val="004B131B"/>
    <w:rsid w:val="004B5E41"/>
    <w:rsid w:val="004C5A37"/>
    <w:rsid w:val="004D0D4C"/>
    <w:rsid w:val="004D3265"/>
    <w:rsid w:val="004D522C"/>
    <w:rsid w:val="004D7309"/>
    <w:rsid w:val="004E08B0"/>
    <w:rsid w:val="004E48F6"/>
    <w:rsid w:val="004E5646"/>
    <w:rsid w:val="004E5AFC"/>
    <w:rsid w:val="004E7C77"/>
    <w:rsid w:val="004F13D2"/>
    <w:rsid w:val="004F2335"/>
    <w:rsid w:val="00502A43"/>
    <w:rsid w:val="005104D3"/>
    <w:rsid w:val="00514766"/>
    <w:rsid w:val="005173B6"/>
    <w:rsid w:val="0052500D"/>
    <w:rsid w:val="005251FD"/>
    <w:rsid w:val="00532C60"/>
    <w:rsid w:val="00533372"/>
    <w:rsid w:val="00544C34"/>
    <w:rsid w:val="00545345"/>
    <w:rsid w:val="00547D76"/>
    <w:rsid w:val="005536B3"/>
    <w:rsid w:val="0056475B"/>
    <w:rsid w:val="00567091"/>
    <w:rsid w:val="00567B23"/>
    <w:rsid w:val="00570620"/>
    <w:rsid w:val="00571185"/>
    <w:rsid w:val="00574ABF"/>
    <w:rsid w:val="00583552"/>
    <w:rsid w:val="005842E8"/>
    <w:rsid w:val="005854AB"/>
    <w:rsid w:val="00585539"/>
    <w:rsid w:val="005860FD"/>
    <w:rsid w:val="00587E9A"/>
    <w:rsid w:val="005933CC"/>
    <w:rsid w:val="00595389"/>
    <w:rsid w:val="00596E83"/>
    <w:rsid w:val="005A1EF8"/>
    <w:rsid w:val="005A4BA8"/>
    <w:rsid w:val="005A66F2"/>
    <w:rsid w:val="005B0797"/>
    <w:rsid w:val="005B0FCF"/>
    <w:rsid w:val="005B1884"/>
    <w:rsid w:val="005B1A3E"/>
    <w:rsid w:val="005B4C05"/>
    <w:rsid w:val="005B4CF3"/>
    <w:rsid w:val="005B78C8"/>
    <w:rsid w:val="005C3F74"/>
    <w:rsid w:val="005D0A6F"/>
    <w:rsid w:val="005D448C"/>
    <w:rsid w:val="005D7349"/>
    <w:rsid w:val="005D7401"/>
    <w:rsid w:val="005D74CA"/>
    <w:rsid w:val="005E0195"/>
    <w:rsid w:val="005E04AB"/>
    <w:rsid w:val="005E355C"/>
    <w:rsid w:val="005E4E57"/>
    <w:rsid w:val="005E547F"/>
    <w:rsid w:val="005E6F9E"/>
    <w:rsid w:val="005F47A8"/>
    <w:rsid w:val="005F6437"/>
    <w:rsid w:val="005F7E1D"/>
    <w:rsid w:val="00602AE0"/>
    <w:rsid w:val="0061025D"/>
    <w:rsid w:val="006112AF"/>
    <w:rsid w:val="00611D1F"/>
    <w:rsid w:val="00612166"/>
    <w:rsid w:val="00622A4A"/>
    <w:rsid w:val="0062460A"/>
    <w:rsid w:val="00625A8D"/>
    <w:rsid w:val="00633F2F"/>
    <w:rsid w:val="006405EC"/>
    <w:rsid w:val="006426E8"/>
    <w:rsid w:val="00642BDC"/>
    <w:rsid w:val="00643BD6"/>
    <w:rsid w:val="00655B92"/>
    <w:rsid w:val="0065752E"/>
    <w:rsid w:val="00660D56"/>
    <w:rsid w:val="006615CD"/>
    <w:rsid w:val="006645B1"/>
    <w:rsid w:val="0067167C"/>
    <w:rsid w:val="00672458"/>
    <w:rsid w:val="0067290A"/>
    <w:rsid w:val="006744C7"/>
    <w:rsid w:val="00675B75"/>
    <w:rsid w:val="006830D4"/>
    <w:rsid w:val="00685562"/>
    <w:rsid w:val="00690405"/>
    <w:rsid w:val="00690792"/>
    <w:rsid w:val="00690950"/>
    <w:rsid w:val="00693267"/>
    <w:rsid w:val="00693600"/>
    <w:rsid w:val="0069483B"/>
    <w:rsid w:val="0069566D"/>
    <w:rsid w:val="006A02F2"/>
    <w:rsid w:val="006A0747"/>
    <w:rsid w:val="006A1A9A"/>
    <w:rsid w:val="006A22DF"/>
    <w:rsid w:val="006A2531"/>
    <w:rsid w:val="006A4876"/>
    <w:rsid w:val="006A4F0F"/>
    <w:rsid w:val="006A5DBA"/>
    <w:rsid w:val="006A7306"/>
    <w:rsid w:val="006A7D08"/>
    <w:rsid w:val="006B708C"/>
    <w:rsid w:val="006C1047"/>
    <w:rsid w:val="006C19AB"/>
    <w:rsid w:val="006C452D"/>
    <w:rsid w:val="006C7053"/>
    <w:rsid w:val="006D2E49"/>
    <w:rsid w:val="006D393D"/>
    <w:rsid w:val="006D4A79"/>
    <w:rsid w:val="006E2786"/>
    <w:rsid w:val="006E321E"/>
    <w:rsid w:val="006E6709"/>
    <w:rsid w:val="0071346F"/>
    <w:rsid w:val="007136B7"/>
    <w:rsid w:val="0071484B"/>
    <w:rsid w:val="007224D2"/>
    <w:rsid w:val="00730A3E"/>
    <w:rsid w:val="00731605"/>
    <w:rsid w:val="007317FF"/>
    <w:rsid w:val="007336FC"/>
    <w:rsid w:val="007337AA"/>
    <w:rsid w:val="0073438F"/>
    <w:rsid w:val="00735B8E"/>
    <w:rsid w:val="007364F8"/>
    <w:rsid w:val="00743959"/>
    <w:rsid w:val="00743EE0"/>
    <w:rsid w:val="0074433E"/>
    <w:rsid w:val="007469A9"/>
    <w:rsid w:val="00751CC9"/>
    <w:rsid w:val="00757834"/>
    <w:rsid w:val="00772F65"/>
    <w:rsid w:val="0077503E"/>
    <w:rsid w:val="007753C7"/>
    <w:rsid w:val="00776269"/>
    <w:rsid w:val="007804C5"/>
    <w:rsid w:val="00780F8B"/>
    <w:rsid w:val="00783184"/>
    <w:rsid w:val="007841FB"/>
    <w:rsid w:val="007864B2"/>
    <w:rsid w:val="0079084E"/>
    <w:rsid w:val="007A1743"/>
    <w:rsid w:val="007B084D"/>
    <w:rsid w:val="007B0A12"/>
    <w:rsid w:val="007B1AA3"/>
    <w:rsid w:val="007B5730"/>
    <w:rsid w:val="007B68EB"/>
    <w:rsid w:val="007B6DDC"/>
    <w:rsid w:val="007C265D"/>
    <w:rsid w:val="007C26A5"/>
    <w:rsid w:val="007C42E9"/>
    <w:rsid w:val="007C5CD9"/>
    <w:rsid w:val="007D26D1"/>
    <w:rsid w:val="007D2877"/>
    <w:rsid w:val="007D2BD8"/>
    <w:rsid w:val="007D48EB"/>
    <w:rsid w:val="007E2DE4"/>
    <w:rsid w:val="007E5484"/>
    <w:rsid w:val="007E5BAD"/>
    <w:rsid w:val="007E776A"/>
    <w:rsid w:val="007E7D0E"/>
    <w:rsid w:val="007F12BA"/>
    <w:rsid w:val="007F149E"/>
    <w:rsid w:val="008052B8"/>
    <w:rsid w:val="00810F68"/>
    <w:rsid w:val="0081433D"/>
    <w:rsid w:val="008162D3"/>
    <w:rsid w:val="0082087E"/>
    <w:rsid w:val="00820D03"/>
    <w:rsid w:val="008233B5"/>
    <w:rsid w:val="00824B23"/>
    <w:rsid w:val="008255B4"/>
    <w:rsid w:val="00833EE8"/>
    <w:rsid w:val="00834C2E"/>
    <w:rsid w:val="00846D2E"/>
    <w:rsid w:val="0084735D"/>
    <w:rsid w:val="00850E68"/>
    <w:rsid w:val="008540E5"/>
    <w:rsid w:val="00862CB8"/>
    <w:rsid w:val="00867556"/>
    <w:rsid w:val="00871D45"/>
    <w:rsid w:val="00875BE4"/>
    <w:rsid w:val="008769EB"/>
    <w:rsid w:val="00876CCC"/>
    <w:rsid w:val="008777F1"/>
    <w:rsid w:val="00880551"/>
    <w:rsid w:val="00881E95"/>
    <w:rsid w:val="0088357D"/>
    <w:rsid w:val="008835FF"/>
    <w:rsid w:val="008968C1"/>
    <w:rsid w:val="008A3FCF"/>
    <w:rsid w:val="008A55A6"/>
    <w:rsid w:val="008B0609"/>
    <w:rsid w:val="008B2445"/>
    <w:rsid w:val="008B4F4F"/>
    <w:rsid w:val="008B5E9D"/>
    <w:rsid w:val="008B61AE"/>
    <w:rsid w:val="008C3FFF"/>
    <w:rsid w:val="008C42E9"/>
    <w:rsid w:val="008C54C0"/>
    <w:rsid w:val="008E0224"/>
    <w:rsid w:val="008E41DD"/>
    <w:rsid w:val="008F0B4F"/>
    <w:rsid w:val="008F1AE1"/>
    <w:rsid w:val="008F2FA6"/>
    <w:rsid w:val="008F36F3"/>
    <w:rsid w:val="008F68D2"/>
    <w:rsid w:val="00900C5D"/>
    <w:rsid w:val="009023B6"/>
    <w:rsid w:val="00913782"/>
    <w:rsid w:val="00921CEA"/>
    <w:rsid w:val="0092548C"/>
    <w:rsid w:val="0092550E"/>
    <w:rsid w:val="009275C6"/>
    <w:rsid w:val="00935AFF"/>
    <w:rsid w:val="00935F7F"/>
    <w:rsid w:val="009366E0"/>
    <w:rsid w:val="009376DB"/>
    <w:rsid w:val="009453DC"/>
    <w:rsid w:val="00945718"/>
    <w:rsid w:val="00953F0C"/>
    <w:rsid w:val="009615A0"/>
    <w:rsid w:val="00962694"/>
    <w:rsid w:val="0096477A"/>
    <w:rsid w:val="00964AAC"/>
    <w:rsid w:val="00965625"/>
    <w:rsid w:val="00966AFA"/>
    <w:rsid w:val="00967020"/>
    <w:rsid w:val="0097446E"/>
    <w:rsid w:val="00975E7D"/>
    <w:rsid w:val="009805C0"/>
    <w:rsid w:val="009806C0"/>
    <w:rsid w:val="009823DD"/>
    <w:rsid w:val="00982BEB"/>
    <w:rsid w:val="009832BC"/>
    <w:rsid w:val="0098370F"/>
    <w:rsid w:val="00984B21"/>
    <w:rsid w:val="009870A9"/>
    <w:rsid w:val="0098718F"/>
    <w:rsid w:val="00990EDD"/>
    <w:rsid w:val="00991430"/>
    <w:rsid w:val="0099539E"/>
    <w:rsid w:val="009960C7"/>
    <w:rsid w:val="00997911"/>
    <w:rsid w:val="009A05EA"/>
    <w:rsid w:val="009A2565"/>
    <w:rsid w:val="009A389A"/>
    <w:rsid w:val="009A3CAB"/>
    <w:rsid w:val="009A5D01"/>
    <w:rsid w:val="009A7D77"/>
    <w:rsid w:val="009A7F27"/>
    <w:rsid w:val="009B0B3E"/>
    <w:rsid w:val="009C0E77"/>
    <w:rsid w:val="009C6FAE"/>
    <w:rsid w:val="009D1269"/>
    <w:rsid w:val="009D156F"/>
    <w:rsid w:val="009D5098"/>
    <w:rsid w:val="009D6357"/>
    <w:rsid w:val="009D7901"/>
    <w:rsid w:val="009E0FE4"/>
    <w:rsid w:val="009E632B"/>
    <w:rsid w:val="009F46E2"/>
    <w:rsid w:val="009F5AD3"/>
    <w:rsid w:val="009F6FF0"/>
    <w:rsid w:val="00A0171E"/>
    <w:rsid w:val="00A03C62"/>
    <w:rsid w:val="00A06A62"/>
    <w:rsid w:val="00A11E56"/>
    <w:rsid w:val="00A13C8C"/>
    <w:rsid w:val="00A1759F"/>
    <w:rsid w:val="00A176CB"/>
    <w:rsid w:val="00A22145"/>
    <w:rsid w:val="00A23DAE"/>
    <w:rsid w:val="00A241D1"/>
    <w:rsid w:val="00A414E9"/>
    <w:rsid w:val="00A42B58"/>
    <w:rsid w:val="00A462E6"/>
    <w:rsid w:val="00A46B8A"/>
    <w:rsid w:val="00A50DDB"/>
    <w:rsid w:val="00A51279"/>
    <w:rsid w:val="00A613E4"/>
    <w:rsid w:val="00A62E62"/>
    <w:rsid w:val="00A66A21"/>
    <w:rsid w:val="00A67B45"/>
    <w:rsid w:val="00A711EE"/>
    <w:rsid w:val="00A72FBA"/>
    <w:rsid w:val="00A75212"/>
    <w:rsid w:val="00A75B2F"/>
    <w:rsid w:val="00A824A8"/>
    <w:rsid w:val="00A82950"/>
    <w:rsid w:val="00A82A3E"/>
    <w:rsid w:val="00A84F16"/>
    <w:rsid w:val="00A879B7"/>
    <w:rsid w:val="00A907B6"/>
    <w:rsid w:val="00A92A9C"/>
    <w:rsid w:val="00A92ED0"/>
    <w:rsid w:val="00A97B4A"/>
    <w:rsid w:val="00AA19C1"/>
    <w:rsid w:val="00AA5B40"/>
    <w:rsid w:val="00AA6F32"/>
    <w:rsid w:val="00AB23C7"/>
    <w:rsid w:val="00AB2D46"/>
    <w:rsid w:val="00AB3908"/>
    <w:rsid w:val="00AB66B4"/>
    <w:rsid w:val="00AD48EF"/>
    <w:rsid w:val="00AD59E3"/>
    <w:rsid w:val="00AE1D73"/>
    <w:rsid w:val="00AE3D08"/>
    <w:rsid w:val="00AE48CF"/>
    <w:rsid w:val="00AE50AE"/>
    <w:rsid w:val="00AE7808"/>
    <w:rsid w:val="00AF4DE4"/>
    <w:rsid w:val="00B00814"/>
    <w:rsid w:val="00B02A8F"/>
    <w:rsid w:val="00B07C95"/>
    <w:rsid w:val="00B16066"/>
    <w:rsid w:val="00B31DA7"/>
    <w:rsid w:val="00B35CFE"/>
    <w:rsid w:val="00B36A72"/>
    <w:rsid w:val="00B4293C"/>
    <w:rsid w:val="00B4298D"/>
    <w:rsid w:val="00B44A6D"/>
    <w:rsid w:val="00B5256A"/>
    <w:rsid w:val="00B61775"/>
    <w:rsid w:val="00B6391D"/>
    <w:rsid w:val="00B67201"/>
    <w:rsid w:val="00B70656"/>
    <w:rsid w:val="00B7117F"/>
    <w:rsid w:val="00B802A7"/>
    <w:rsid w:val="00B8086E"/>
    <w:rsid w:val="00B902C6"/>
    <w:rsid w:val="00B9054A"/>
    <w:rsid w:val="00B9716A"/>
    <w:rsid w:val="00B9793E"/>
    <w:rsid w:val="00BA017C"/>
    <w:rsid w:val="00BA1A55"/>
    <w:rsid w:val="00BA1C16"/>
    <w:rsid w:val="00BA231B"/>
    <w:rsid w:val="00BA2EE1"/>
    <w:rsid w:val="00BA4742"/>
    <w:rsid w:val="00BB06E2"/>
    <w:rsid w:val="00BB1FA2"/>
    <w:rsid w:val="00BB5BEB"/>
    <w:rsid w:val="00BB5F8A"/>
    <w:rsid w:val="00BB673B"/>
    <w:rsid w:val="00BC0200"/>
    <w:rsid w:val="00BC0529"/>
    <w:rsid w:val="00BC43D5"/>
    <w:rsid w:val="00BD4F59"/>
    <w:rsid w:val="00BD52B1"/>
    <w:rsid w:val="00BD6388"/>
    <w:rsid w:val="00BD6A57"/>
    <w:rsid w:val="00BD787B"/>
    <w:rsid w:val="00BD7984"/>
    <w:rsid w:val="00BD7DAF"/>
    <w:rsid w:val="00BE326C"/>
    <w:rsid w:val="00BE7293"/>
    <w:rsid w:val="00BF623D"/>
    <w:rsid w:val="00C05C33"/>
    <w:rsid w:val="00C07F69"/>
    <w:rsid w:val="00C1064C"/>
    <w:rsid w:val="00C13168"/>
    <w:rsid w:val="00C1377D"/>
    <w:rsid w:val="00C1623D"/>
    <w:rsid w:val="00C20326"/>
    <w:rsid w:val="00C251E4"/>
    <w:rsid w:val="00C257F6"/>
    <w:rsid w:val="00C34BA1"/>
    <w:rsid w:val="00C35511"/>
    <w:rsid w:val="00C372DB"/>
    <w:rsid w:val="00C37F9B"/>
    <w:rsid w:val="00C42CC5"/>
    <w:rsid w:val="00C42D86"/>
    <w:rsid w:val="00C45392"/>
    <w:rsid w:val="00C503C2"/>
    <w:rsid w:val="00C56814"/>
    <w:rsid w:val="00C66290"/>
    <w:rsid w:val="00C676BE"/>
    <w:rsid w:val="00C77692"/>
    <w:rsid w:val="00C80165"/>
    <w:rsid w:val="00C8166C"/>
    <w:rsid w:val="00C85E53"/>
    <w:rsid w:val="00C92B15"/>
    <w:rsid w:val="00C93E8A"/>
    <w:rsid w:val="00C97A29"/>
    <w:rsid w:val="00CA4D7D"/>
    <w:rsid w:val="00CA5B2A"/>
    <w:rsid w:val="00CB014B"/>
    <w:rsid w:val="00CB31EF"/>
    <w:rsid w:val="00CB6781"/>
    <w:rsid w:val="00CB728B"/>
    <w:rsid w:val="00CC1E4C"/>
    <w:rsid w:val="00CC29B3"/>
    <w:rsid w:val="00CC2E07"/>
    <w:rsid w:val="00CC4E74"/>
    <w:rsid w:val="00CC68E8"/>
    <w:rsid w:val="00CD1D60"/>
    <w:rsid w:val="00CD5459"/>
    <w:rsid w:val="00CD7065"/>
    <w:rsid w:val="00CD7617"/>
    <w:rsid w:val="00CE554A"/>
    <w:rsid w:val="00CE57D2"/>
    <w:rsid w:val="00CF1B46"/>
    <w:rsid w:val="00CF4AA1"/>
    <w:rsid w:val="00CF4AB6"/>
    <w:rsid w:val="00D0014A"/>
    <w:rsid w:val="00D05F6D"/>
    <w:rsid w:val="00D0660C"/>
    <w:rsid w:val="00D069DD"/>
    <w:rsid w:val="00D16184"/>
    <w:rsid w:val="00D230B6"/>
    <w:rsid w:val="00D2377D"/>
    <w:rsid w:val="00D2428C"/>
    <w:rsid w:val="00D257D0"/>
    <w:rsid w:val="00D26D6E"/>
    <w:rsid w:val="00D274B0"/>
    <w:rsid w:val="00D3508A"/>
    <w:rsid w:val="00D40CD4"/>
    <w:rsid w:val="00D43940"/>
    <w:rsid w:val="00D44F51"/>
    <w:rsid w:val="00D47E88"/>
    <w:rsid w:val="00D50B72"/>
    <w:rsid w:val="00D54A40"/>
    <w:rsid w:val="00D55153"/>
    <w:rsid w:val="00D6168C"/>
    <w:rsid w:val="00D65376"/>
    <w:rsid w:val="00D656F2"/>
    <w:rsid w:val="00D67E24"/>
    <w:rsid w:val="00D74CDE"/>
    <w:rsid w:val="00D8352D"/>
    <w:rsid w:val="00D84A46"/>
    <w:rsid w:val="00D8673E"/>
    <w:rsid w:val="00D907CC"/>
    <w:rsid w:val="00DA135F"/>
    <w:rsid w:val="00DA195F"/>
    <w:rsid w:val="00DA2BA1"/>
    <w:rsid w:val="00DA39EB"/>
    <w:rsid w:val="00DA3EA5"/>
    <w:rsid w:val="00DA4D7F"/>
    <w:rsid w:val="00DA5097"/>
    <w:rsid w:val="00DA7467"/>
    <w:rsid w:val="00DB576F"/>
    <w:rsid w:val="00DB70FD"/>
    <w:rsid w:val="00DC1622"/>
    <w:rsid w:val="00DC5369"/>
    <w:rsid w:val="00DC6F83"/>
    <w:rsid w:val="00DC7F44"/>
    <w:rsid w:val="00DD3B05"/>
    <w:rsid w:val="00DD65F2"/>
    <w:rsid w:val="00DE0387"/>
    <w:rsid w:val="00DE250F"/>
    <w:rsid w:val="00DE2845"/>
    <w:rsid w:val="00DE4AAF"/>
    <w:rsid w:val="00DE6087"/>
    <w:rsid w:val="00DE7EBD"/>
    <w:rsid w:val="00DF08CB"/>
    <w:rsid w:val="00DF0992"/>
    <w:rsid w:val="00E00B9D"/>
    <w:rsid w:val="00E0332F"/>
    <w:rsid w:val="00E03D2A"/>
    <w:rsid w:val="00E05D35"/>
    <w:rsid w:val="00E062F1"/>
    <w:rsid w:val="00E0794C"/>
    <w:rsid w:val="00E100D2"/>
    <w:rsid w:val="00E12576"/>
    <w:rsid w:val="00E13C6E"/>
    <w:rsid w:val="00E16DD1"/>
    <w:rsid w:val="00E22012"/>
    <w:rsid w:val="00E22D20"/>
    <w:rsid w:val="00E23E56"/>
    <w:rsid w:val="00E24BF4"/>
    <w:rsid w:val="00E307A3"/>
    <w:rsid w:val="00E30D5B"/>
    <w:rsid w:val="00E41AB3"/>
    <w:rsid w:val="00E42008"/>
    <w:rsid w:val="00E44FDF"/>
    <w:rsid w:val="00E46D9F"/>
    <w:rsid w:val="00E52BDD"/>
    <w:rsid w:val="00E55417"/>
    <w:rsid w:val="00E5646D"/>
    <w:rsid w:val="00E56639"/>
    <w:rsid w:val="00E56B92"/>
    <w:rsid w:val="00E62781"/>
    <w:rsid w:val="00E64F76"/>
    <w:rsid w:val="00E70B32"/>
    <w:rsid w:val="00E71793"/>
    <w:rsid w:val="00E7629F"/>
    <w:rsid w:val="00E80DCD"/>
    <w:rsid w:val="00E81EA7"/>
    <w:rsid w:val="00E8290C"/>
    <w:rsid w:val="00E90E2B"/>
    <w:rsid w:val="00EA2D6A"/>
    <w:rsid w:val="00EA2FF4"/>
    <w:rsid w:val="00EA3CD9"/>
    <w:rsid w:val="00EA5EE7"/>
    <w:rsid w:val="00EA7765"/>
    <w:rsid w:val="00EA7E33"/>
    <w:rsid w:val="00EB091B"/>
    <w:rsid w:val="00EB2686"/>
    <w:rsid w:val="00EB422D"/>
    <w:rsid w:val="00EB5087"/>
    <w:rsid w:val="00EB55DC"/>
    <w:rsid w:val="00EC255F"/>
    <w:rsid w:val="00EC75F4"/>
    <w:rsid w:val="00ED55B3"/>
    <w:rsid w:val="00EE254F"/>
    <w:rsid w:val="00EE6C2F"/>
    <w:rsid w:val="00EF0099"/>
    <w:rsid w:val="00EF0CF2"/>
    <w:rsid w:val="00EF5385"/>
    <w:rsid w:val="00F0250A"/>
    <w:rsid w:val="00F10176"/>
    <w:rsid w:val="00F14FDF"/>
    <w:rsid w:val="00F15739"/>
    <w:rsid w:val="00F205CF"/>
    <w:rsid w:val="00F20E27"/>
    <w:rsid w:val="00F2570F"/>
    <w:rsid w:val="00F31A13"/>
    <w:rsid w:val="00F41136"/>
    <w:rsid w:val="00F41CAE"/>
    <w:rsid w:val="00F44E68"/>
    <w:rsid w:val="00F46EDA"/>
    <w:rsid w:val="00F478A9"/>
    <w:rsid w:val="00F50386"/>
    <w:rsid w:val="00F50991"/>
    <w:rsid w:val="00F50C5D"/>
    <w:rsid w:val="00F5131F"/>
    <w:rsid w:val="00F568CA"/>
    <w:rsid w:val="00F63BBD"/>
    <w:rsid w:val="00F63D2E"/>
    <w:rsid w:val="00F64B30"/>
    <w:rsid w:val="00F6799A"/>
    <w:rsid w:val="00F716DC"/>
    <w:rsid w:val="00F730E1"/>
    <w:rsid w:val="00F73384"/>
    <w:rsid w:val="00F73662"/>
    <w:rsid w:val="00F77EAA"/>
    <w:rsid w:val="00F80615"/>
    <w:rsid w:val="00F85246"/>
    <w:rsid w:val="00F86188"/>
    <w:rsid w:val="00FA1967"/>
    <w:rsid w:val="00FA43A1"/>
    <w:rsid w:val="00FA6F72"/>
    <w:rsid w:val="00FB094A"/>
    <w:rsid w:val="00FB4F93"/>
    <w:rsid w:val="00FC5BAF"/>
    <w:rsid w:val="00FD311F"/>
    <w:rsid w:val="00FD6B15"/>
    <w:rsid w:val="00FE3658"/>
    <w:rsid w:val="00FF1C14"/>
    <w:rsid w:val="010A29DC"/>
    <w:rsid w:val="01595F68"/>
    <w:rsid w:val="017B7436"/>
    <w:rsid w:val="02274EC8"/>
    <w:rsid w:val="0242253B"/>
    <w:rsid w:val="02785724"/>
    <w:rsid w:val="02E358DE"/>
    <w:rsid w:val="035270CB"/>
    <w:rsid w:val="03537341"/>
    <w:rsid w:val="037C5803"/>
    <w:rsid w:val="03AC38D7"/>
    <w:rsid w:val="03BB1D6C"/>
    <w:rsid w:val="03CB273B"/>
    <w:rsid w:val="03DF6A02"/>
    <w:rsid w:val="03EA4D45"/>
    <w:rsid w:val="04212517"/>
    <w:rsid w:val="049941F3"/>
    <w:rsid w:val="049A7BD3"/>
    <w:rsid w:val="04DB23FA"/>
    <w:rsid w:val="04DC5FB6"/>
    <w:rsid w:val="052221B5"/>
    <w:rsid w:val="0534627A"/>
    <w:rsid w:val="056A6750"/>
    <w:rsid w:val="05C80770"/>
    <w:rsid w:val="05D36A51"/>
    <w:rsid w:val="05EA3B5C"/>
    <w:rsid w:val="064A73D7"/>
    <w:rsid w:val="06FC6923"/>
    <w:rsid w:val="07280DFC"/>
    <w:rsid w:val="072B0825"/>
    <w:rsid w:val="07837045"/>
    <w:rsid w:val="078A03D3"/>
    <w:rsid w:val="078D7EC3"/>
    <w:rsid w:val="086C1887"/>
    <w:rsid w:val="089E6DF9"/>
    <w:rsid w:val="09382988"/>
    <w:rsid w:val="094D7FBB"/>
    <w:rsid w:val="096376CE"/>
    <w:rsid w:val="097C28AF"/>
    <w:rsid w:val="0983332C"/>
    <w:rsid w:val="098731CA"/>
    <w:rsid w:val="09D516AE"/>
    <w:rsid w:val="09F14739"/>
    <w:rsid w:val="0A1C69EB"/>
    <w:rsid w:val="0AA15A55"/>
    <w:rsid w:val="0B815649"/>
    <w:rsid w:val="0BEA7692"/>
    <w:rsid w:val="0C41127C"/>
    <w:rsid w:val="0C5C7953"/>
    <w:rsid w:val="0D4508F8"/>
    <w:rsid w:val="0D6A036C"/>
    <w:rsid w:val="0DF30354"/>
    <w:rsid w:val="0E0F33E0"/>
    <w:rsid w:val="0E372618"/>
    <w:rsid w:val="0E562298"/>
    <w:rsid w:val="0E5C65DD"/>
    <w:rsid w:val="0E65475F"/>
    <w:rsid w:val="0F1B5DB5"/>
    <w:rsid w:val="0F2F1860"/>
    <w:rsid w:val="0F5A4B2F"/>
    <w:rsid w:val="0FD7617F"/>
    <w:rsid w:val="106B68C8"/>
    <w:rsid w:val="10CC1343"/>
    <w:rsid w:val="122146FC"/>
    <w:rsid w:val="122570FC"/>
    <w:rsid w:val="12277105"/>
    <w:rsid w:val="127B42E6"/>
    <w:rsid w:val="1356560D"/>
    <w:rsid w:val="138A3509"/>
    <w:rsid w:val="13BA3DEE"/>
    <w:rsid w:val="13C70AEA"/>
    <w:rsid w:val="141C15BA"/>
    <w:rsid w:val="143C0CA7"/>
    <w:rsid w:val="15200F4B"/>
    <w:rsid w:val="15292B01"/>
    <w:rsid w:val="15783F61"/>
    <w:rsid w:val="15836462"/>
    <w:rsid w:val="15DF7BB5"/>
    <w:rsid w:val="15E83F8E"/>
    <w:rsid w:val="161D197D"/>
    <w:rsid w:val="162C1B39"/>
    <w:rsid w:val="163A2FC4"/>
    <w:rsid w:val="16421E79"/>
    <w:rsid w:val="168406E3"/>
    <w:rsid w:val="16A843D2"/>
    <w:rsid w:val="16BE59A3"/>
    <w:rsid w:val="171F21BA"/>
    <w:rsid w:val="17A252C5"/>
    <w:rsid w:val="17AC44F8"/>
    <w:rsid w:val="17AD77C6"/>
    <w:rsid w:val="17B172B6"/>
    <w:rsid w:val="18774EF0"/>
    <w:rsid w:val="188D7D23"/>
    <w:rsid w:val="19355CC5"/>
    <w:rsid w:val="19393A07"/>
    <w:rsid w:val="194949C6"/>
    <w:rsid w:val="194A79C2"/>
    <w:rsid w:val="196547FC"/>
    <w:rsid w:val="198814ED"/>
    <w:rsid w:val="19FB2A6A"/>
    <w:rsid w:val="1AA26913"/>
    <w:rsid w:val="1B4519D4"/>
    <w:rsid w:val="1B6C0D96"/>
    <w:rsid w:val="1B7C7BDB"/>
    <w:rsid w:val="1C177904"/>
    <w:rsid w:val="1C275E99"/>
    <w:rsid w:val="1C506DBF"/>
    <w:rsid w:val="1C9F1DD3"/>
    <w:rsid w:val="1CA817C2"/>
    <w:rsid w:val="1CAC44F0"/>
    <w:rsid w:val="1D484219"/>
    <w:rsid w:val="1DA11B7B"/>
    <w:rsid w:val="1DB55626"/>
    <w:rsid w:val="1E064D87"/>
    <w:rsid w:val="1EC711BA"/>
    <w:rsid w:val="1F1B05D7"/>
    <w:rsid w:val="1F332CA6"/>
    <w:rsid w:val="1F6B0692"/>
    <w:rsid w:val="1F8A5A67"/>
    <w:rsid w:val="1FA47700"/>
    <w:rsid w:val="1FB65404"/>
    <w:rsid w:val="1FBA5176"/>
    <w:rsid w:val="1FE16BA6"/>
    <w:rsid w:val="1FFC6FCD"/>
    <w:rsid w:val="202D1472"/>
    <w:rsid w:val="20A420AE"/>
    <w:rsid w:val="210743EB"/>
    <w:rsid w:val="2164183D"/>
    <w:rsid w:val="22A92FC0"/>
    <w:rsid w:val="22C73E32"/>
    <w:rsid w:val="233233FB"/>
    <w:rsid w:val="235651B5"/>
    <w:rsid w:val="235A1E65"/>
    <w:rsid w:val="24003A9F"/>
    <w:rsid w:val="2412732E"/>
    <w:rsid w:val="2426102C"/>
    <w:rsid w:val="24C20D54"/>
    <w:rsid w:val="24C40F03"/>
    <w:rsid w:val="24CF6FCD"/>
    <w:rsid w:val="24EA3E07"/>
    <w:rsid w:val="259C77F7"/>
    <w:rsid w:val="25C40D10"/>
    <w:rsid w:val="25D24FC7"/>
    <w:rsid w:val="25D52185"/>
    <w:rsid w:val="25E371D4"/>
    <w:rsid w:val="25FD563E"/>
    <w:rsid w:val="261E16F9"/>
    <w:rsid w:val="26321C01"/>
    <w:rsid w:val="264F6850"/>
    <w:rsid w:val="268362C1"/>
    <w:rsid w:val="26A54D19"/>
    <w:rsid w:val="26A9791D"/>
    <w:rsid w:val="2742617D"/>
    <w:rsid w:val="27652FE1"/>
    <w:rsid w:val="277976C4"/>
    <w:rsid w:val="279938C3"/>
    <w:rsid w:val="27A66186"/>
    <w:rsid w:val="27B32BD6"/>
    <w:rsid w:val="281C4C20"/>
    <w:rsid w:val="2821658D"/>
    <w:rsid w:val="282E04AF"/>
    <w:rsid w:val="28375015"/>
    <w:rsid w:val="28EF15E4"/>
    <w:rsid w:val="29141E5F"/>
    <w:rsid w:val="2964687E"/>
    <w:rsid w:val="296E35D2"/>
    <w:rsid w:val="299565F5"/>
    <w:rsid w:val="2AAA2395"/>
    <w:rsid w:val="2AE6435A"/>
    <w:rsid w:val="2B2D0EF2"/>
    <w:rsid w:val="2B556272"/>
    <w:rsid w:val="2B5B000B"/>
    <w:rsid w:val="2BBB2FE0"/>
    <w:rsid w:val="2BE0073F"/>
    <w:rsid w:val="2C02412C"/>
    <w:rsid w:val="2C2555DD"/>
    <w:rsid w:val="2C881338"/>
    <w:rsid w:val="2C8C25FE"/>
    <w:rsid w:val="2CB0658A"/>
    <w:rsid w:val="2D3C3E3B"/>
    <w:rsid w:val="2D422E2C"/>
    <w:rsid w:val="2D4E5A02"/>
    <w:rsid w:val="2DE25FC3"/>
    <w:rsid w:val="2E3E5827"/>
    <w:rsid w:val="2E617BCB"/>
    <w:rsid w:val="2E7D2441"/>
    <w:rsid w:val="2EC15BD9"/>
    <w:rsid w:val="2EC97183"/>
    <w:rsid w:val="2F0A3029"/>
    <w:rsid w:val="2F350375"/>
    <w:rsid w:val="2F76174D"/>
    <w:rsid w:val="2FB92D54"/>
    <w:rsid w:val="2FBA4A3B"/>
    <w:rsid w:val="2FD858D0"/>
    <w:rsid w:val="303837B5"/>
    <w:rsid w:val="30574B74"/>
    <w:rsid w:val="30872E52"/>
    <w:rsid w:val="30901D07"/>
    <w:rsid w:val="30B333E3"/>
    <w:rsid w:val="30C322EC"/>
    <w:rsid w:val="31864EB8"/>
    <w:rsid w:val="31B25CAD"/>
    <w:rsid w:val="31C3435E"/>
    <w:rsid w:val="31E71DFA"/>
    <w:rsid w:val="320209E2"/>
    <w:rsid w:val="32197E6F"/>
    <w:rsid w:val="32821B23"/>
    <w:rsid w:val="32843C6C"/>
    <w:rsid w:val="33010C9A"/>
    <w:rsid w:val="33727DEA"/>
    <w:rsid w:val="33D44600"/>
    <w:rsid w:val="340D366E"/>
    <w:rsid w:val="34161EC7"/>
    <w:rsid w:val="34254E5C"/>
    <w:rsid w:val="343E70BF"/>
    <w:rsid w:val="3442625B"/>
    <w:rsid w:val="34431463"/>
    <w:rsid w:val="346C4839"/>
    <w:rsid w:val="348B393B"/>
    <w:rsid w:val="34983880"/>
    <w:rsid w:val="34BA0C98"/>
    <w:rsid w:val="34BD50C3"/>
    <w:rsid w:val="351A4295"/>
    <w:rsid w:val="3541380F"/>
    <w:rsid w:val="358F02D0"/>
    <w:rsid w:val="359052C4"/>
    <w:rsid w:val="35E55944"/>
    <w:rsid w:val="35F76384"/>
    <w:rsid w:val="36050807"/>
    <w:rsid w:val="36232900"/>
    <w:rsid w:val="362C0724"/>
    <w:rsid w:val="362F3A36"/>
    <w:rsid w:val="362F5D59"/>
    <w:rsid w:val="363B44C3"/>
    <w:rsid w:val="36AC3612"/>
    <w:rsid w:val="36F87E3A"/>
    <w:rsid w:val="37B02C8E"/>
    <w:rsid w:val="37E61EB0"/>
    <w:rsid w:val="38365E84"/>
    <w:rsid w:val="38C83C36"/>
    <w:rsid w:val="38F22625"/>
    <w:rsid w:val="39131727"/>
    <w:rsid w:val="39C042A2"/>
    <w:rsid w:val="39CB1E5C"/>
    <w:rsid w:val="3A414072"/>
    <w:rsid w:val="3AAF722D"/>
    <w:rsid w:val="3B041E40"/>
    <w:rsid w:val="3B561D9F"/>
    <w:rsid w:val="3B8C57C0"/>
    <w:rsid w:val="3C1E77FE"/>
    <w:rsid w:val="3C2C4178"/>
    <w:rsid w:val="3C37397E"/>
    <w:rsid w:val="3C5E53AF"/>
    <w:rsid w:val="3D043BC6"/>
    <w:rsid w:val="3D17730C"/>
    <w:rsid w:val="3D2A5291"/>
    <w:rsid w:val="3D373352"/>
    <w:rsid w:val="3DDE3B8C"/>
    <w:rsid w:val="3E35213F"/>
    <w:rsid w:val="3E4D7489"/>
    <w:rsid w:val="3F136AFC"/>
    <w:rsid w:val="3F1C33C6"/>
    <w:rsid w:val="3F3271BB"/>
    <w:rsid w:val="3FB05F21"/>
    <w:rsid w:val="3FC1012F"/>
    <w:rsid w:val="40016245"/>
    <w:rsid w:val="402610DC"/>
    <w:rsid w:val="404F3FFC"/>
    <w:rsid w:val="407E181D"/>
    <w:rsid w:val="40BA08D6"/>
    <w:rsid w:val="40D44428"/>
    <w:rsid w:val="40EF17B3"/>
    <w:rsid w:val="415D5C35"/>
    <w:rsid w:val="41630D72"/>
    <w:rsid w:val="41AA395D"/>
    <w:rsid w:val="41EE0F83"/>
    <w:rsid w:val="425828A0"/>
    <w:rsid w:val="425A6618"/>
    <w:rsid w:val="433230F1"/>
    <w:rsid w:val="43432C09"/>
    <w:rsid w:val="438374A9"/>
    <w:rsid w:val="438D25BA"/>
    <w:rsid w:val="43996CCD"/>
    <w:rsid w:val="43EF0FE2"/>
    <w:rsid w:val="441D16AC"/>
    <w:rsid w:val="444430DC"/>
    <w:rsid w:val="455E025D"/>
    <w:rsid w:val="459B4382"/>
    <w:rsid w:val="46017898"/>
    <w:rsid w:val="465F0A0E"/>
    <w:rsid w:val="46790A87"/>
    <w:rsid w:val="46862B6D"/>
    <w:rsid w:val="46C95D05"/>
    <w:rsid w:val="47390530"/>
    <w:rsid w:val="47624A31"/>
    <w:rsid w:val="476D294A"/>
    <w:rsid w:val="48084421"/>
    <w:rsid w:val="482B6E84"/>
    <w:rsid w:val="483F122D"/>
    <w:rsid w:val="484C255F"/>
    <w:rsid w:val="486A3C6B"/>
    <w:rsid w:val="49042AD4"/>
    <w:rsid w:val="49296D45"/>
    <w:rsid w:val="492D0547"/>
    <w:rsid w:val="496B4C67"/>
    <w:rsid w:val="496D4E83"/>
    <w:rsid w:val="4A070E34"/>
    <w:rsid w:val="4A6C57DD"/>
    <w:rsid w:val="4AC97E97"/>
    <w:rsid w:val="4AED73DD"/>
    <w:rsid w:val="4B1667E2"/>
    <w:rsid w:val="4B3E2804"/>
    <w:rsid w:val="4C001FDF"/>
    <w:rsid w:val="4C1415E6"/>
    <w:rsid w:val="4C145B92"/>
    <w:rsid w:val="4C2D5106"/>
    <w:rsid w:val="4CCE0154"/>
    <w:rsid w:val="4CF15645"/>
    <w:rsid w:val="4DE4148C"/>
    <w:rsid w:val="4DF3347D"/>
    <w:rsid w:val="4EA34EA3"/>
    <w:rsid w:val="4ED4756F"/>
    <w:rsid w:val="4F3B1580"/>
    <w:rsid w:val="4F4F2490"/>
    <w:rsid w:val="4FCB46B2"/>
    <w:rsid w:val="4FCE5A1C"/>
    <w:rsid w:val="4FE15C83"/>
    <w:rsid w:val="4FEE20BD"/>
    <w:rsid w:val="4FF039E2"/>
    <w:rsid w:val="507D5811"/>
    <w:rsid w:val="50940F47"/>
    <w:rsid w:val="50D253CB"/>
    <w:rsid w:val="51334ADB"/>
    <w:rsid w:val="515A6B65"/>
    <w:rsid w:val="521A547C"/>
    <w:rsid w:val="523E73BD"/>
    <w:rsid w:val="529B480F"/>
    <w:rsid w:val="52FF5190"/>
    <w:rsid w:val="53004672"/>
    <w:rsid w:val="535C417D"/>
    <w:rsid w:val="5394300C"/>
    <w:rsid w:val="53D61877"/>
    <w:rsid w:val="548E3F00"/>
    <w:rsid w:val="54EB3100"/>
    <w:rsid w:val="553A3615"/>
    <w:rsid w:val="554A030E"/>
    <w:rsid w:val="559430BC"/>
    <w:rsid w:val="55C45E2B"/>
    <w:rsid w:val="55D51147"/>
    <w:rsid w:val="5650449B"/>
    <w:rsid w:val="565151E5"/>
    <w:rsid w:val="565D3B8A"/>
    <w:rsid w:val="56707D61"/>
    <w:rsid w:val="57B679F5"/>
    <w:rsid w:val="58294241"/>
    <w:rsid w:val="586475A6"/>
    <w:rsid w:val="5881275B"/>
    <w:rsid w:val="58BA1767"/>
    <w:rsid w:val="58C54347"/>
    <w:rsid w:val="590E6FE2"/>
    <w:rsid w:val="5923730C"/>
    <w:rsid w:val="594B1686"/>
    <w:rsid w:val="59927FEE"/>
    <w:rsid w:val="59A10938"/>
    <w:rsid w:val="59D614CD"/>
    <w:rsid w:val="5A186745"/>
    <w:rsid w:val="5A987886"/>
    <w:rsid w:val="5ABF6612"/>
    <w:rsid w:val="5AD84127"/>
    <w:rsid w:val="5B7F445D"/>
    <w:rsid w:val="5BA65FD3"/>
    <w:rsid w:val="5BA830B6"/>
    <w:rsid w:val="5BE03293"/>
    <w:rsid w:val="5BEC3392"/>
    <w:rsid w:val="5BF40AEC"/>
    <w:rsid w:val="5C136506"/>
    <w:rsid w:val="5CBA7F88"/>
    <w:rsid w:val="5D296EBB"/>
    <w:rsid w:val="5D4810F0"/>
    <w:rsid w:val="5D9B4881"/>
    <w:rsid w:val="5D9D300D"/>
    <w:rsid w:val="5E355B65"/>
    <w:rsid w:val="5E7D74BF"/>
    <w:rsid w:val="5F3B728C"/>
    <w:rsid w:val="5F4928E4"/>
    <w:rsid w:val="5F50072F"/>
    <w:rsid w:val="5F893C41"/>
    <w:rsid w:val="5FBC5A2C"/>
    <w:rsid w:val="5FE86469"/>
    <w:rsid w:val="60545FFD"/>
    <w:rsid w:val="606B6B9F"/>
    <w:rsid w:val="609D42CD"/>
    <w:rsid w:val="609E54CA"/>
    <w:rsid w:val="60B46AEE"/>
    <w:rsid w:val="60BF187B"/>
    <w:rsid w:val="60D90BAB"/>
    <w:rsid w:val="60D96D5C"/>
    <w:rsid w:val="60F82E2D"/>
    <w:rsid w:val="610A187B"/>
    <w:rsid w:val="61126F33"/>
    <w:rsid w:val="613728E4"/>
    <w:rsid w:val="613876CD"/>
    <w:rsid w:val="613C540F"/>
    <w:rsid w:val="6198016C"/>
    <w:rsid w:val="61A32C64"/>
    <w:rsid w:val="61BF7DEE"/>
    <w:rsid w:val="61C00B9C"/>
    <w:rsid w:val="623F0BA1"/>
    <w:rsid w:val="62455CE7"/>
    <w:rsid w:val="62532D60"/>
    <w:rsid w:val="6265219D"/>
    <w:rsid w:val="62F672A1"/>
    <w:rsid w:val="6353259C"/>
    <w:rsid w:val="635527B8"/>
    <w:rsid w:val="63894210"/>
    <w:rsid w:val="638E1826"/>
    <w:rsid w:val="639A01CB"/>
    <w:rsid w:val="63C60FC0"/>
    <w:rsid w:val="64155696"/>
    <w:rsid w:val="649C7F73"/>
    <w:rsid w:val="64A05CB5"/>
    <w:rsid w:val="64CF20F6"/>
    <w:rsid w:val="650C10DD"/>
    <w:rsid w:val="651E089F"/>
    <w:rsid w:val="652B2F74"/>
    <w:rsid w:val="65532D27"/>
    <w:rsid w:val="659375C8"/>
    <w:rsid w:val="65E019AC"/>
    <w:rsid w:val="65E9543A"/>
    <w:rsid w:val="66432D9C"/>
    <w:rsid w:val="664A237C"/>
    <w:rsid w:val="66B372BF"/>
    <w:rsid w:val="671F55B7"/>
    <w:rsid w:val="673E681D"/>
    <w:rsid w:val="67674868"/>
    <w:rsid w:val="67846FE8"/>
    <w:rsid w:val="678E033C"/>
    <w:rsid w:val="67AF09A7"/>
    <w:rsid w:val="67C92AE2"/>
    <w:rsid w:val="68394457"/>
    <w:rsid w:val="683B7D96"/>
    <w:rsid w:val="686D4100"/>
    <w:rsid w:val="68A11FFC"/>
    <w:rsid w:val="68B7181F"/>
    <w:rsid w:val="68FD36D6"/>
    <w:rsid w:val="695B03FD"/>
    <w:rsid w:val="69A2734B"/>
    <w:rsid w:val="69B0084D"/>
    <w:rsid w:val="69E55409"/>
    <w:rsid w:val="6A0A597F"/>
    <w:rsid w:val="6A627569"/>
    <w:rsid w:val="6A86594D"/>
    <w:rsid w:val="6AFE1987"/>
    <w:rsid w:val="6B82328A"/>
    <w:rsid w:val="6B9640A0"/>
    <w:rsid w:val="6C4B29AA"/>
    <w:rsid w:val="6C582B9A"/>
    <w:rsid w:val="6D057337"/>
    <w:rsid w:val="6D9C15C5"/>
    <w:rsid w:val="6DAB25AA"/>
    <w:rsid w:val="6DB30807"/>
    <w:rsid w:val="6DD02C0B"/>
    <w:rsid w:val="6E272FA3"/>
    <w:rsid w:val="6E3C7E45"/>
    <w:rsid w:val="6E700B4D"/>
    <w:rsid w:val="6E957F0D"/>
    <w:rsid w:val="6EAA2272"/>
    <w:rsid w:val="6F2671B9"/>
    <w:rsid w:val="6F4F0424"/>
    <w:rsid w:val="6F775864"/>
    <w:rsid w:val="6F8F2A0C"/>
    <w:rsid w:val="6FB6774A"/>
    <w:rsid w:val="70251764"/>
    <w:rsid w:val="704020FA"/>
    <w:rsid w:val="705161EE"/>
    <w:rsid w:val="70532867"/>
    <w:rsid w:val="707B3132"/>
    <w:rsid w:val="70A9317F"/>
    <w:rsid w:val="70BD374B"/>
    <w:rsid w:val="716F023C"/>
    <w:rsid w:val="719A2740"/>
    <w:rsid w:val="71CE3DB3"/>
    <w:rsid w:val="720D1A85"/>
    <w:rsid w:val="721D4D44"/>
    <w:rsid w:val="721E46BD"/>
    <w:rsid w:val="7287651E"/>
    <w:rsid w:val="72A9217D"/>
    <w:rsid w:val="72F1132E"/>
    <w:rsid w:val="739F0CFB"/>
    <w:rsid w:val="73F40716"/>
    <w:rsid w:val="74D80B53"/>
    <w:rsid w:val="74F11C15"/>
    <w:rsid w:val="74FE2171"/>
    <w:rsid w:val="75015B6D"/>
    <w:rsid w:val="75530B22"/>
    <w:rsid w:val="758444AD"/>
    <w:rsid w:val="762C55FB"/>
    <w:rsid w:val="76391953"/>
    <w:rsid w:val="76870EAD"/>
    <w:rsid w:val="76DF266D"/>
    <w:rsid w:val="77100A78"/>
    <w:rsid w:val="772462D2"/>
    <w:rsid w:val="773A41CF"/>
    <w:rsid w:val="779135CA"/>
    <w:rsid w:val="77D97E0E"/>
    <w:rsid w:val="78144598"/>
    <w:rsid w:val="78D37FAF"/>
    <w:rsid w:val="7905244A"/>
    <w:rsid w:val="793B41E9"/>
    <w:rsid w:val="79442C5B"/>
    <w:rsid w:val="79510E55"/>
    <w:rsid w:val="7967694A"/>
    <w:rsid w:val="797C0EA9"/>
    <w:rsid w:val="79A731EA"/>
    <w:rsid w:val="79E1494E"/>
    <w:rsid w:val="79F33A06"/>
    <w:rsid w:val="7A8713E5"/>
    <w:rsid w:val="7AB108C2"/>
    <w:rsid w:val="7AB14B21"/>
    <w:rsid w:val="7B5C5A46"/>
    <w:rsid w:val="7BA81FAA"/>
    <w:rsid w:val="7BC71163"/>
    <w:rsid w:val="7C644921"/>
    <w:rsid w:val="7C855A65"/>
    <w:rsid w:val="7C857813"/>
    <w:rsid w:val="7CCC6031"/>
    <w:rsid w:val="7CE16A13"/>
    <w:rsid w:val="7CE840C9"/>
    <w:rsid w:val="7D457F42"/>
    <w:rsid w:val="7DE0456D"/>
    <w:rsid w:val="7DE92023"/>
    <w:rsid w:val="7E543940"/>
    <w:rsid w:val="7E631DD5"/>
    <w:rsid w:val="7EA62CDF"/>
    <w:rsid w:val="7EDF5F8C"/>
    <w:rsid w:val="7EF46ED2"/>
    <w:rsid w:val="7F102B9B"/>
    <w:rsid w:val="7FE7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4">
    <w:name w:val="heading 1"/>
    <w:basedOn w:val="1"/>
    <w:next w:val="1"/>
    <w:link w:val="33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5">
    <w:name w:val="heading 2"/>
    <w:basedOn w:val="1"/>
    <w:next w:val="1"/>
    <w:link w:val="34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6">
    <w:name w:val="heading 3"/>
    <w:basedOn w:val="1"/>
    <w:next w:val="1"/>
    <w:link w:val="35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7">
    <w:name w:val="heading 4"/>
    <w:basedOn w:val="1"/>
    <w:next w:val="1"/>
    <w:link w:val="36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8">
    <w:name w:val="heading 5"/>
    <w:basedOn w:val="1"/>
    <w:next w:val="1"/>
    <w:link w:val="37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9">
    <w:name w:val="heading 6"/>
    <w:basedOn w:val="1"/>
    <w:next w:val="1"/>
    <w:link w:val="38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10">
    <w:name w:val="heading 7"/>
    <w:basedOn w:val="1"/>
    <w:next w:val="1"/>
    <w:link w:val="39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8"/>
    <w:basedOn w:val="1"/>
    <w:next w:val="1"/>
    <w:link w:val="40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heading 9"/>
    <w:basedOn w:val="1"/>
    <w:next w:val="1"/>
    <w:link w:val="41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8">
    <w:name w:val="Default Paragraph Font"/>
    <w:semiHidden/>
    <w:unhideWhenUsed/>
    <w:qFormat/>
    <w:uiPriority w:val="1"/>
  </w:style>
  <w:style w:type="table" w:default="1" w:styleId="2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/>
    </w:pPr>
    <w:rPr>
      <w:rFonts w:ascii="Times New Roman" w:eastAsia="宋体"/>
    </w:rPr>
  </w:style>
  <w:style w:type="paragraph" w:styleId="3">
    <w:name w:val="Body Text Indent"/>
    <w:basedOn w:val="1"/>
    <w:qFormat/>
    <w:uiPriority w:val="0"/>
    <w:pPr>
      <w:adjustRightInd w:val="0"/>
      <w:snapToGrid w:val="0"/>
      <w:spacing w:line="540" w:lineRule="atLeast"/>
      <w:ind w:firstLine="200" w:firstLineChars="200"/>
      <w:jc w:val="left"/>
    </w:pPr>
    <w:rPr>
      <w:rFonts w:ascii="黑体" w:eastAsia="黑体" w:cs="Times New Roman"/>
    </w:rPr>
  </w:style>
  <w:style w:type="paragraph" w:styleId="13">
    <w:name w:val="annotation text"/>
    <w:basedOn w:val="1"/>
    <w:link w:val="52"/>
    <w:unhideWhenUsed/>
    <w:qFormat/>
    <w:uiPriority w:val="99"/>
    <w:pPr>
      <w:jc w:val="left"/>
    </w:pPr>
    <w:rPr>
      <w:rFonts w:ascii="Times New Roman" w:hAnsi="Times New Roman" w:eastAsia="宋体" w:cs="Times New Roman"/>
      <w:sz w:val="32"/>
      <w14:ligatures w14:val="none"/>
    </w:rPr>
  </w:style>
  <w:style w:type="paragraph" w:styleId="14">
    <w:name w:val="toc 3"/>
    <w:basedOn w:val="1"/>
    <w:next w:val="1"/>
    <w:autoRedefine/>
    <w:unhideWhenUsed/>
    <w:qFormat/>
    <w:uiPriority w:val="39"/>
    <w:pPr>
      <w:ind w:left="840" w:leftChars="400"/>
    </w:pPr>
  </w:style>
  <w:style w:type="paragraph" w:styleId="15">
    <w:name w:val="Date"/>
    <w:basedOn w:val="1"/>
    <w:next w:val="1"/>
    <w:link w:val="61"/>
    <w:semiHidden/>
    <w:unhideWhenUsed/>
    <w:qFormat/>
    <w:uiPriority w:val="99"/>
    <w:pPr>
      <w:ind w:left="100" w:leftChars="2500"/>
    </w:pPr>
  </w:style>
  <w:style w:type="paragraph" w:styleId="16">
    <w:name w:val="Balloon Text"/>
    <w:basedOn w:val="1"/>
    <w:unhideWhenUsed/>
    <w:qFormat/>
    <w:uiPriority w:val="99"/>
    <w:rPr>
      <w:sz w:val="18"/>
      <w:szCs w:val="18"/>
    </w:rPr>
  </w:style>
  <w:style w:type="paragraph" w:styleId="17">
    <w:name w:val="footer"/>
    <w:basedOn w:val="1"/>
    <w:link w:val="5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header"/>
    <w:basedOn w:val="1"/>
    <w:link w:val="5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toc 1"/>
    <w:basedOn w:val="1"/>
    <w:next w:val="1"/>
    <w:autoRedefine/>
    <w:unhideWhenUsed/>
    <w:qFormat/>
    <w:uiPriority w:val="39"/>
  </w:style>
  <w:style w:type="paragraph" w:styleId="20">
    <w:name w:val="Subtitle"/>
    <w:basedOn w:val="1"/>
    <w:next w:val="1"/>
    <w:link w:val="43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1">
    <w:name w:val="footnote text"/>
    <w:basedOn w:val="1"/>
    <w:link w:val="53"/>
    <w:unhideWhenUsed/>
    <w:qFormat/>
    <w:uiPriority w:val="99"/>
    <w:pPr>
      <w:snapToGrid w:val="0"/>
      <w:jc w:val="left"/>
    </w:pPr>
    <w:rPr>
      <w:sz w:val="18"/>
      <w:szCs w:val="18"/>
    </w:rPr>
  </w:style>
  <w:style w:type="paragraph" w:styleId="22">
    <w:name w:val="toc 2"/>
    <w:basedOn w:val="1"/>
    <w:next w:val="1"/>
    <w:autoRedefine/>
    <w:unhideWhenUsed/>
    <w:qFormat/>
    <w:uiPriority w:val="39"/>
    <w:pPr>
      <w:ind w:left="420" w:leftChars="200"/>
    </w:pPr>
  </w:style>
  <w:style w:type="paragraph" w:styleId="23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paragraph" w:styleId="24">
    <w:name w:val="Title"/>
    <w:basedOn w:val="1"/>
    <w:next w:val="1"/>
    <w:link w:val="42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5">
    <w:name w:val="annotation subject"/>
    <w:basedOn w:val="13"/>
    <w:next w:val="13"/>
    <w:link w:val="58"/>
    <w:semiHidden/>
    <w:unhideWhenUsed/>
    <w:qFormat/>
    <w:uiPriority w:val="99"/>
    <w:rPr>
      <w:rFonts w:asciiTheme="minorHAnsi" w:hAnsiTheme="minorHAnsi" w:eastAsiaTheme="minorEastAsia" w:cstheme="minorBidi"/>
      <w:b/>
      <w:bCs/>
      <w:sz w:val="21"/>
      <w14:ligatures w14:val="standardContextual"/>
    </w:rPr>
  </w:style>
  <w:style w:type="table" w:styleId="27">
    <w:name w:val="Table Grid"/>
    <w:basedOn w:val="2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9">
    <w:name w:val="Strong"/>
    <w:basedOn w:val="28"/>
    <w:qFormat/>
    <w:uiPriority w:val="0"/>
    <w:rPr>
      <w:b/>
    </w:rPr>
  </w:style>
  <w:style w:type="character" w:styleId="30">
    <w:name w:val="Hyperlink"/>
    <w:basedOn w:val="28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31">
    <w:name w:val="annotation reference"/>
    <w:basedOn w:val="28"/>
    <w:semiHidden/>
    <w:unhideWhenUsed/>
    <w:qFormat/>
    <w:uiPriority w:val="99"/>
    <w:rPr>
      <w:sz w:val="21"/>
      <w:szCs w:val="21"/>
    </w:rPr>
  </w:style>
  <w:style w:type="character" w:styleId="32">
    <w:name w:val="footnote reference"/>
    <w:basedOn w:val="28"/>
    <w:unhideWhenUsed/>
    <w:qFormat/>
    <w:uiPriority w:val="99"/>
    <w:rPr>
      <w:vertAlign w:val="superscript"/>
    </w:rPr>
  </w:style>
  <w:style w:type="character" w:customStyle="1" w:styleId="33">
    <w:name w:val="标题 1 字符"/>
    <w:basedOn w:val="28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34">
    <w:name w:val="标题 2 字符"/>
    <w:basedOn w:val="28"/>
    <w:link w:val="5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35">
    <w:name w:val="标题 3 字符"/>
    <w:basedOn w:val="28"/>
    <w:link w:val="6"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36">
    <w:name w:val="标题 4 字符"/>
    <w:basedOn w:val="28"/>
    <w:link w:val="7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37">
    <w:name w:val="标题 5 字符"/>
    <w:basedOn w:val="28"/>
    <w:link w:val="8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8">
    <w:name w:val="标题 6 字符"/>
    <w:basedOn w:val="28"/>
    <w:link w:val="9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9">
    <w:name w:val="标题 7 字符"/>
    <w:basedOn w:val="28"/>
    <w:link w:val="10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">
    <w:name w:val="标题 8 字符"/>
    <w:basedOn w:val="28"/>
    <w:link w:val="11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1">
    <w:name w:val="标题 9 字符"/>
    <w:basedOn w:val="28"/>
    <w:link w:val="12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2">
    <w:name w:val="标题 字符"/>
    <w:basedOn w:val="28"/>
    <w:link w:val="2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43">
    <w:name w:val="副标题 字符"/>
    <w:basedOn w:val="28"/>
    <w:link w:val="20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44">
    <w:name w:val="Quote"/>
    <w:basedOn w:val="1"/>
    <w:next w:val="1"/>
    <w:link w:val="45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5">
    <w:name w:val="引用 字符"/>
    <w:basedOn w:val="28"/>
    <w:link w:val="4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6">
    <w:name w:val="List Paragraph"/>
    <w:basedOn w:val="1"/>
    <w:qFormat/>
    <w:uiPriority w:val="34"/>
    <w:pPr>
      <w:ind w:left="720"/>
      <w:contextualSpacing/>
    </w:pPr>
  </w:style>
  <w:style w:type="character" w:customStyle="1" w:styleId="47">
    <w:name w:val="明显强调1"/>
    <w:basedOn w:val="28"/>
    <w:qFormat/>
    <w:uiPriority w:val="21"/>
    <w:rPr>
      <w:i/>
      <w:iCs/>
      <w:color w:val="104862" w:themeColor="accent1" w:themeShade="BF"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9">
    <w:name w:val="明显引用 字符"/>
    <w:basedOn w:val="28"/>
    <w:link w:val="48"/>
    <w:qFormat/>
    <w:uiPriority w:val="30"/>
    <w:rPr>
      <w:i/>
      <w:iCs/>
      <w:color w:val="104862" w:themeColor="accent1" w:themeShade="BF"/>
    </w:rPr>
  </w:style>
  <w:style w:type="character" w:customStyle="1" w:styleId="50">
    <w:name w:val="明显参考1"/>
    <w:basedOn w:val="2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51">
    <w:name w:val="未处理的提及1"/>
    <w:basedOn w:val="2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52">
    <w:name w:val="批注文字 字符"/>
    <w:basedOn w:val="28"/>
    <w:link w:val="13"/>
    <w:qFormat/>
    <w:uiPriority w:val="99"/>
    <w:rPr>
      <w:rFonts w:ascii="Times New Roman" w:hAnsi="Times New Roman" w:eastAsia="宋体" w:cs="Times New Roman"/>
      <w:sz w:val="32"/>
      <w14:ligatures w14:val="none"/>
    </w:rPr>
  </w:style>
  <w:style w:type="character" w:customStyle="1" w:styleId="53">
    <w:name w:val="脚注文本 字符"/>
    <w:basedOn w:val="28"/>
    <w:link w:val="21"/>
    <w:semiHidden/>
    <w:qFormat/>
    <w:uiPriority w:val="99"/>
    <w:rPr>
      <w:sz w:val="18"/>
      <w:szCs w:val="18"/>
    </w:rPr>
  </w:style>
  <w:style w:type="character" w:customStyle="1" w:styleId="54">
    <w:name w:val="无"/>
    <w:qFormat/>
    <w:uiPriority w:val="0"/>
    <w:rPr>
      <w:lang w:val="zh-Hans" w:eastAsia="zh-Hans"/>
    </w:rPr>
  </w:style>
  <w:style w:type="character" w:customStyle="1" w:styleId="55">
    <w:name w:val="页眉 字符"/>
    <w:basedOn w:val="28"/>
    <w:link w:val="18"/>
    <w:qFormat/>
    <w:uiPriority w:val="99"/>
    <w:rPr>
      <w:sz w:val="18"/>
      <w:szCs w:val="18"/>
    </w:rPr>
  </w:style>
  <w:style w:type="character" w:customStyle="1" w:styleId="56">
    <w:name w:val="页脚 字符"/>
    <w:basedOn w:val="28"/>
    <w:link w:val="17"/>
    <w:qFormat/>
    <w:uiPriority w:val="99"/>
    <w:rPr>
      <w:sz w:val="18"/>
      <w:szCs w:val="18"/>
    </w:rPr>
  </w:style>
  <w:style w:type="paragraph" w:customStyle="1" w:styleId="57">
    <w:name w:val="TOC 标题1"/>
    <w:basedOn w:val="4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kern w:val="0"/>
      <w:sz w:val="32"/>
      <w:szCs w:val="32"/>
      <w14:ligatures w14:val="none"/>
    </w:rPr>
  </w:style>
  <w:style w:type="character" w:customStyle="1" w:styleId="58">
    <w:name w:val="批注主题 字符"/>
    <w:basedOn w:val="52"/>
    <w:link w:val="25"/>
    <w:semiHidden/>
    <w:qFormat/>
    <w:uiPriority w:val="99"/>
    <w:rPr>
      <w:rFonts w:ascii="Times New Roman" w:hAnsi="Times New Roman" w:eastAsia="宋体" w:cs="Times New Roman"/>
      <w:b/>
      <w:bCs/>
      <w:sz w:val="32"/>
      <w14:ligatures w14:val="none"/>
    </w:rPr>
  </w:style>
  <w:style w:type="paragraph" w:styleId="59">
    <w:name w:val="No Spacing"/>
    <w:link w:val="60"/>
    <w:qFormat/>
    <w:uiPriority w:val="1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customStyle="1" w:styleId="60">
    <w:name w:val="无间隔 字符"/>
    <w:basedOn w:val="28"/>
    <w:link w:val="59"/>
    <w:qFormat/>
    <w:uiPriority w:val="1"/>
    <w:rPr>
      <w:kern w:val="0"/>
      <w:sz w:val="22"/>
      <w14:ligatures w14:val="none"/>
    </w:rPr>
  </w:style>
  <w:style w:type="character" w:customStyle="1" w:styleId="61">
    <w:name w:val="日期 字符"/>
    <w:basedOn w:val="28"/>
    <w:link w:val="15"/>
    <w:semiHidden/>
    <w:qFormat/>
    <w:uiPriority w:val="99"/>
  </w:style>
  <w:style w:type="paragraph" w:customStyle="1" w:styleId="62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customStyle="1" w:styleId="63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customStyle="1" w:styleId="64">
    <w:name w:val="修订3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customStyle="1" w:styleId="65">
    <w:name w:val="修订4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customStyle="1" w:styleId="66">
    <w:name w:val="修订5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customStyle="1" w:styleId="67">
    <w:name w:val="修订6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customStyle="1" w:styleId="68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30D245E-5D92-4CEC-83AB-212803E9502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8164</Words>
  <Characters>8321</Characters>
  <Lines>357</Lines>
  <Paragraphs>254</Paragraphs>
  <TotalTime>0</TotalTime>
  <ScaleCrop>false</ScaleCrop>
  <LinksUpToDate>false</LinksUpToDate>
  <CharactersWithSpaces>8322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2026-11-02T14:20:00Z</dcterms:created>
  <dc:creator>Tinsley Ma</dc:creator>
  <cp:lastModifiedBy>Dan</cp:lastModifiedBy>
  <dcterms:modified xsi:type="dcterms:W3CDTF">2026-11-05T02:43:10Z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eyJoZGlkIjoiMTE4ZTBjYzllMDViODBiZWY3ZTg5OWFhZTcxOThlYWIiLCJ1c2VySWQiOiI0NDYwMjQ1MDAifQ==</vt:lpwstr>
  </property>
  <property fmtid="{D5CDD505-2E9C-101B-9397-08002B2CF9AE}" pid="3" name="KSOProductBuildVer">
    <vt:lpwstr>2052-12.1.0.20784</vt:lpwstr>
  </property>
  <property fmtid="{D5CDD505-2E9C-101B-9397-08002B2CF9AE}" pid="4" name="ICV">
    <vt:lpwstr>2CD733F9B74D425290873E2F1A3C5F10_13</vt:lpwstr>
  </property>
</Properties>
</file>