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8228B">
      <w:pPr>
        <w:pStyle w:val="2"/>
        <w:widowControl/>
        <w:spacing w:line="560" w:lineRule="exact"/>
        <w:jc w:val="center"/>
        <w:rPr>
          <w:rFonts w:ascii="方正小标宋简体" w:hAnsi="方正小标宋简体" w:eastAsia="方正小标宋简体" w:cs="方正小标宋简体"/>
          <w:b w:val="0"/>
          <w:bCs w:val="0"/>
          <w:kern w:val="2"/>
          <w:sz w:val="44"/>
          <w:szCs w:val="44"/>
        </w:rPr>
      </w:pPr>
      <w:bookmarkStart w:id="0" w:name="_GoBack"/>
      <w:r>
        <w:rPr>
          <w:rFonts w:ascii="方正小标宋简体" w:hAnsi="方正小标宋简体" w:eastAsia="方正小标宋简体" w:cs="方正小标宋简体"/>
          <w:b w:val="0"/>
          <w:bCs w:val="0"/>
          <w:kern w:val="2"/>
          <w:sz w:val="44"/>
          <w:szCs w:val="44"/>
        </w:rPr>
        <w:t>关于《昌平区“十五五”时期高精尖产业发展规划》的起草说明</w:t>
      </w:r>
    </w:p>
    <w:bookmarkEnd w:id="0"/>
    <w:p w14:paraId="575646B2"/>
    <w:p w14:paraId="24B0ED60">
      <w:pPr>
        <w:pStyle w:val="4"/>
        <w:spacing w:after="0" w:line="56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一、起草背景</w:t>
      </w:r>
    </w:p>
    <w:p w14:paraId="107744C5">
      <w:pPr>
        <w:pStyle w:val="5"/>
        <w:spacing w:beforeAutospacing="0" w:afterAutospacing="0" w:line="560" w:lineRule="exact"/>
        <w:ind w:firstLine="640" w:firstLineChars="200"/>
        <w:jc w:val="both"/>
        <w:rPr>
          <w:rFonts w:hint="eastAsia" w:ascii="仿宋_GB2312" w:hAnsi="仿宋_GB2312" w:eastAsia="仿宋_GB2312" w:cs="Times New Roman"/>
          <w:kern w:val="2"/>
          <w:sz w:val="32"/>
          <w:szCs w:val="22"/>
        </w:rPr>
      </w:pPr>
      <w:r>
        <w:rPr>
          <w:rFonts w:hint="eastAsia" w:ascii="仿宋_GB2312" w:hAnsi="仿宋_GB2312" w:eastAsia="仿宋_GB2312" w:cs="Times New Roman"/>
          <w:kern w:val="2"/>
          <w:sz w:val="32"/>
          <w:szCs w:val="22"/>
        </w:rPr>
        <w:t>高精尖产业是昌平区培育新质生产力、推动经济高质量发展的重要支撑。昌平区依托“生命谷”“能源谷”和沙河高教园等创新资源，集聚中央企业、高校院所和高能级创新平台，医药健康、先进能源、先进制造三大主导产业形成较好基础，新兴产业和未来产业加快布局。2025年，全区高精尖产业规模达4160亿元，为“十五五”时期产业发展奠定了基础。</w:t>
      </w:r>
    </w:p>
    <w:p w14:paraId="0555ECF1">
      <w:pPr>
        <w:pStyle w:val="5"/>
        <w:spacing w:beforeAutospacing="0" w:afterAutospacing="0" w:line="560" w:lineRule="exact"/>
        <w:ind w:firstLine="640" w:firstLineChars="200"/>
        <w:jc w:val="both"/>
        <w:rPr>
          <w:rFonts w:hint="eastAsia" w:ascii="仿宋_GB2312" w:hAnsi="仿宋_GB2312" w:eastAsia="仿宋_GB2312" w:cs="Times New Roman"/>
          <w:kern w:val="2"/>
          <w:sz w:val="32"/>
          <w:szCs w:val="22"/>
        </w:rPr>
      </w:pPr>
      <w:r>
        <w:rPr>
          <w:rFonts w:hint="eastAsia" w:ascii="仿宋_GB2312" w:hAnsi="仿宋_GB2312" w:eastAsia="仿宋_GB2312" w:cs="Times New Roman"/>
          <w:kern w:val="2"/>
          <w:sz w:val="32"/>
          <w:szCs w:val="22"/>
        </w:rPr>
        <w:t>当前，新一轮科技革命和产业变革纵深推进，产业发展进入快速迭代、格局重塑的关键时期，对昌平区强化创新策源、加快成果转化、提升产业竞争力提出了新要求。为将科技创新优势转化为产业发展优势，根据《北京市“十五五”时期高精尖产业发展规划》和《昌平区国民经济和社会发展第十五个五年规划纲要》，制定本规划。</w:t>
      </w:r>
    </w:p>
    <w:p w14:paraId="472CAEAC">
      <w:pPr>
        <w:pStyle w:val="4"/>
        <w:spacing w:after="0" w:line="56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二、起草过程</w:t>
      </w:r>
    </w:p>
    <w:p w14:paraId="3A1F0D47">
      <w:pPr>
        <w:pStyle w:val="5"/>
        <w:spacing w:beforeAutospacing="0" w:afterAutospacing="0" w:line="560" w:lineRule="exact"/>
        <w:ind w:firstLine="640" w:firstLineChars="200"/>
        <w:jc w:val="both"/>
        <w:rPr>
          <w:rFonts w:hint="eastAsia" w:ascii="仿宋_GB2312" w:hAnsi="仿宋_GB2312" w:eastAsia="仿宋_GB2312" w:cs="Times New Roman"/>
          <w:kern w:val="2"/>
          <w:sz w:val="32"/>
          <w:szCs w:val="22"/>
        </w:rPr>
      </w:pPr>
      <w:r>
        <w:rPr>
          <w:rFonts w:hint="eastAsia" w:ascii="仿宋_GB2312" w:hAnsi="仿宋_GB2312" w:eastAsia="仿宋_GB2312" w:cs="Times New Roman"/>
          <w:kern w:val="2"/>
          <w:sz w:val="32"/>
          <w:szCs w:val="22"/>
        </w:rPr>
        <w:t>一是注重政策规划衔接。围绕国家和北京市有关部署，立足首都城市战略定位和昌平区功能定位，统筹发展目标、产业方向与重点任务，推动规划与上位规划及相关专项工作相衔接。</w:t>
      </w:r>
    </w:p>
    <w:p w14:paraId="7B4D2393">
      <w:pPr>
        <w:pStyle w:val="5"/>
        <w:spacing w:beforeAutospacing="0" w:afterAutospacing="0" w:line="560" w:lineRule="exact"/>
        <w:ind w:firstLine="640" w:firstLineChars="200"/>
        <w:jc w:val="both"/>
        <w:rPr>
          <w:rFonts w:hint="eastAsia" w:ascii="仿宋_GB2312" w:hAnsi="仿宋_GB2312" w:eastAsia="仿宋_GB2312" w:cs="Times New Roman"/>
          <w:kern w:val="2"/>
          <w:sz w:val="32"/>
          <w:szCs w:val="22"/>
        </w:rPr>
      </w:pPr>
      <w:r>
        <w:rPr>
          <w:rFonts w:hint="eastAsia" w:ascii="仿宋_GB2312" w:hAnsi="仿宋_GB2312" w:eastAsia="仿宋_GB2312" w:cs="Times New Roman"/>
          <w:kern w:val="2"/>
          <w:sz w:val="32"/>
          <w:szCs w:val="22"/>
        </w:rPr>
        <w:t>二是注重产业发展研究。结合产业基础和创新资源条件，围绕主导产业提质升级、新兴产业集群发展和未来产业前瞻布局，明确重点赛道与发展路径，统筹科技创新、成果转化和企业培育。</w:t>
      </w:r>
    </w:p>
    <w:p w14:paraId="27E88806">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三是注重任务项目谋划。围绕产业发展和空间承载需求，将重点任务与重大项目、创新平台、园区建设相结合，配套设置目标指标、重点任务和重点项目清单，强化规划实施支撑。</w:t>
      </w:r>
    </w:p>
    <w:p w14:paraId="04202104">
      <w:pPr>
        <w:pStyle w:val="4"/>
        <w:spacing w:after="0" w:line="560" w:lineRule="exact"/>
        <w:ind w:firstLine="640" w:firstLineChars="200"/>
        <w:outlineLvl w:val="0"/>
        <w:rPr>
          <w:rFonts w:hint="eastAsia" w:ascii="黑体" w:hAnsi="黑体" w:eastAsia="黑体" w:cs="黑体"/>
          <w:sz w:val="32"/>
          <w:szCs w:val="32"/>
        </w:rPr>
      </w:pPr>
      <w:r>
        <w:rPr>
          <w:rFonts w:hint="eastAsia" w:ascii="黑体" w:hAnsi="黑体" w:eastAsia="黑体" w:cs="黑体"/>
          <w:sz w:val="32"/>
          <w:szCs w:val="32"/>
        </w:rPr>
        <w:t>三、主要内容</w:t>
      </w:r>
    </w:p>
    <w:p w14:paraId="18048174">
      <w:pPr>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规划以构建创新引领、梯次衔接、开放协同的高精尖产业体系为主线，正文包括七部分，另附发展目标分指标解释、重点任务清单和重点项目清单。</w:t>
      </w:r>
    </w:p>
    <w:p w14:paraId="1312FD5B">
      <w:pPr>
        <w:pStyle w:val="4"/>
        <w:spacing w:after="0" w:line="560" w:lineRule="exact"/>
        <w:ind w:firstLine="640" w:firstLineChars="200"/>
        <w:rPr>
          <w:rFonts w:hint="eastAsia" w:ascii="仿宋_GB2312" w:hAnsi="仿宋_GB2312" w:eastAsia="仿宋_GB2312"/>
          <w:sz w:val="32"/>
          <w:szCs w:val="22"/>
        </w:rPr>
      </w:pPr>
      <w:r>
        <w:rPr>
          <w:rFonts w:hint="eastAsia" w:ascii="仿宋_GB2312" w:hAnsi="仿宋_GB2312" w:eastAsia="仿宋_GB2312"/>
          <w:sz w:val="32"/>
          <w:szCs w:val="22"/>
        </w:rPr>
        <w:t>（一）总体要求</w:t>
      </w:r>
    </w:p>
    <w:p w14:paraId="642DBE1F">
      <w:pPr>
        <w:spacing w:line="560" w:lineRule="exact"/>
        <w:ind w:firstLine="640" w:firstLineChars="200"/>
        <w:rPr>
          <w:rFonts w:hint="eastAsia" w:ascii="仿宋_GB2312" w:hAnsi="仿宋_GB2312" w:eastAsia="仿宋_GB2312"/>
          <w:sz w:val="32"/>
          <w:szCs w:val="22"/>
        </w:rPr>
      </w:pPr>
      <w:r>
        <w:rPr>
          <w:rFonts w:hint="eastAsia" w:ascii="仿宋_GB2312" w:hAnsi="仿宋_GB2312" w:eastAsia="仿宋_GB2312"/>
          <w:sz w:val="32"/>
          <w:szCs w:val="22"/>
        </w:rPr>
        <w:t>以习近平新时代中国特色社会主义思想为指导，牢牢把握首都城市战略定位，积极融入北京国际科技创新中心建设全局。明确到2030年，全区高精尖产业规模突破5500亿元，自主创新能力显著增强、产业结构持续优化、产业生态更加完善，成为全市高精尖产业发展的核心承载区和新质生产力培育的标杆示范区。</w:t>
      </w:r>
    </w:p>
    <w:p w14:paraId="0DB9691A">
      <w:pPr>
        <w:pStyle w:val="4"/>
        <w:spacing w:after="0"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（二）奋力推动高精尖产业跨越式发展</w:t>
      </w:r>
    </w:p>
    <w:p w14:paraId="62EE47F6">
      <w:pPr>
        <w:spacing w:line="560" w:lineRule="exact"/>
        <w:ind w:firstLine="640" w:firstLineChars="200"/>
        <w:rPr>
          <w:rFonts w:hint="eastAsia" w:ascii="仿宋_GB2312" w:hAnsi="仿宋_GB2312" w:eastAsia="仿宋_GB2312"/>
          <w:sz w:val="32"/>
          <w:szCs w:val="22"/>
        </w:rPr>
      </w:pPr>
      <w:r>
        <w:rPr>
          <w:rFonts w:hint="eastAsia" w:ascii="仿宋_GB2312" w:hAnsi="仿宋_GB2312" w:eastAsia="仿宋_GB2312"/>
          <w:sz w:val="32"/>
          <w:szCs w:val="22"/>
        </w:rPr>
        <w:t>巩固提升医药健康、先进能源、先进制造三大主导产业；推动合成生物制造、美丽健康、高端医疗器械、机器人、氢能、新型储能、能源互联网七类新兴产业强链成群；围绕未来产业成长方阵，重点发展脑科学与脑机接口、6G、细胞与基因治疗、量子科技等领域，形成梯次衔接的产业发展格局。</w:t>
      </w:r>
    </w:p>
    <w:p w14:paraId="2DD8CE84">
      <w:pPr>
        <w:pStyle w:val="3"/>
        <w:spacing w:beforeAutospacing="0" w:afterAutospacing="0" w:line="560" w:lineRule="exact"/>
        <w:ind w:firstLine="640" w:firstLineChars="200"/>
        <w:jc w:val="both"/>
        <w:rPr>
          <w:rFonts w:ascii="楷体_GB2312" w:hAnsi="楷体_GB2312" w:eastAsia="楷体_GB2312" w:cs="楷体_GB2312"/>
          <w:b w:val="0"/>
          <w:bCs w:val="0"/>
          <w:kern w:val="2"/>
          <w:sz w:val="32"/>
          <w:szCs w:val="32"/>
        </w:rPr>
      </w:pPr>
      <w:r>
        <w:rPr>
          <w:rFonts w:ascii="楷体_GB2312" w:hAnsi="楷体_GB2312" w:eastAsia="楷体_GB2312" w:cs="楷体_GB2312"/>
          <w:b w:val="0"/>
          <w:bCs w:val="0"/>
          <w:kern w:val="2"/>
          <w:sz w:val="32"/>
          <w:szCs w:val="32"/>
        </w:rPr>
        <w:t>（三）加快推进科技创新与产业创新融合发展</w:t>
      </w:r>
    </w:p>
    <w:p w14:paraId="25FEB167">
      <w:pPr>
        <w:pStyle w:val="5"/>
        <w:spacing w:beforeAutospacing="0" w:afterAutospacing="0" w:line="560" w:lineRule="exact"/>
        <w:ind w:firstLine="640" w:firstLineChars="200"/>
        <w:jc w:val="both"/>
        <w:rPr>
          <w:rFonts w:hint="eastAsia" w:ascii="仿宋_GB2312" w:hAnsi="仿宋_GB2312" w:eastAsia="仿宋_GB2312" w:cs="Times New Roman"/>
          <w:kern w:val="2"/>
          <w:sz w:val="32"/>
          <w:szCs w:val="22"/>
        </w:rPr>
      </w:pPr>
      <w:r>
        <w:rPr>
          <w:rFonts w:hint="eastAsia" w:ascii="仿宋_GB2312" w:hAnsi="仿宋_GB2312" w:eastAsia="仿宋_GB2312" w:cs="Times New Roman"/>
          <w:kern w:val="2"/>
          <w:sz w:val="32"/>
          <w:szCs w:val="22"/>
        </w:rPr>
        <w:t>聚力推进产学研协同创新，支持创新联合体和共性技术平台建设，加强关键核心技术攻关。强化企业创新主体地位，完善企业梯度培育体系。提升概念验证、中试和公共技术服务能力，推动央企科技成果在昌转化，强化科技金融、创新载体和人才支撑。</w:t>
      </w:r>
    </w:p>
    <w:p w14:paraId="1B8DAE97">
      <w:pPr>
        <w:pStyle w:val="3"/>
        <w:spacing w:beforeAutospacing="0" w:afterAutospacing="0" w:line="560" w:lineRule="exact"/>
        <w:ind w:firstLine="640" w:firstLineChars="200"/>
        <w:jc w:val="both"/>
        <w:rPr>
          <w:rFonts w:ascii="楷体_GB2312" w:hAnsi="楷体_GB2312" w:eastAsia="楷体_GB2312" w:cs="楷体_GB2312"/>
          <w:b w:val="0"/>
          <w:bCs w:val="0"/>
          <w:kern w:val="2"/>
          <w:sz w:val="32"/>
          <w:szCs w:val="32"/>
        </w:rPr>
      </w:pPr>
      <w:r>
        <w:rPr>
          <w:rFonts w:ascii="楷体_GB2312" w:hAnsi="楷体_GB2312" w:eastAsia="楷体_GB2312" w:cs="楷体_GB2312"/>
          <w:b w:val="0"/>
          <w:bCs w:val="0"/>
          <w:kern w:val="2"/>
          <w:sz w:val="32"/>
          <w:szCs w:val="32"/>
        </w:rPr>
        <w:t>（四）提升G6科创走廊与G45产业走廊发展能级</w:t>
      </w:r>
    </w:p>
    <w:p w14:paraId="23E46D8F">
      <w:pPr>
        <w:spacing w:line="560" w:lineRule="exact"/>
        <w:ind w:firstLine="640" w:firstLineChars="200"/>
        <w:rPr>
          <w:rFonts w:hint="eastAsia" w:ascii="仿宋_GB2312" w:hAnsi="仿宋_GB2312" w:eastAsia="仿宋_GB2312"/>
          <w:sz w:val="32"/>
          <w:szCs w:val="22"/>
        </w:rPr>
      </w:pPr>
      <w:r>
        <w:rPr>
          <w:rFonts w:hint="eastAsia" w:ascii="仿宋_GB2312" w:hAnsi="仿宋_GB2312" w:eastAsia="仿宋_GB2312"/>
          <w:sz w:val="32"/>
          <w:szCs w:val="22"/>
        </w:rPr>
        <w:t>依托两廊重点园区和产业节点，引育链主企业和专精特新企业，构建“研发—中试—产业化”全链条空间承载体系。统筹市政设施和新型基础设施建设，完善交通、能源和数字通信保障。坚持产城融合、职住平衡，优化教育、医疗、住房等配套，营造宜业宜居环境。</w:t>
      </w:r>
    </w:p>
    <w:p w14:paraId="3BCBD4EB">
      <w:pPr>
        <w:pStyle w:val="3"/>
        <w:spacing w:beforeAutospacing="0" w:afterAutospacing="0" w:line="560" w:lineRule="exact"/>
        <w:ind w:firstLine="640" w:firstLineChars="200"/>
        <w:jc w:val="both"/>
        <w:rPr>
          <w:rFonts w:ascii="楷体_GB2312" w:hAnsi="楷体_GB2312" w:eastAsia="楷体_GB2312" w:cs="楷体_GB2312"/>
          <w:b w:val="0"/>
          <w:bCs w:val="0"/>
          <w:kern w:val="2"/>
          <w:sz w:val="32"/>
          <w:szCs w:val="32"/>
        </w:rPr>
      </w:pPr>
      <w:r>
        <w:rPr>
          <w:rFonts w:ascii="楷体_GB2312" w:hAnsi="楷体_GB2312" w:eastAsia="楷体_GB2312" w:cs="楷体_GB2312"/>
          <w:b w:val="0"/>
          <w:bCs w:val="0"/>
          <w:kern w:val="2"/>
          <w:sz w:val="32"/>
          <w:szCs w:val="32"/>
        </w:rPr>
        <w:t>（五）推动高精尖产业智能化绿色化融合化发展</w:t>
      </w:r>
    </w:p>
    <w:p w14:paraId="6995F467">
      <w:pPr>
        <w:spacing w:line="560" w:lineRule="exact"/>
        <w:ind w:firstLine="640" w:firstLineChars="200"/>
        <w:rPr>
          <w:rFonts w:hint="eastAsia" w:ascii="仿宋_GB2312" w:hAnsi="仿宋_GB2312" w:eastAsia="仿宋_GB2312"/>
          <w:sz w:val="32"/>
          <w:szCs w:val="22"/>
        </w:rPr>
      </w:pPr>
      <w:r>
        <w:rPr>
          <w:rFonts w:hint="eastAsia" w:ascii="仿宋_GB2312" w:hAnsi="仿宋_GB2312" w:eastAsia="仿宋_GB2312"/>
          <w:sz w:val="32"/>
          <w:szCs w:val="22"/>
        </w:rPr>
        <w:t>强化人工智能赋能，推进数字产业化和产业数字化，提升算力、算法、数据供给能力。推进绿色低碳转型，探索建设零碳园区、零碳工厂，构建绿色智慧能源体系。深化工业互联网应用，推动现代服务业与先进制造业融合，发展服务型制造。</w:t>
      </w:r>
    </w:p>
    <w:p w14:paraId="5DCF4B77">
      <w:pPr>
        <w:pStyle w:val="3"/>
        <w:spacing w:beforeAutospacing="0" w:afterAutospacing="0" w:line="560" w:lineRule="exact"/>
        <w:ind w:firstLine="640" w:firstLineChars="200"/>
        <w:jc w:val="both"/>
        <w:rPr>
          <w:rFonts w:ascii="楷体_GB2312" w:hAnsi="楷体_GB2312" w:eastAsia="楷体_GB2312" w:cs="楷体_GB2312"/>
          <w:b w:val="0"/>
          <w:bCs w:val="0"/>
          <w:kern w:val="2"/>
          <w:sz w:val="32"/>
          <w:szCs w:val="32"/>
        </w:rPr>
      </w:pPr>
      <w:r>
        <w:rPr>
          <w:rFonts w:ascii="楷体_GB2312" w:hAnsi="楷体_GB2312" w:eastAsia="楷体_GB2312" w:cs="楷体_GB2312"/>
          <w:b w:val="0"/>
          <w:bCs w:val="0"/>
          <w:kern w:val="2"/>
          <w:sz w:val="32"/>
          <w:szCs w:val="32"/>
        </w:rPr>
        <w:t>（六）打造高层次协同开放发展格局</w:t>
      </w:r>
    </w:p>
    <w:p w14:paraId="6C8F1462">
      <w:pPr>
        <w:spacing w:line="560" w:lineRule="exact"/>
        <w:ind w:firstLine="640" w:firstLineChars="200"/>
        <w:rPr>
          <w:rFonts w:hint="eastAsia" w:ascii="仿宋_GB2312" w:hAnsi="仿宋_GB2312" w:eastAsia="仿宋_GB2312"/>
          <w:sz w:val="32"/>
          <w:szCs w:val="22"/>
        </w:rPr>
      </w:pPr>
      <w:r>
        <w:rPr>
          <w:rFonts w:hint="eastAsia" w:ascii="仿宋_GB2312" w:hAnsi="仿宋_GB2312" w:eastAsia="仿宋_GB2312"/>
          <w:sz w:val="32"/>
          <w:szCs w:val="22"/>
        </w:rPr>
        <w:t>深化“三城一区”和京津冀协同联动，以校城融合、央城融合、研城融合、产城融合促进创新资源共享和产业协作。依托“两区”建设提升开放能级，支持企业参与国际合作和组团出海。强化内需牵引，促进大中小企业融通发展，开放应用场景，推动供需对接。</w:t>
      </w:r>
    </w:p>
    <w:p w14:paraId="06D81318">
      <w:pPr>
        <w:pStyle w:val="3"/>
        <w:spacing w:beforeAutospacing="0" w:afterAutospacing="0" w:line="560" w:lineRule="exact"/>
        <w:ind w:firstLine="640" w:firstLineChars="200"/>
        <w:jc w:val="both"/>
        <w:rPr>
          <w:rFonts w:ascii="楷体_GB2312" w:hAnsi="楷体_GB2312" w:eastAsia="楷体_GB2312" w:cs="楷体_GB2312"/>
          <w:b w:val="0"/>
          <w:bCs w:val="0"/>
          <w:kern w:val="2"/>
          <w:sz w:val="32"/>
          <w:szCs w:val="32"/>
        </w:rPr>
      </w:pPr>
      <w:r>
        <w:rPr>
          <w:rFonts w:ascii="楷体_GB2312" w:hAnsi="楷体_GB2312" w:eastAsia="楷体_GB2312" w:cs="楷体_GB2312"/>
          <w:b w:val="0"/>
          <w:bCs w:val="0"/>
          <w:kern w:val="2"/>
          <w:sz w:val="32"/>
          <w:szCs w:val="32"/>
        </w:rPr>
        <w:t>（七）强化规划实施保障</w:t>
      </w:r>
    </w:p>
    <w:p w14:paraId="1F567A7C">
      <w:pPr>
        <w:spacing w:line="560" w:lineRule="exact"/>
        <w:ind w:firstLine="640" w:firstLineChars="200"/>
        <w:rPr>
          <w:rFonts w:hint="eastAsia" w:ascii="仿宋_GB2312" w:hAnsi="仿宋_GB2312" w:eastAsia="仿宋_GB2312"/>
          <w:sz w:val="32"/>
          <w:szCs w:val="22"/>
        </w:rPr>
      </w:pPr>
      <w:r>
        <w:rPr>
          <w:rFonts w:hint="eastAsia" w:ascii="仿宋_GB2312" w:hAnsi="仿宋_GB2312" w:eastAsia="仿宋_GB2312"/>
          <w:sz w:val="32"/>
          <w:szCs w:val="22"/>
        </w:rPr>
        <w:t>一是加强组织领导，建立区级领导牵头、多部门协同配合的工作机制。二是强化政策供给，完善重点产业支持政策及配套实施细则。三是优化营商环境，提升政务服务效能，健全常态化政企沟通机制。四是加强监测评估，开展年度、中期及末期评估，强化指标分解、督查考核和评估结果运用，推动各项任务落实。</w:t>
      </w:r>
    </w:p>
    <w:p w14:paraId="0CDDEC68">
      <w:pPr>
        <w:spacing w:line="560" w:lineRule="exact"/>
        <w:ind w:firstLine="420" w:firstLineChars="200"/>
      </w:pPr>
    </w:p>
    <w:p w14:paraId="3371ABA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3D7740"/>
    <w:rsid w:val="2E3D77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lang w:val="en-US" w:eastAsia="zh-CN"/>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unhideWhenUsed/>
    <w:qFormat/>
    <w:uiPriority w:val="99"/>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4"/>
      <w:lang w:val="en-US" w:eastAsia="zh-CN" w:bidi="ar"/>
    </w:r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2026-11-03T08:25:00Z</dcterms:created>
  <dc:creator>姜楠</dc:creator>
  <cp:lastModifiedBy>姜楠</cp:lastModifiedBy>
  <dcterms:modified xsi:type="dcterms:W3CDTF">2026-11-03T08:25:58Z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9ED21A1290AF43179D2410B90F8F622D_11</vt:lpwstr>
  </property>
  <property fmtid="{D5CDD505-2E9C-101B-9397-08002B2CF9AE}" pid="4" name="KSOTemplateDocerSaveRecord">
    <vt:lpwstr>eyJoZGlkIjoiMzEwNTM5NzYwMDRjMzkwZTVkZjY2ODkwMGIxNGU0OTUiLCJ1c2VySWQiOiIxNTU1Nzk1NzgxIn0=</vt:lpwstr>
  </property>
</Properties>
</file>