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23549">
      <w:pPr>
        <w:spacing w:after="0" w:line="560" w:lineRule="exact"/>
        <w:rPr>
          <w:rFonts w:ascii="Times New Roman" w:hAnsi="Times New Roman" w:eastAsia="黑体" w:cs="黑体"/>
          <w:color w:val="000000"/>
          <w:kern w:val="0"/>
          <w:sz w:val="32"/>
          <w:szCs w:val="32"/>
        </w:rPr>
      </w:pPr>
      <w:r>
        <w:rPr>
          <w:rFonts w:hint="eastAsia" w:ascii="Times New Roman" w:hAnsi="Times New Roman" w:eastAsia="黑体" w:cs="黑体"/>
          <w:color w:val="000000"/>
          <w:kern w:val="0"/>
          <w:sz w:val="32"/>
          <w:szCs w:val="32"/>
        </w:rPr>
        <w:t>附件1</w:t>
      </w:r>
    </w:p>
    <w:p w14:paraId="44530298">
      <w:pPr>
        <w:spacing w:after="0" w:line="560" w:lineRule="exact"/>
        <w:ind w:firstLine="120"/>
        <w:jc w:val="center"/>
        <w:rPr>
          <w:rFonts w:ascii="Times New Roman" w:hAnsi="Times New Roman" w:eastAsia="方正大标宋_GBK" w:cs="方正大标宋_GBK"/>
          <w:color w:val="000000"/>
          <w:kern w:val="0"/>
          <w:sz w:val="44"/>
          <w:szCs w:val="44"/>
        </w:rPr>
      </w:pPr>
    </w:p>
    <w:p w14:paraId="3F97493A">
      <w:pPr>
        <w:overflowPunct w:val="0"/>
        <w:spacing w:after="0" w:line="580" w:lineRule="exact"/>
        <w:jc w:val="center"/>
        <w:outlineLvl w:val="0"/>
        <w:rPr>
          <w:rFonts w:ascii="Times New Roman" w:hAnsi="Times New Roman" w:eastAsia="方正小标宋简体"/>
          <w:bCs/>
          <w:sz w:val="52"/>
          <w:szCs w:val="52"/>
        </w:rPr>
      </w:pPr>
      <w:bookmarkStart w:id="0" w:name="_Toc228971906"/>
      <w:bookmarkStart w:id="1" w:name="_Toc233027899"/>
      <w:bookmarkStart w:id="2" w:name="_Toc232065491"/>
      <w:bookmarkStart w:id="3" w:name="_Toc232065132"/>
      <w:bookmarkStart w:id="4" w:name="_Toc2027900985"/>
      <w:bookmarkStart w:id="5" w:name="_Toc233300186"/>
      <w:bookmarkStart w:id="6" w:name="_Toc24667"/>
      <w:bookmarkStart w:id="7" w:name="_Toc1838488260"/>
      <w:bookmarkStart w:id="8" w:name="_Toc1503070718"/>
      <w:bookmarkStart w:id="9" w:name="_Toc225779907"/>
      <w:bookmarkStart w:id="10" w:name="_Toc213404935"/>
      <w:bookmarkStart w:id="11" w:name="_Toc208499242"/>
      <w:bookmarkStart w:id="12" w:name="_Toc221284144"/>
      <w:bookmarkStart w:id="13" w:name="_Toc213082706"/>
      <w:bookmarkStart w:id="14" w:name="_Toc228266763"/>
      <w:bookmarkStart w:id="15" w:name="_Toc412650888"/>
      <w:bookmarkStart w:id="16" w:name="_Toc212737457"/>
      <w:bookmarkStart w:id="17" w:name="_Toc208499166"/>
      <w:bookmarkStart w:id="18" w:name="_Toc198897540"/>
      <w:bookmarkStart w:id="19" w:name="_Toc211069408"/>
      <w:bookmarkStart w:id="20" w:name="_Toc208576792"/>
      <w:bookmarkStart w:id="21" w:name="_Toc216697942"/>
      <w:bookmarkStart w:id="22" w:name="_Toc663933682"/>
      <w:bookmarkStart w:id="23" w:name="_Toc211612670"/>
      <w:r>
        <w:rPr>
          <w:rFonts w:ascii="Times New Roman" w:hAnsi="Times New Roman" w:eastAsia="方正小标宋简体"/>
          <w:bCs/>
          <w:sz w:val="44"/>
          <w:szCs w:val="44"/>
        </w:rPr>
        <w:t>昌平区</w:t>
      </w:r>
      <w:r>
        <w:rPr>
          <w:rFonts w:hint="eastAsia" w:ascii="Times New Roman" w:hAnsi="Times New Roman" w:eastAsia="方正小标宋简体"/>
          <w:bCs/>
          <w:sz w:val="44"/>
          <w:szCs w:val="44"/>
        </w:rPr>
        <w:t>“</w:t>
      </w:r>
      <w:r>
        <w:rPr>
          <w:rFonts w:ascii="Times New Roman" w:hAnsi="Times New Roman" w:eastAsia="方正小标宋简体"/>
          <w:bCs/>
          <w:sz w:val="44"/>
          <w:szCs w:val="44"/>
        </w:rPr>
        <w:t>十五五</w:t>
      </w:r>
      <w:r>
        <w:rPr>
          <w:rFonts w:hint="eastAsia" w:ascii="Times New Roman" w:hAnsi="Times New Roman" w:eastAsia="方正小标宋简体"/>
          <w:bCs/>
          <w:sz w:val="44"/>
          <w:szCs w:val="44"/>
        </w:rPr>
        <w:t>”</w:t>
      </w:r>
      <w:r>
        <w:rPr>
          <w:rFonts w:ascii="Times New Roman" w:hAnsi="Times New Roman" w:eastAsia="方正小标宋简体"/>
          <w:bCs/>
          <w:sz w:val="44"/>
          <w:szCs w:val="44"/>
        </w:rPr>
        <w:t>时期数字</w:t>
      </w:r>
      <w:bookmarkEnd w:id="0"/>
      <w:r>
        <w:rPr>
          <w:rFonts w:ascii="Times New Roman" w:hAnsi="Times New Roman" w:eastAsia="方正小标宋简体"/>
          <w:bCs/>
          <w:sz w:val="44"/>
          <w:szCs w:val="44"/>
        </w:rPr>
        <w:t>经济</w:t>
      </w:r>
      <w:bookmarkEnd w:id="1"/>
      <w:bookmarkEnd w:id="2"/>
      <w:bookmarkEnd w:id="3"/>
      <w:bookmarkEnd w:id="4"/>
      <w:bookmarkEnd w:id="5"/>
      <w:bookmarkEnd w:id="6"/>
      <w:bookmarkEnd w:id="7"/>
      <w:bookmarkStart w:id="24" w:name="_Toc232065133"/>
      <w:bookmarkStart w:id="25" w:name="_Toc233300187"/>
      <w:bookmarkStart w:id="26" w:name="_Toc218893358"/>
      <w:bookmarkStart w:id="27" w:name="_Toc17195"/>
      <w:bookmarkStart w:id="28" w:name="_Toc1477472784"/>
      <w:bookmarkStart w:id="29" w:name="_Toc232065492"/>
      <w:bookmarkStart w:id="30" w:name="_Toc228971907"/>
      <w:bookmarkStart w:id="31" w:name="_Toc233027900"/>
      <w:r>
        <w:rPr>
          <w:rFonts w:ascii="Times New Roman" w:hAnsi="Times New Roman" w:eastAsia="方正小标宋简体"/>
          <w:bCs/>
          <w:sz w:val="44"/>
          <w:szCs w:val="44"/>
        </w:rPr>
        <w:t>规划</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29E0FEE7">
      <w:pPr>
        <w:spacing w:after="0" w:line="580" w:lineRule="exact"/>
        <w:jc w:val="center"/>
        <w:rPr>
          <w:rFonts w:ascii="Times New Roman" w:hAnsi="Times New Roman" w:eastAsia="仿宋_GB2312"/>
          <w:sz w:val="32"/>
          <w:szCs w:val="32"/>
          <w:highlight w:val="yellow"/>
        </w:rPr>
      </w:pPr>
      <w:bookmarkStart w:id="32" w:name="_Toc74108898"/>
      <w:bookmarkStart w:id="33" w:name="_Toc516072150"/>
      <w:bookmarkStart w:id="34" w:name="_Toc1797426316"/>
      <w:bookmarkStart w:id="35" w:name="_Toc144631287"/>
      <w:bookmarkStart w:id="36" w:name="_Toc1528354284"/>
      <w:bookmarkStart w:id="37" w:name="_Toc1420129077"/>
      <w:bookmarkStart w:id="38" w:name="_Toc1020478045"/>
      <w:bookmarkStart w:id="39" w:name="_Toc1536568876"/>
      <w:bookmarkStart w:id="40" w:name="_Toc146780578"/>
      <w:bookmarkStart w:id="41" w:name="_Toc1007226173"/>
      <w:r>
        <w:rPr>
          <w:rFonts w:ascii="Times New Roman" w:hAnsi="Times New Roman" w:eastAsia="仿宋_GB2312"/>
          <w:sz w:val="32"/>
          <w:szCs w:val="32"/>
        </w:rPr>
        <w:t>（征求意见稿）</w:t>
      </w:r>
    </w:p>
    <w:p w14:paraId="379FACAD">
      <w:pPr>
        <w:spacing w:after="0" w:line="580" w:lineRule="exact"/>
        <w:ind w:firstLine="640" w:firstLineChars="200"/>
        <w:rPr>
          <w:rFonts w:ascii="Times New Roman" w:hAnsi="Times New Roman" w:eastAsia="仿宋_GB2312"/>
          <w:sz w:val="32"/>
          <w:szCs w:val="32"/>
        </w:rPr>
      </w:pPr>
    </w:p>
    <w:bookmarkEnd w:id="32"/>
    <w:bookmarkEnd w:id="33"/>
    <w:bookmarkEnd w:id="34"/>
    <w:bookmarkEnd w:id="35"/>
    <w:bookmarkEnd w:id="36"/>
    <w:bookmarkEnd w:id="37"/>
    <w:bookmarkEnd w:id="38"/>
    <w:bookmarkEnd w:id="39"/>
    <w:bookmarkEnd w:id="40"/>
    <w:bookmarkEnd w:id="41"/>
    <w:p w14:paraId="03B02AA4">
      <w:pPr>
        <w:spacing w:after="0" w:line="580" w:lineRule="exact"/>
        <w:ind w:firstLine="640" w:firstLineChars="200"/>
        <w:rPr>
          <w:rFonts w:ascii="Times New Roman" w:hAnsi="Times New Roman" w:eastAsia="仿宋_GB2312"/>
          <w:color w:val="000000"/>
          <w:sz w:val="32"/>
          <w:szCs w:val="32"/>
        </w:rPr>
      </w:pPr>
      <w:bookmarkStart w:id="42" w:name="_Toc13089"/>
      <w:bookmarkStart w:id="43" w:name="_Toc389352895"/>
      <w:bookmarkStart w:id="44" w:name="_Toc2123244426"/>
      <w:bookmarkStart w:id="45" w:name="_Toc639827192"/>
      <w:r>
        <w:rPr>
          <w:rFonts w:ascii="Times New Roman" w:hAnsi="Times New Roman" w:eastAsia="仿宋_GB2312"/>
          <w:color w:val="000000"/>
          <w:sz w:val="32"/>
          <w:szCs w:val="32"/>
        </w:rPr>
        <w:t>为筑牢昌平区数字经济发展根基，推动数字技术与实体经济深度融合，激活数字消费活力，引领全域数字化转型并谋划智能经济发展路径，根据《北京市昌平区国民经济和社会发展第十五个五年规划纲要》，制定本规划。</w:t>
      </w:r>
    </w:p>
    <w:bookmarkEnd w:id="42"/>
    <w:bookmarkEnd w:id="43"/>
    <w:bookmarkEnd w:id="44"/>
    <w:bookmarkEnd w:id="45"/>
    <w:p w14:paraId="18607520">
      <w:pPr>
        <w:keepLines/>
        <w:spacing w:after="0" w:line="580" w:lineRule="exact"/>
        <w:ind w:firstLine="643" w:firstLineChars="200"/>
        <w:outlineLvl w:val="0"/>
        <w:rPr>
          <w:rFonts w:ascii="Times New Roman" w:hAnsi="Times New Roman" w:eastAsia="黑体"/>
          <w:b/>
          <w:color w:val="000000"/>
          <w:kern w:val="44"/>
          <w:sz w:val="32"/>
          <w:szCs w:val="32"/>
        </w:rPr>
      </w:pPr>
      <w:bookmarkStart w:id="46" w:name="_Toc232065151"/>
      <w:bookmarkStart w:id="47" w:name="_Toc1447498342"/>
      <w:bookmarkStart w:id="48" w:name="_Toc1203242359"/>
      <w:bookmarkStart w:id="49" w:name="_Toc233300193"/>
      <w:bookmarkStart w:id="50" w:name="_Toc12108"/>
      <w:bookmarkStart w:id="51" w:name="_Toc1302531262"/>
      <w:r>
        <w:rPr>
          <w:rFonts w:ascii="Times New Roman" w:hAnsi="Times New Roman" w:eastAsia="黑体"/>
          <w:b/>
          <w:color w:val="000000"/>
          <w:kern w:val="44"/>
          <w:sz w:val="32"/>
          <w:szCs w:val="32"/>
        </w:rPr>
        <w:t>一、</w:t>
      </w:r>
      <w:bookmarkEnd w:id="46"/>
      <w:r>
        <w:rPr>
          <w:rFonts w:ascii="Times New Roman" w:hAnsi="Times New Roman" w:eastAsia="黑体"/>
          <w:b/>
          <w:color w:val="000000"/>
          <w:kern w:val="44"/>
          <w:sz w:val="32"/>
          <w:szCs w:val="32"/>
        </w:rPr>
        <w:t>总体要求</w:t>
      </w:r>
      <w:bookmarkEnd w:id="47"/>
      <w:bookmarkEnd w:id="48"/>
      <w:bookmarkEnd w:id="49"/>
      <w:bookmarkEnd w:id="50"/>
      <w:bookmarkEnd w:id="51"/>
    </w:p>
    <w:p w14:paraId="477A1229">
      <w:pPr>
        <w:spacing w:after="0" w:line="580" w:lineRule="exact"/>
        <w:ind w:firstLine="640" w:firstLineChars="200"/>
        <w:rPr>
          <w:rFonts w:ascii="Times New Roman" w:hAnsi="Times New Roman" w:eastAsia="仿宋_GB2312"/>
          <w:sz w:val="32"/>
          <w:szCs w:val="32"/>
        </w:rPr>
      </w:pPr>
      <w:bookmarkStart w:id="52" w:name="OLE_LINK17"/>
      <w:r>
        <w:rPr>
          <w:rFonts w:ascii="Times New Roman" w:hAnsi="Times New Roman" w:eastAsia="仿宋_GB2312"/>
          <w:sz w:val="32"/>
          <w:szCs w:val="32"/>
        </w:rPr>
        <w:t>以习近平新时代中国特色社会主义思想为指导，深入贯彻习近平总书记关于数字经济重要论述和对北京重要讲话精神，以新时代首都发展为统领，以推动高质量发展为主题，立足昌平</w:t>
      </w:r>
      <w:r>
        <w:rPr>
          <w:rFonts w:hint="eastAsia" w:ascii="Times New Roman" w:hAnsi="Times New Roman" w:eastAsia="仿宋_GB2312"/>
          <w:sz w:val="32"/>
          <w:szCs w:val="32"/>
        </w:rPr>
        <w:t>“</w:t>
      </w:r>
      <w:r>
        <w:rPr>
          <w:rFonts w:ascii="Times New Roman" w:hAnsi="Times New Roman" w:eastAsia="仿宋_GB2312"/>
          <w:sz w:val="32"/>
          <w:szCs w:val="32"/>
        </w:rPr>
        <w:t>四区</w:t>
      </w:r>
      <w:r>
        <w:rPr>
          <w:rFonts w:hint="eastAsia" w:ascii="Times New Roman" w:hAnsi="Times New Roman" w:eastAsia="仿宋_GB2312"/>
          <w:sz w:val="32"/>
          <w:szCs w:val="32"/>
        </w:rPr>
        <w:t>”</w:t>
      </w:r>
      <w:r>
        <w:rPr>
          <w:rFonts w:ascii="Times New Roman" w:hAnsi="Times New Roman" w:eastAsia="仿宋_GB2312"/>
          <w:sz w:val="32"/>
          <w:szCs w:val="32"/>
        </w:rPr>
        <w:t>定位，发挥未来科学城、沙河高教园科教资源和先进制造优势，以人工智能为引领，统筹推进数字产业化和产业数字化，夯实算力底座，深化数实融合，前瞻布局机器人、6G、脑机接口等未来赛道，提升数字经济核心竞争力、数实融合力和创新策源力，将昌平打造成为以人工智能为引领的数字经济发展高地。</w:t>
      </w:r>
    </w:p>
    <w:bookmarkEnd w:id="52"/>
    <w:p w14:paraId="311777F3">
      <w:pPr>
        <w:spacing w:after="0" w:line="580" w:lineRule="exact"/>
        <w:ind w:firstLine="640" w:firstLineChars="200"/>
        <w:rPr>
          <w:rFonts w:ascii="Times New Roman" w:hAnsi="Times New Roman" w:eastAsia="仿宋_GB2312"/>
          <w:sz w:val="32"/>
          <w:szCs w:val="32"/>
        </w:rPr>
      </w:pPr>
      <w:bookmarkStart w:id="53" w:name="OLE_LINK20"/>
      <w:bookmarkStart w:id="54" w:name="OLE_LINK21"/>
      <w:r>
        <w:rPr>
          <w:rFonts w:ascii="Times New Roman" w:hAnsi="Times New Roman" w:eastAsia="仿宋_GB2312"/>
          <w:sz w:val="32"/>
          <w:szCs w:val="32"/>
        </w:rPr>
        <w:t>到2030年，数字技术全方位赋能产业变革，带动产业体系向智能化、绿色化、融合化加速演进。新型基础设施支撑能力显著增强，数据要素价值加速释放，人工智能创新生态日趋完善，全域协同的数字经济新格局基本形成，推动昌平成为北京打造全球数字经济标杆城市的新生力量。</w:t>
      </w:r>
    </w:p>
    <w:p w14:paraId="6C6182EF">
      <w:pPr>
        <w:spacing w:after="0" w:line="580" w:lineRule="exact"/>
        <w:ind w:firstLine="640" w:firstLineChars="200"/>
        <w:rPr>
          <w:rFonts w:ascii="Times New Roman" w:hAnsi="Times New Roman" w:eastAsia="仿宋_GB2312"/>
          <w:sz w:val="32"/>
          <w:szCs w:val="32"/>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1"/>
          <w:cols w:space="425" w:num="1"/>
          <w:docGrid w:type="lines" w:linePitch="312" w:charSpace="0"/>
        </w:sectPr>
      </w:pPr>
    </w:p>
    <w:p w14:paraId="73E90CF9">
      <w:pPr>
        <w:spacing w:line="580" w:lineRule="exact"/>
        <w:jc w:val="center"/>
        <w:rPr>
          <w:rFonts w:ascii="Times New Roman" w:hAnsi="Times New Roman" w:eastAsia="黑体"/>
          <w:sz w:val="32"/>
          <w:szCs w:val="32"/>
        </w:rPr>
      </w:pPr>
      <w:r>
        <w:rPr>
          <w:rFonts w:hint="eastAsia" w:ascii="Times New Roman" w:hAnsi="Times New Roman" w:eastAsia="黑体"/>
          <w:sz w:val="32"/>
          <w:szCs w:val="32"/>
        </w:rPr>
        <w:t>“</w:t>
      </w:r>
      <w:r>
        <w:rPr>
          <w:rFonts w:ascii="Times New Roman" w:hAnsi="Times New Roman" w:eastAsia="黑体"/>
          <w:sz w:val="32"/>
          <w:szCs w:val="32"/>
        </w:rPr>
        <w:t>十五五</w:t>
      </w:r>
      <w:r>
        <w:rPr>
          <w:rFonts w:hint="eastAsia" w:ascii="Times New Roman" w:hAnsi="Times New Roman" w:eastAsia="黑体"/>
          <w:sz w:val="32"/>
          <w:szCs w:val="32"/>
        </w:rPr>
        <w:t>”</w:t>
      </w:r>
      <w:r>
        <w:rPr>
          <w:rFonts w:ascii="Times New Roman" w:hAnsi="Times New Roman" w:eastAsia="黑体"/>
          <w:sz w:val="32"/>
          <w:szCs w:val="32"/>
        </w:rPr>
        <w:t>时期数字经济发展主要指标</w:t>
      </w:r>
    </w:p>
    <w:tbl>
      <w:tblPr>
        <w:tblStyle w:val="1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4282"/>
        <w:gridCol w:w="1007"/>
        <w:gridCol w:w="1587"/>
        <w:gridCol w:w="1298"/>
      </w:tblGrid>
      <w:tr w14:paraId="74506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488" w:type="pct"/>
            <w:vAlign w:val="center"/>
          </w:tcPr>
          <w:p w14:paraId="4EA399ED">
            <w:pPr>
              <w:spacing w:after="156" w:afterLines="50" w:line="240" w:lineRule="auto"/>
              <w:jc w:val="center"/>
              <w:rPr>
                <w:rFonts w:ascii="Times New Roman" w:hAnsi="Times New Roman" w:eastAsia="黑体" w:cs="Segoe UI"/>
                <w:color w:val="0F1115"/>
                <w:sz w:val="24"/>
              </w:rPr>
            </w:pPr>
            <w:r>
              <w:rPr>
                <w:rFonts w:ascii="Times New Roman" w:hAnsi="Times New Roman" w:eastAsia="黑体" w:cs="Segoe UI"/>
                <w:color w:val="0F1115"/>
                <w:sz w:val="24"/>
              </w:rPr>
              <w:t>序号</w:t>
            </w:r>
          </w:p>
        </w:tc>
        <w:tc>
          <w:tcPr>
            <w:tcW w:w="2363" w:type="pct"/>
            <w:vAlign w:val="center"/>
          </w:tcPr>
          <w:p w14:paraId="75550178">
            <w:pPr>
              <w:spacing w:after="156" w:afterLines="50" w:line="240" w:lineRule="auto"/>
              <w:jc w:val="center"/>
              <w:rPr>
                <w:rFonts w:ascii="Times New Roman" w:hAnsi="Times New Roman" w:eastAsia="黑体"/>
                <w:sz w:val="24"/>
              </w:rPr>
            </w:pPr>
            <w:r>
              <w:rPr>
                <w:rFonts w:ascii="Times New Roman" w:hAnsi="Times New Roman" w:eastAsia="黑体" w:cs="Segoe UI"/>
                <w:color w:val="0F1115"/>
                <w:sz w:val="24"/>
              </w:rPr>
              <w:t>指标名称</w:t>
            </w:r>
          </w:p>
        </w:tc>
        <w:tc>
          <w:tcPr>
            <w:tcW w:w="556" w:type="pct"/>
            <w:vAlign w:val="center"/>
          </w:tcPr>
          <w:p w14:paraId="592659C5">
            <w:pPr>
              <w:spacing w:after="156" w:afterLines="50" w:line="240" w:lineRule="auto"/>
              <w:jc w:val="center"/>
              <w:rPr>
                <w:rFonts w:ascii="Times New Roman" w:hAnsi="Times New Roman" w:eastAsia="黑体"/>
                <w:sz w:val="24"/>
              </w:rPr>
            </w:pPr>
            <w:r>
              <w:rPr>
                <w:rFonts w:ascii="Times New Roman" w:hAnsi="Times New Roman" w:eastAsia="黑体" w:cs="Segoe UI"/>
                <w:color w:val="0F1115"/>
                <w:sz w:val="24"/>
              </w:rPr>
              <w:t>2025年</w:t>
            </w:r>
          </w:p>
        </w:tc>
        <w:tc>
          <w:tcPr>
            <w:tcW w:w="876" w:type="pct"/>
            <w:vAlign w:val="center"/>
          </w:tcPr>
          <w:p w14:paraId="2F4EBA1A">
            <w:pPr>
              <w:spacing w:after="156" w:afterLines="50" w:line="240" w:lineRule="auto"/>
              <w:jc w:val="center"/>
              <w:rPr>
                <w:rFonts w:ascii="Times New Roman" w:hAnsi="Times New Roman" w:eastAsia="黑体"/>
                <w:sz w:val="24"/>
              </w:rPr>
            </w:pPr>
            <w:r>
              <w:rPr>
                <w:rFonts w:ascii="Times New Roman" w:hAnsi="Times New Roman" w:eastAsia="黑体" w:cs="Segoe UI"/>
                <w:color w:val="0F1115"/>
                <w:sz w:val="24"/>
              </w:rPr>
              <w:t>2030年目标</w:t>
            </w:r>
          </w:p>
        </w:tc>
        <w:tc>
          <w:tcPr>
            <w:tcW w:w="716" w:type="pct"/>
            <w:vAlign w:val="center"/>
          </w:tcPr>
          <w:p w14:paraId="7A46419F">
            <w:pPr>
              <w:spacing w:after="156" w:afterLines="50" w:line="240" w:lineRule="auto"/>
              <w:jc w:val="center"/>
              <w:rPr>
                <w:rFonts w:ascii="Times New Roman" w:hAnsi="Times New Roman" w:eastAsia="黑体" w:cs="Segoe UI"/>
                <w:color w:val="0F1115"/>
                <w:sz w:val="24"/>
              </w:rPr>
            </w:pPr>
            <w:r>
              <w:rPr>
                <w:rFonts w:ascii="Times New Roman" w:hAnsi="Times New Roman" w:eastAsia="黑体" w:cs="Segoe UI"/>
                <w:color w:val="0F1115"/>
                <w:sz w:val="24"/>
              </w:rPr>
              <w:t>属性</w:t>
            </w:r>
          </w:p>
        </w:tc>
      </w:tr>
      <w:tr w14:paraId="7185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4C07D11E">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62EE3F97">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数字经济增加值年均增速（%）</w:t>
            </w:r>
          </w:p>
        </w:tc>
        <w:tc>
          <w:tcPr>
            <w:tcW w:w="556" w:type="pct"/>
            <w:vAlign w:val="center"/>
          </w:tcPr>
          <w:p w14:paraId="690A7FEF">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7.8</w:t>
            </w:r>
          </w:p>
        </w:tc>
        <w:tc>
          <w:tcPr>
            <w:tcW w:w="876" w:type="pct"/>
            <w:vAlign w:val="center"/>
          </w:tcPr>
          <w:p w14:paraId="52DAEC3C">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8左右</w:t>
            </w:r>
          </w:p>
        </w:tc>
        <w:tc>
          <w:tcPr>
            <w:tcW w:w="716" w:type="pct"/>
            <w:vAlign w:val="center"/>
          </w:tcPr>
          <w:p w14:paraId="33A58FAA">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1155C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21DDE2A7">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584CDB09">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数字经济增加值占地区生产总值比重（%）</w:t>
            </w:r>
          </w:p>
        </w:tc>
        <w:tc>
          <w:tcPr>
            <w:tcW w:w="556" w:type="pct"/>
            <w:vAlign w:val="center"/>
          </w:tcPr>
          <w:p w14:paraId="177BD538">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28.6</w:t>
            </w:r>
          </w:p>
        </w:tc>
        <w:tc>
          <w:tcPr>
            <w:tcW w:w="876" w:type="pct"/>
            <w:vAlign w:val="center"/>
          </w:tcPr>
          <w:p w14:paraId="04AF7CDF">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32</w:t>
            </w:r>
          </w:p>
        </w:tc>
        <w:tc>
          <w:tcPr>
            <w:tcW w:w="716" w:type="pct"/>
            <w:vAlign w:val="center"/>
          </w:tcPr>
          <w:p w14:paraId="5B561AFA">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00F1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232D92A7">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265FDE12">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单位电力生成词元（Token）数量（万个Token/度）</w:t>
            </w:r>
          </w:p>
        </w:tc>
        <w:tc>
          <w:tcPr>
            <w:tcW w:w="556" w:type="pct"/>
            <w:vAlign w:val="center"/>
          </w:tcPr>
          <w:p w14:paraId="46D7245E">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w:t>
            </w:r>
          </w:p>
        </w:tc>
        <w:tc>
          <w:tcPr>
            <w:tcW w:w="876" w:type="pct"/>
            <w:vAlign w:val="center"/>
          </w:tcPr>
          <w:p w14:paraId="469AFD18">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2000</w:t>
            </w:r>
          </w:p>
        </w:tc>
        <w:tc>
          <w:tcPr>
            <w:tcW w:w="716" w:type="pct"/>
            <w:vAlign w:val="center"/>
          </w:tcPr>
          <w:p w14:paraId="42EC5E7B">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4C5A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486C24E3">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77CFF54D">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存量数据中心电源使用效率（PUE）</w:t>
            </w:r>
          </w:p>
        </w:tc>
        <w:tc>
          <w:tcPr>
            <w:tcW w:w="556" w:type="pct"/>
            <w:vAlign w:val="center"/>
          </w:tcPr>
          <w:p w14:paraId="0002724E">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w:t>
            </w:r>
          </w:p>
        </w:tc>
        <w:tc>
          <w:tcPr>
            <w:tcW w:w="876" w:type="pct"/>
            <w:vAlign w:val="center"/>
          </w:tcPr>
          <w:p w14:paraId="78E7BA07">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&lt;1.35</w:t>
            </w:r>
          </w:p>
        </w:tc>
        <w:tc>
          <w:tcPr>
            <w:tcW w:w="716" w:type="pct"/>
            <w:vAlign w:val="center"/>
          </w:tcPr>
          <w:p w14:paraId="6CD89860">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约束性</w:t>
            </w:r>
          </w:p>
        </w:tc>
      </w:tr>
      <w:tr w14:paraId="6077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4952B327">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04AFBBA2">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5G基站数量（个）</w:t>
            </w:r>
          </w:p>
        </w:tc>
        <w:tc>
          <w:tcPr>
            <w:tcW w:w="556" w:type="pct"/>
            <w:vAlign w:val="center"/>
          </w:tcPr>
          <w:p w14:paraId="64BDEEDF">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3980</w:t>
            </w:r>
          </w:p>
        </w:tc>
        <w:tc>
          <w:tcPr>
            <w:tcW w:w="876" w:type="pct"/>
            <w:vAlign w:val="center"/>
          </w:tcPr>
          <w:p w14:paraId="6581C39E">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5800</w:t>
            </w:r>
          </w:p>
        </w:tc>
        <w:tc>
          <w:tcPr>
            <w:tcW w:w="716" w:type="pct"/>
            <w:vAlign w:val="center"/>
          </w:tcPr>
          <w:p w14:paraId="3E3A5FBD">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26CEA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673ED994">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712DFED8">
            <w:pPr>
              <w:widowControl/>
              <w:spacing w:after="0" w:line="240" w:lineRule="auto"/>
              <w:jc w:val="left"/>
              <w:rPr>
                <w:rFonts w:ascii="Times New Roman" w:hAnsi="Times New Roman" w:eastAsia="仿宋_GB2312" w:cs="Segoe UI"/>
                <w:color w:val="0F1115"/>
                <w:kern w:val="0"/>
                <w:sz w:val="24"/>
              </w:rPr>
            </w:pPr>
            <w:r>
              <w:rPr>
                <w:rFonts w:hint="eastAsia" w:ascii="Times New Roman" w:hAnsi="Times New Roman" w:eastAsia="仿宋_GB2312" w:cs="Segoe UI"/>
                <w:color w:val="0F1115"/>
                <w:kern w:val="0"/>
                <w:sz w:val="24"/>
              </w:rPr>
              <w:t>“</w:t>
            </w:r>
            <w:r>
              <w:rPr>
                <w:rFonts w:ascii="Times New Roman" w:hAnsi="Times New Roman" w:eastAsia="仿宋_GB2312" w:cs="Segoe UI"/>
                <w:color w:val="0F1115"/>
                <w:kern w:val="0"/>
                <w:sz w:val="24"/>
              </w:rPr>
              <w:t>双智城市</w:t>
            </w:r>
            <w:r>
              <w:rPr>
                <w:rFonts w:hint="eastAsia" w:ascii="Times New Roman" w:hAnsi="Times New Roman" w:eastAsia="仿宋_GB2312" w:cs="Segoe UI"/>
                <w:color w:val="0F1115"/>
                <w:kern w:val="0"/>
                <w:sz w:val="24"/>
              </w:rPr>
              <w:t>”</w:t>
            </w:r>
            <w:r>
              <w:rPr>
                <w:rFonts w:ascii="Times New Roman" w:hAnsi="Times New Roman" w:eastAsia="仿宋_GB2312" w:cs="Segoe UI"/>
                <w:color w:val="0F1115"/>
                <w:kern w:val="0"/>
                <w:sz w:val="24"/>
              </w:rPr>
              <w:t>应用覆盖区域（平方公里）</w:t>
            </w:r>
          </w:p>
        </w:tc>
        <w:tc>
          <w:tcPr>
            <w:tcW w:w="556" w:type="pct"/>
            <w:vAlign w:val="center"/>
          </w:tcPr>
          <w:p w14:paraId="0C969CE2">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w:t>
            </w:r>
          </w:p>
        </w:tc>
        <w:tc>
          <w:tcPr>
            <w:tcW w:w="876" w:type="pct"/>
            <w:vAlign w:val="center"/>
          </w:tcPr>
          <w:p w14:paraId="090D39AF">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280</w:t>
            </w:r>
          </w:p>
        </w:tc>
        <w:tc>
          <w:tcPr>
            <w:tcW w:w="716" w:type="pct"/>
            <w:vAlign w:val="center"/>
          </w:tcPr>
          <w:p w14:paraId="5B6AAF29">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2CE8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6106C4F2">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5BBE6156">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机器人产业收入（亿元）</w:t>
            </w:r>
          </w:p>
        </w:tc>
        <w:tc>
          <w:tcPr>
            <w:tcW w:w="556" w:type="pct"/>
            <w:vAlign w:val="center"/>
          </w:tcPr>
          <w:p w14:paraId="31A90FE3">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150</w:t>
            </w:r>
          </w:p>
        </w:tc>
        <w:tc>
          <w:tcPr>
            <w:tcW w:w="876" w:type="pct"/>
            <w:vAlign w:val="center"/>
          </w:tcPr>
          <w:p w14:paraId="3DD343AB">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220</w:t>
            </w:r>
          </w:p>
        </w:tc>
        <w:tc>
          <w:tcPr>
            <w:tcW w:w="716" w:type="pct"/>
            <w:vAlign w:val="center"/>
          </w:tcPr>
          <w:p w14:paraId="6CD7C68B">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4F9C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75DBBD4B">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09F9D418">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互联网诊疗总诊疗量（万人次）</w:t>
            </w:r>
          </w:p>
        </w:tc>
        <w:tc>
          <w:tcPr>
            <w:tcW w:w="556" w:type="pct"/>
            <w:vAlign w:val="center"/>
          </w:tcPr>
          <w:p w14:paraId="504A5B49">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45.7</w:t>
            </w:r>
          </w:p>
        </w:tc>
        <w:tc>
          <w:tcPr>
            <w:tcW w:w="876" w:type="pct"/>
            <w:vAlign w:val="center"/>
          </w:tcPr>
          <w:p w14:paraId="4F9CCCB2">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100</w:t>
            </w:r>
          </w:p>
        </w:tc>
        <w:tc>
          <w:tcPr>
            <w:tcW w:w="716" w:type="pct"/>
            <w:vAlign w:val="center"/>
          </w:tcPr>
          <w:p w14:paraId="4D65A5F3">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76BD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37806821">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54279972">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公办中小学人工智能应用覆盖率（%）</w:t>
            </w:r>
          </w:p>
        </w:tc>
        <w:tc>
          <w:tcPr>
            <w:tcW w:w="556" w:type="pct"/>
            <w:vAlign w:val="center"/>
          </w:tcPr>
          <w:p w14:paraId="0E3693FE">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100</w:t>
            </w:r>
          </w:p>
        </w:tc>
        <w:tc>
          <w:tcPr>
            <w:tcW w:w="876" w:type="pct"/>
            <w:vAlign w:val="center"/>
          </w:tcPr>
          <w:p w14:paraId="5ED82820">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100</w:t>
            </w:r>
          </w:p>
        </w:tc>
        <w:tc>
          <w:tcPr>
            <w:tcW w:w="716" w:type="pct"/>
            <w:vAlign w:val="center"/>
          </w:tcPr>
          <w:p w14:paraId="25883DF3">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46BD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5A9D1A41">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5805039B">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累计培育先进级智能工厂数量（个）</w:t>
            </w:r>
          </w:p>
        </w:tc>
        <w:tc>
          <w:tcPr>
            <w:tcW w:w="556" w:type="pct"/>
            <w:vAlign w:val="center"/>
          </w:tcPr>
          <w:p w14:paraId="536842E6">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19</w:t>
            </w:r>
          </w:p>
        </w:tc>
        <w:tc>
          <w:tcPr>
            <w:tcW w:w="876" w:type="pct"/>
            <w:vAlign w:val="center"/>
          </w:tcPr>
          <w:p w14:paraId="61DB597A">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40</w:t>
            </w:r>
          </w:p>
        </w:tc>
        <w:tc>
          <w:tcPr>
            <w:tcW w:w="716" w:type="pct"/>
            <w:vAlign w:val="center"/>
          </w:tcPr>
          <w:p w14:paraId="37049B0D">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tr w14:paraId="55E8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88" w:type="pct"/>
            <w:vAlign w:val="center"/>
          </w:tcPr>
          <w:p w14:paraId="5EA682B1">
            <w:pPr>
              <w:widowControl/>
              <w:numPr>
                <w:ilvl w:val="0"/>
                <w:numId w:val="1"/>
              </w:numPr>
              <w:spacing w:after="0" w:line="240" w:lineRule="auto"/>
              <w:jc w:val="center"/>
              <w:rPr>
                <w:rFonts w:ascii="Times New Roman" w:hAnsi="Times New Roman" w:eastAsia="仿宋_GB2312" w:cs="Segoe UI"/>
                <w:color w:val="0F1115"/>
                <w:kern w:val="0"/>
                <w:sz w:val="24"/>
              </w:rPr>
            </w:pPr>
          </w:p>
        </w:tc>
        <w:tc>
          <w:tcPr>
            <w:tcW w:w="2363" w:type="pct"/>
            <w:vAlign w:val="center"/>
          </w:tcPr>
          <w:p w14:paraId="34F0A887">
            <w:pPr>
              <w:widowControl/>
              <w:spacing w:after="0" w:line="240" w:lineRule="auto"/>
              <w:jc w:val="left"/>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公共数据开放平台开放数据量（万条）</w:t>
            </w:r>
          </w:p>
        </w:tc>
        <w:tc>
          <w:tcPr>
            <w:tcW w:w="556" w:type="pct"/>
            <w:vAlign w:val="center"/>
          </w:tcPr>
          <w:p w14:paraId="0F7E0FEC">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1</w:t>
            </w:r>
          </w:p>
        </w:tc>
        <w:tc>
          <w:tcPr>
            <w:tcW w:w="876" w:type="pct"/>
            <w:vAlign w:val="center"/>
          </w:tcPr>
          <w:p w14:paraId="72359225">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3</w:t>
            </w:r>
          </w:p>
        </w:tc>
        <w:tc>
          <w:tcPr>
            <w:tcW w:w="716" w:type="pct"/>
            <w:vAlign w:val="center"/>
          </w:tcPr>
          <w:p w14:paraId="0C34853D">
            <w:pPr>
              <w:widowControl/>
              <w:spacing w:after="0" w:line="240" w:lineRule="auto"/>
              <w:jc w:val="center"/>
              <w:rPr>
                <w:rFonts w:ascii="Times New Roman" w:hAnsi="Times New Roman" w:eastAsia="仿宋_GB2312" w:cs="Segoe UI"/>
                <w:color w:val="0F1115"/>
                <w:kern w:val="0"/>
                <w:sz w:val="24"/>
              </w:rPr>
            </w:pPr>
            <w:r>
              <w:rPr>
                <w:rFonts w:ascii="Times New Roman" w:hAnsi="Times New Roman" w:eastAsia="仿宋_GB2312" w:cs="Segoe UI"/>
                <w:color w:val="0F1115"/>
                <w:kern w:val="0"/>
                <w:sz w:val="24"/>
              </w:rPr>
              <w:t>预期性</w:t>
            </w:r>
          </w:p>
        </w:tc>
      </w:tr>
      <w:bookmarkEnd w:id="53"/>
      <w:bookmarkEnd w:id="54"/>
    </w:tbl>
    <w:p w14:paraId="4677465F">
      <w:pPr>
        <w:keepNext/>
        <w:keepLines/>
        <w:spacing w:before="160" w:after="0" w:line="580" w:lineRule="exact"/>
        <w:ind w:firstLine="643" w:firstLineChars="200"/>
        <w:outlineLvl w:val="0"/>
        <w:rPr>
          <w:rFonts w:ascii="Times New Roman" w:hAnsi="Times New Roman" w:eastAsia="黑体"/>
          <w:b/>
          <w:kern w:val="44"/>
          <w:sz w:val="32"/>
        </w:rPr>
      </w:pPr>
      <w:bookmarkStart w:id="55" w:name="_Toc179715169"/>
      <w:r>
        <w:rPr>
          <w:rFonts w:ascii="Times New Roman" w:hAnsi="Times New Roman" w:eastAsia="黑体"/>
          <w:b/>
          <w:kern w:val="44"/>
          <w:sz w:val="32"/>
        </w:rPr>
        <w:t>二、强化数字经济发展策源能力</w:t>
      </w:r>
      <w:bookmarkEnd w:id="55"/>
    </w:p>
    <w:p w14:paraId="68D3736A">
      <w:pPr>
        <w:keepNext/>
        <w:keepLines/>
        <w:spacing w:after="0" w:line="560" w:lineRule="exact"/>
        <w:ind w:firstLine="643" w:firstLineChars="200"/>
        <w:outlineLvl w:val="1"/>
        <w:rPr>
          <w:rFonts w:ascii="Times New Roman" w:hAnsi="Times New Roman" w:eastAsia="楷体"/>
          <w:b/>
          <w:sz w:val="32"/>
        </w:rPr>
      </w:pPr>
      <w:bookmarkStart w:id="56" w:name="_Toc1110837701"/>
      <w:r>
        <w:rPr>
          <w:rFonts w:ascii="Times New Roman" w:hAnsi="Times New Roman" w:eastAsia="楷体"/>
          <w:b/>
          <w:sz w:val="32"/>
        </w:rPr>
        <w:t>（一）</w:t>
      </w:r>
      <w:bookmarkEnd w:id="56"/>
      <w:r>
        <w:rPr>
          <w:rFonts w:ascii="Times New Roman" w:hAnsi="Times New Roman" w:eastAsia="楷体"/>
          <w:b/>
          <w:sz w:val="32"/>
        </w:rPr>
        <w:t>优化数字经济空间布局</w:t>
      </w:r>
    </w:p>
    <w:p w14:paraId="12FF9F99">
      <w:pPr>
        <w:spacing w:after="0" w:line="580" w:lineRule="exact"/>
        <w:ind w:firstLine="640" w:firstLineChars="200"/>
        <w:rPr>
          <w:rFonts w:ascii="Times New Roman" w:hAnsi="Times New Roman" w:eastAsia="仿宋_GB2312"/>
          <w:sz w:val="32"/>
        </w:rPr>
      </w:pPr>
      <w:bookmarkStart w:id="57" w:name="OLE_LINK35"/>
      <w:r>
        <w:rPr>
          <w:rFonts w:ascii="Times New Roman" w:hAnsi="Times New Roman" w:eastAsia="仿宋_GB2312"/>
          <w:sz w:val="32"/>
        </w:rPr>
        <w:t>围绕G6科创走廊、G45产业走廊及生态廊道总体布局，强化数字技术对产业空间的赋能提升，全面提升沿线产业园区数字化水平。沿G6科创走廊，统筹布局智能终端、软件信息服务、人工智能等新一代信息技术产业，培育机器人、脑机接口、6G等未来产业，建设数字产业集聚区，引导优质项目和创新要素集聚落地。沿G45产业走廊，依托央企集聚优势，推动先进能源产业数字化转型，培育能源互联网等融合业态，加快央企科技成果转化。提升存量产业空间智能化水平，</w:t>
      </w:r>
      <w:r>
        <w:rPr>
          <w:rFonts w:hint="eastAsia" w:ascii="Times New Roman" w:hAnsi="Times New Roman" w:eastAsia="仿宋_GB2312"/>
          <w:sz w:val="32"/>
        </w:rPr>
        <w:t>增强</w:t>
      </w:r>
      <w:r>
        <w:rPr>
          <w:rFonts w:ascii="Times New Roman" w:hAnsi="Times New Roman" w:eastAsia="仿宋_GB2312"/>
          <w:sz w:val="32"/>
        </w:rPr>
        <w:t>园区智慧运营和产业服务能力，引导产业板块式发展、空间组团式布局，为数字经济增量落地预留充足空间。</w:t>
      </w:r>
    </w:p>
    <w:bookmarkEnd w:id="57"/>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0684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39A6E3F">
            <w:pPr>
              <w:spacing w:line="580" w:lineRule="exact"/>
              <w:jc w:val="center"/>
              <w:rPr>
                <w:rFonts w:ascii="Times New Roman" w:hAnsi="Times New Roman" w:eastAsia="黑体"/>
                <w:sz w:val="32"/>
              </w:rPr>
            </w:pPr>
            <w:r>
              <w:rPr>
                <w:rFonts w:ascii="Times New Roman" w:hAnsi="Times New Roman" w:eastAsia="黑体" w:cs="楷体"/>
                <w:sz w:val="28"/>
                <w:szCs w:val="22"/>
              </w:rPr>
              <w:t>专栏1 数字经济核心重点载体提升工程</w:t>
            </w:r>
          </w:p>
        </w:tc>
      </w:tr>
      <w:tr w14:paraId="234A4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D8570EF">
            <w:pPr>
              <w:numPr>
                <w:ilvl w:val="255"/>
                <w:numId w:val="0"/>
              </w:numPr>
              <w:shd w:val="clear" w:color="auto" w:fill="FFFFFF"/>
              <w:spacing w:before="160" w:line="380" w:lineRule="exact"/>
              <w:ind w:firstLine="460" w:firstLineChars="200"/>
              <w:rPr>
                <w:rFonts w:ascii="Times New Roman" w:hAnsi="Times New Roman" w:eastAsia="仿宋_GB2312" w:cs="仿宋_GB2312"/>
                <w:spacing w:val="-5"/>
                <w:sz w:val="28"/>
                <w:szCs w:val="28"/>
              </w:rPr>
            </w:pPr>
            <w:r>
              <w:rPr>
                <w:rFonts w:ascii="Times New Roman" w:hAnsi="Times New Roman" w:eastAsia="仿宋_GB2312" w:cs="仿宋_GB2312"/>
                <w:spacing w:val="-5"/>
                <w:sz w:val="24"/>
              </w:rPr>
              <w:t>围绕G6科创走廊、G45产业走廊，统筹优化数字经济空间载体布局。发挥朱辛庄数智创新港辐射带动作用，打造智能终端、软件信息服务、人工智能产业高地；推进北京市机器人产业园（昌平）建设，实施机器人生态园区提升计划；建设中关村（昌平）脑科学与脑机接口产业集聚区，打造脑机接口创新研发和产业化基地；推动新元科技园等存量园区数字化改造升级，提升园区智慧运营水平。形成特色鲜明、协同联动的数字产业集聚发展格局。</w:t>
            </w:r>
          </w:p>
        </w:tc>
      </w:tr>
    </w:tbl>
    <w:p w14:paraId="730145E8">
      <w:pPr>
        <w:keepNext/>
        <w:keepLines/>
        <w:spacing w:after="0" w:line="560" w:lineRule="exact"/>
        <w:ind w:firstLine="643" w:firstLineChars="200"/>
        <w:outlineLvl w:val="1"/>
        <w:rPr>
          <w:rFonts w:ascii="Times New Roman" w:hAnsi="Times New Roman" w:eastAsia="楷体"/>
          <w:b/>
          <w:bCs/>
          <w:sz w:val="32"/>
          <w:szCs w:val="32"/>
        </w:rPr>
      </w:pPr>
      <w:bookmarkStart w:id="58" w:name="_Toc1773897336"/>
      <w:r>
        <w:rPr>
          <w:rFonts w:ascii="Times New Roman" w:hAnsi="Times New Roman" w:eastAsia="楷体"/>
          <w:b/>
          <w:bCs/>
          <w:sz w:val="32"/>
          <w:szCs w:val="32"/>
        </w:rPr>
        <w:t>（二）提升高校创新策源能力</w:t>
      </w:r>
    </w:p>
    <w:p w14:paraId="12E3C693">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szCs w:val="32"/>
        </w:rPr>
        <w:t>发挥</w:t>
      </w:r>
      <w:r>
        <w:rPr>
          <w:rFonts w:hint="eastAsia" w:ascii="Times New Roman" w:hAnsi="Times New Roman" w:eastAsia="仿宋_GB2312"/>
          <w:sz w:val="32"/>
          <w:szCs w:val="32"/>
        </w:rPr>
        <w:t>“</w:t>
      </w:r>
      <w:r>
        <w:rPr>
          <w:rFonts w:ascii="Times New Roman" w:hAnsi="Times New Roman" w:eastAsia="仿宋_GB2312"/>
          <w:sz w:val="32"/>
          <w:szCs w:val="32"/>
        </w:rPr>
        <w:t>一园两口</w:t>
      </w:r>
      <w:r>
        <w:rPr>
          <w:rFonts w:hint="eastAsia" w:ascii="Times New Roman" w:hAnsi="Times New Roman" w:eastAsia="仿宋_GB2312"/>
          <w:sz w:val="32"/>
          <w:szCs w:val="32"/>
        </w:rPr>
        <w:t>”</w:t>
      </w:r>
      <w:r>
        <w:rPr>
          <w:rFonts w:ascii="Times New Roman" w:hAnsi="Times New Roman" w:eastAsia="仿宋_GB2312"/>
          <w:sz w:val="32"/>
          <w:szCs w:val="32"/>
        </w:rPr>
        <w:t>高校</w:t>
      </w:r>
      <w:r>
        <w:rPr>
          <w:rFonts w:ascii="Times New Roman" w:hAnsi="Times New Roman" w:eastAsia="仿宋_GB2312"/>
          <w:sz w:val="32"/>
        </w:rPr>
        <w:t>科教资源优势，深化校城融合发展，鼓励高校面向人工智能、数字经济领域布局新兴交叉学科，开展跨学科协同攻关。支持高校参与未来空间建设，加快推进未来信息学国际中心等重点项目建设，聚焦生命、能源等前沿领域推进国家学院及校外基地建设，培育高水平学科集群。积极引入高校数字经济创新资源，支持高校建设数字领域新型研发机构，推动数字领域科技成果转化孵化。支持高校参与建设未来大学科技园，深化</w:t>
      </w:r>
      <w:r>
        <w:rPr>
          <w:rFonts w:hint="eastAsia" w:ascii="Times New Roman" w:hAnsi="Times New Roman" w:eastAsia="仿宋_GB2312"/>
          <w:sz w:val="32"/>
        </w:rPr>
        <w:t>“</w:t>
      </w:r>
      <w:r>
        <w:rPr>
          <w:rFonts w:ascii="Times New Roman" w:hAnsi="Times New Roman" w:eastAsia="仿宋_GB2312"/>
          <w:sz w:val="32"/>
        </w:rPr>
        <w:t>一校一策</w:t>
      </w:r>
      <w:r>
        <w:rPr>
          <w:rFonts w:hint="eastAsia" w:ascii="Times New Roman" w:hAnsi="Times New Roman" w:eastAsia="仿宋_GB2312"/>
          <w:sz w:val="32"/>
        </w:rPr>
        <w:t>”</w:t>
      </w:r>
      <w:r>
        <w:rPr>
          <w:rFonts w:ascii="Times New Roman" w:hAnsi="Times New Roman" w:eastAsia="仿宋_GB2312"/>
          <w:sz w:val="32"/>
        </w:rPr>
        <w:t>合作，共建概念验证中心、中试基地等创新载体。</w:t>
      </w:r>
    </w:p>
    <w:p w14:paraId="4745C174">
      <w:pPr>
        <w:keepNext/>
        <w:keepLines/>
        <w:spacing w:after="0" w:line="560" w:lineRule="exact"/>
        <w:ind w:firstLine="643" w:firstLineChars="200"/>
        <w:outlineLvl w:val="1"/>
        <w:rPr>
          <w:rFonts w:ascii="Times New Roman" w:hAnsi="Times New Roman" w:eastAsia="楷体"/>
          <w:b/>
          <w:bCs/>
          <w:sz w:val="32"/>
          <w:szCs w:val="32"/>
        </w:rPr>
      </w:pPr>
      <w:r>
        <w:rPr>
          <w:rFonts w:ascii="Times New Roman" w:hAnsi="Times New Roman" w:eastAsia="楷体"/>
          <w:b/>
          <w:bCs/>
          <w:sz w:val="32"/>
          <w:szCs w:val="32"/>
        </w:rPr>
        <w:t>（三）发挥央企创新引领作用</w:t>
      </w:r>
    </w:p>
    <w:p w14:paraId="5A1B66FD">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发挥未来科学城央企集聚优势，深化央城融合发展，鼓励央企开放创新资源和应用场景，承接转化各类创新主体成果，开展重大科研成果应用示范，打造</w:t>
      </w:r>
      <w:r>
        <w:rPr>
          <w:rFonts w:hint="eastAsia" w:ascii="Times New Roman" w:hAnsi="Times New Roman" w:eastAsia="仿宋_GB2312"/>
          <w:sz w:val="32"/>
        </w:rPr>
        <w:t>“</w:t>
      </w:r>
      <w:r>
        <w:rPr>
          <w:rFonts w:ascii="Times New Roman" w:hAnsi="Times New Roman" w:eastAsia="仿宋_GB2312"/>
          <w:sz w:val="32"/>
        </w:rPr>
        <w:t>AI+能源</w:t>
      </w:r>
      <w:r>
        <w:rPr>
          <w:rFonts w:hint="eastAsia" w:ascii="Times New Roman" w:hAnsi="Times New Roman" w:eastAsia="仿宋_GB2312"/>
          <w:sz w:val="32"/>
        </w:rPr>
        <w:t>”“</w:t>
      </w:r>
      <w:r>
        <w:rPr>
          <w:rFonts w:ascii="Times New Roman" w:hAnsi="Times New Roman" w:eastAsia="仿宋_GB2312"/>
          <w:sz w:val="32"/>
        </w:rPr>
        <w:t>AI+医药健康</w:t>
      </w:r>
      <w:r>
        <w:rPr>
          <w:rFonts w:hint="eastAsia" w:ascii="Times New Roman" w:hAnsi="Times New Roman" w:eastAsia="仿宋_GB2312"/>
          <w:sz w:val="32"/>
        </w:rPr>
        <w:t>”</w:t>
      </w:r>
      <w:r>
        <w:rPr>
          <w:rFonts w:ascii="Times New Roman" w:hAnsi="Times New Roman" w:eastAsia="仿宋_GB2312"/>
          <w:sz w:val="32"/>
        </w:rPr>
        <w:t>等标杆场景。支持央企建设数字领域创新平台，牵头承担重大科技任务，推动央企数字化转型。发挥央企研究院</w:t>
      </w:r>
      <w:r>
        <w:rPr>
          <w:rFonts w:hint="eastAsia" w:ascii="Times New Roman" w:hAnsi="Times New Roman" w:eastAsia="仿宋_GB2312"/>
          <w:sz w:val="32"/>
        </w:rPr>
        <w:t>“</w:t>
      </w:r>
      <w:r>
        <w:rPr>
          <w:rFonts w:ascii="Times New Roman" w:hAnsi="Times New Roman" w:eastAsia="仿宋_GB2312"/>
          <w:sz w:val="32"/>
        </w:rPr>
        <w:t>院长联盟</w:t>
      </w:r>
      <w:r>
        <w:rPr>
          <w:rFonts w:hint="eastAsia" w:ascii="Times New Roman" w:hAnsi="Times New Roman" w:eastAsia="仿宋_GB2312"/>
          <w:sz w:val="32"/>
        </w:rPr>
        <w:t>”</w:t>
      </w:r>
      <w:r>
        <w:rPr>
          <w:rFonts w:ascii="Times New Roman" w:hAnsi="Times New Roman" w:eastAsia="仿宋_GB2312"/>
          <w:sz w:val="32"/>
        </w:rPr>
        <w:t>作用，推动央企从</w:t>
      </w:r>
      <w:r>
        <w:rPr>
          <w:rFonts w:hint="eastAsia" w:ascii="Times New Roman" w:hAnsi="Times New Roman" w:eastAsia="仿宋_GB2312"/>
          <w:sz w:val="32"/>
        </w:rPr>
        <w:t>“</w:t>
      </w:r>
      <w:r>
        <w:rPr>
          <w:rFonts w:ascii="Times New Roman" w:hAnsi="Times New Roman" w:eastAsia="仿宋_GB2312"/>
          <w:sz w:val="32"/>
        </w:rPr>
        <w:t>内部创新</w:t>
      </w:r>
      <w:r>
        <w:rPr>
          <w:rFonts w:hint="eastAsia" w:ascii="Times New Roman" w:hAnsi="Times New Roman" w:eastAsia="仿宋_GB2312"/>
          <w:sz w:val="32"/>
        </w:rPr>
        <w:t>”</w:t>
      </w:r>
      <w:r>
        <w:rPr>
          <w:rFonts w:ascii="Times New Roman" w:hAnsi="Times New Roman" w:eastAsia="仿宋_GB2312"/>
          <w:sz w:val="32"/>
        </w:rPr>
        <w:t>向</w:t>
      </w:r>
      <w:r>
        <w:rPr>
          <w:rFonts w:hint="eastAsia" w:ascii="Times New Roman" w:hAnsi="Times New Roman" w:eastAsia="仿宋_GB2312"/>
          <w:sz w:val="32"/>
        </w:rPr>
        <w:t>“</w:t>
      </w:r>
      <w:r>
        <w:rPr>
          <w:rFonts w:ascii="Times New Roman" w:hAnsi="Times New Roman" w:eastAsia="仿宋_GB2312"/>
          <w:sz w:val="32"/>
        </w:rPr>
        <w:t>生态组织</w:t>
      </w:r>
      <w:r>
        <w:rPr>
          <w:rFonts w:hint="eastAsia" w:ascii="Times New Roman" w:hAnsi="Times New Roman" w:eastAsia="仿宋_GB2312"/>
          <w:sz w:val="32"/>
        </w:rPr>
        <w:t>”</w:t>
      </w:r>
      <w:r>
        <w:rPr>
          <w:rFonts w:ascii="Times New Roman" w:hAnsi="Times New Roman" w:eastAsia="仿宋_GB2312"/>
          <w:sz w:val="32"/>
        </w:rPr>
        <w:t>转变，发挥央企</w:t>
      </w:r>
      <w:r>
        <w:rPr>
          <w:rFonts w:hint="eastAsia" w:ascii="Times New Roman" w:hAnsi="Times New Roman" w:eastAsia="仿宋_GB2312"/>
          <w:sz w:val="32"/>
        </w:rPr>
        <w:t>“</w:t>
      </w:r>
      <w:r>
        <w:rPr>
          <w:rFonts w:ascii="Times New Roman" w:hAnsi="Times New Roman" w:eastAsia="仿宋_GB2312"/>
          <w:sz w:val="32"/>
        </w:rPr>
        <w:t>链长</w:t>
      </w:r>
      <w:r>
        <w:rPr>
          <w:rFonts w:hint="eastAsia" w:ascii="Times New Roman" w:hAnsi="Times New Roman" w:eastAsia="仿宋_GB2312"/>
          <w:sz w:val="32"/>
        </w:rPr>
        <w:t>”</w:t>
      </w:r>
      <w:r>
        <w:rPr>
          <w:rFonts w:ascii="Times New Roman" w:hAnsi="Times New Roman" w:eastAsia="仿宋_GB2312"/>
          <w:sz w:val="32"/>
        </w:rPr>
        <w:t>作用，带动产业链上下游融通发展，优化央校地企协同创新生态。</w:t>
      </w:r>
    </w:p>
    <w:p w14:paraId="684AEEAB">
      <w:pPr>
        <w:keepNext/>
        <w:keepLines/>
        <w:spacing w:after="0" w:line="580" w:lineRule="exact"/>
        <w:ind w:firstLine="643" w:firstLineChars="200"/>
        <w:outlineLvl w:val="0"/>
        <w:rPr>
          <w:rFonts w:ascii="Times New Roman" w:hAnsi="Times New Roman" w:eastAsia="仿宋_GB2312"/>
          <w:b/>
          <w:kern w:val="44"/>
          <w:sz w:val="32"/>
        </w:rPr>
      </w:pPr>
      <w:r>
        <w:rPr>
          <w:rFonts w:ascii="Times New Roman" w:hAnsi="Times New Roman" w:eastAsia="黑体"/>
          <w:b/>
          <w:kern w:val="44"/>
          <w:sz w:val="32"/>
        </w:rPr>
        <w:t>三、夯实数字经济发展底座</w:t>
      </w:r>
    </w:p>
    <w:p w14:paraId="1DB31281">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（四）</w:t>
      </w:r>
      <w:bookmarkEnd w:id="58"/>
      <w:r>
        <w:rPr>
          <w:rFonts w:ascii="Times New Roman" w:hAnsi="Times New Roman" w:eastAsia="楷体"/>
          <w:b/>
          <w:sz w:val="32"/>
        </w:rPr>
        <w:t>构建高效协同的算力节点</w:t>
      </w:r>
    </w:p>
    <w:p w14:paraId="79D9A66B">
      <w:pPr>
        <w:spacing w:after="0" w:line="580" w:lineRule="exact"/>
        <w:ind w:firstLine="643" w:firstLineChars="200"/>
        <w:rPr>
          <w:rFonts w:ascii="Times New Roman" w:hAnsi="Times New Roman" w:eastAsia="仿宋_GB2312"/>
          <w:sz w:val="32"/>
          <w:highlight w:val="yellow"/>
        </w:rPr>
      </w:pPr>
      <w:r>
        <w:rPr>
          <w:rFonts w:ascii="Times New Roman" w:hAnsi="Times New Roman" w:eastAsia="仿宋_GB2312"/>
          <w:b/>
          <w:bCs/>
          <w:sz w:val="32"/>
        </w:rPr>
        <w:t>统筹算力布局与供给。</w:t>
      </w:r>
      <w:r>
        <w:rPr>
          <w:rFonts w:ascii="Times New Roman" w:hAnsi="Times New Roman" w:eastAsia="仿宋_GB2312"/>
          <w:sz w:val="32"/>
        </w:rPr>
        <w:t>融入北京市</w:t>
      </w:r>
      <w:r>
        <w:rPr>
          <w:rFonts w:hint="eastAsia" w:ascii="Times New Roman" w:hAnsi="Times New Roman" w:eastAsia="仿宋_GB2312"/>
          <w:sz w:val="32"/>
        </w:rPr>
        <w:t>“</w:t>
      </w:r>
      <w:r>
        <w:rPr>
          <w:rFonts w:ascii="Times New Roman" w:hAnsi="Times New Roman" w:eastAsia="仿宋_GB2312"/>
          <w:sz w:val="32"/>
        </w:rPr>
        <w:t>京内筑基、京外拓源、一体调度</w:t>
      </w:r>
      <w:r>
        <w:rPr>
          <w:rFonts w:hint="eastAsia" w:ascii="Times New Roman" w:hAnsi="Times New Roman" w:eastAsia="仿宋_GB2312"/>
          <w:sz w:val="32"/>
        </w:rPr>
        <w:t>”</w:t>
      </w:r>
      <w:r>
        <w:rPr>
          <w:rFonts w:ascii="Times New Roman" w:hAnsi="Times New Roman" w:eastAsia="仿宋_GB2312"/>
          <w:sz w:val="32"/>
        </w:rPr>
        <w:t>算力供给体系规划建设，结合国家算力网建设，有序扩增算力供给能力，打造训练、推理一体的算力供给集群。探索边缘算力中心建设模式，构建支撑医药健康、先进能源、先进制造等产业应用的算力体系。推动算力计量体系向服务化、价值化升级。</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7652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DD2429F">
            <w:pPr>
              <w:spacing w:line="580" w:lineRule="exact"/>
              <w:jc w:val="center"/>
              <w:rPr>
                <w:rFonts w:ascii="Times New Roman" w:hAnsi="Times New Roman" w:eastAsia="黑体"/>
                <w:sz w:val="32"/>
              </w:rPr>
            </w:pPr>
            <w:r>
              <w:rPr>
                <w:rFonts w:ascii="Times New Roman" w:hAnsi="Times New Roman" w:eastAsia="黑体" w:cs="楷体"/>
                <w:sz w:val="28"/>
                <w:szCs w:val="22"/>
              </w:rPr>
              <w:t>专栏2 算力节点建设工程</w:t>
            </w:r>
          </w:p>
        </w:tc>
      </w:tr>
      <w:tr w14:paraId="1024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75FC562">
            <w:pPr>
              <w:numPr>
                <w:ilvl w:val="255"/>
                <w:numId w:val="0"/>
              </w:numPr>
              <w:shd w:val="clear" w:color="auto" w:fill="FFFFFF"/>
              <w:spacing w:before="160" w:line="380" w:lineRule="exact"/>
              <w:ind w:firstLine="539"/>
              <w:rPr>
                <w:rFonts w:ascii="Times New Roman" w:hAnsi="Times New Roman" w:eastAsia="仿宋_GB2312"/>
                <w:sz w:val="28"/>
                <w:szCs w:val="32"/>
              </w:rPr>
            </w:pPr>
            <w:r>
              <w:rPr>
                <w:rFonts w:ascii="Times New Roman" w:hAnsi="Times New Roman" w:eastAsia="仿宋_GB2312" w:cs="仿宋_GB2312"/>
                <w:spacing w:val="-5"/>
                <w:sz w:val="24"/>
              </w:rPr>
              <w:t>落实北京市整体算力规划部署要求，承接全市算力超级节点，部署大规模算力集群。推进中国移动国际信息港4号地算力中心建成投用，打造高性能算力承载节点；推进6号地算力中心建设，打造大型训推一体算力集群。谋划算电协同绿色发展，推进存量数据中心绿色化改造，提升算力基础设施能效水平，有序扩增区域算力供给能力。</w:t>
            </w:r>
          </w:p>
        </w:tc>
      </w:tr>
    </w:tbl>
    <w:p w14:paraId="530EBE9F">
      <w:pPr>
        <w:spacing w:after="0" w:line="580" w:lineRule="exact"/>
        <w:ind w:firstLine="643" w:firstLineChars="200"/>
        <w:rPr>
          <w:rFonts w:ascii="Times New Roman" w:hAnsi="Times New Roman" w:eastAsia="仿宋_GB2312"/>
          <w:sz w:val="32"/>
        </w:rPr>
      </w:pPr>
      <w:bookmarkStart w:id="59" w:name="OLE_LINK9"/>
      <w:r>
        <w:rPr>
          <w:rFonts w:ascii="Times New Roman" w:hAnsi="Times New Roman" w:eastAsia="仿宋_GB2312"/>
          <w:b/>
          <w:bCs/>
          <w:sz w:val="32"/>
        </w:rPr>
        <w:t>推动算电协同绿色发展。</w:t>
      </w:r>
      <w:r>
        <w:rPr>
          <w:rFonts w:ascii="Times New Roman" w:hAnsi="Times New Roman" w:eastAsia="仿宋_GB2312"/>
          <w:sz w:val="32"/>
        </w:rPr>
        <w:t>统筹算力与电力基础设施布局，深化人工智能在电力交易、虚拟电厂等领域应用，提高绿电消纳占比。坚持</w:t>
      </w:r>
      <w:r>
        <w:rPr>
          <w:rFonts w:hint="eastAsia" w:ascii="Times New Roman" w:hAnsi="Times New Roman" w:eastAsia="仿宋_GB2312"/>
          <w:sz w:val="32"/>
        </w:rPr>
        <w:t>“</w:t>
      </w:r>
      <w:r>
        <w:rPr>
          <w:rFonts w:ascii="Times New Roman" w:hAnsi="Times New Roman" w:eastAsia="仿宋_GB2312"/>
          <w:sz w:val="32"/>
        </w:rPr>
        <w:t>以电强算、以算促电</w:t>
      </w:r>
      <w:r>
        <w:rPr>
          <w:rFonts w:hint="eastAsia" w:ascii="Times New Roman" w:hAnsi="Times New Roman" w:eastAsia="仿宋_GB2312"/>
          <w:sz w:val="32"/>
        </w:rPr>
        <w:t>”</w:t>
      </w:r>
      <w:r>
        <w:rPr>
          <w:rFonts w:ascii="Times New Roman" w:hAnsi="Times New Roman" w:eastAsia="仿宋_GB2312"/>
          <w:sz w:val="32"/>
        </w:rPr>
        <w:t>双向赋能，推动算力与电力在规划、建设、运行、交易、碳管理全生命周期深度耦合。推进存量数据中心绿色改造，提高算力设施能效碳效水平。</w:t>
      </w:r>
    </w:p>
    <w:bookmarkEnd w:id="59"/>
    <w:p w14:paraId="77B3AEA7">
      <w:pPr>
        <w:keepNext/>
        <w:keepLines/>
        <w:spacing w:after="0" w:line="580" w:lineRule="exact"/>
        <w:ind w:firstLine="643" w:firstLineChars="200"/>
        <w:outlineLvl w:val="1"/>
        <w:rPr>
          <w:rFonts w:ascii="Times New Roman" w:hAnsi="Times New Roman" w:eastAsia="楷体"/>
          <w:b/>
          <w:sz w:val="32"/>
        </w:rPr>
      </w:pPr>
      <w:bookmarkStart w:id="60" w:name="_Toc377054851"/>
      <w:r>
        <w:rPr>
          <w:rFonts w:ascii="Times New Roman" w:hAnsi="Times New Roman" w:eastAsia="楷体"/>
          <w:b/>
          <w:sz w:val="32"/>
        </w:rPr>
        <w:t>（五）完善数字基础设施网络</w:t>
      </w:r>
      <w:bookmarkEnd w:id="60"/>
    </w:p>
    <w:p w14:paraId="43403527">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rPr>
        <w:t>完善通信网络设施建设。</w:t>
      </w:r>
      <w:r>
        <w:rPr>
          <w:rFonts w:ascii="Times New Roman" w:hAnsi="Times New Roman" w:eastAsia="仿宋_GB2312"/>
          <w:sz w:val="32"/>
          <w:szCs w:val="32"/>
        </w:rPr>
        <w:t>加快千兆光网城乡一体化建设，持续扩大5G及5G-A网络建设规模，推进重点功能区5G-A网络深度覆盖，加强通信网络抗灾能力和应急通信保障能力。</w:t>
      </w:r>
      <w:bookmarkStart w:id="61" w:name="OLE_LINK38"/>
      <w:r>
        <w:rPr>
          <w:rFonts w:ascii="Times New Roman" w:hAnsi="Times New Roman" w:eastAsia="仿宋_GB2312"/>
          <w:sz w:val="32"/>
          <w:szCs w:val="32"/>
        </w:rPr>
        <w:t>推动互联网协议第六版（IPv6）技术创新和融合应用。</w:t>
      </w:r>
    </w:p>
    <w:bookmarkEnd w:id="61"/>
    <w:p w14:paraId="1143F602">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rPr>
        <w:t>构建全域智能感知体系。</w:t>
      </w:r>
      <w:r>
        <w:rPr>
          <w:rFonts w:ascii="Times New Roman" w:hAnsi="Times New Roman" w:eastAsia="仿宋_GB2312"/>
          <w:sz w:val="32"/>
          <w:szCs w:val="32"/>
        </w:rPr>
        <w:t>推进</w:t>
      </w:r>
      <w:r>
        <w:rPr>
          <w:rFonts w:hint="eastAsia" w:ascii="Times New Roman" w:hAnsi="Times New Roman" w:eastAsia="仿宋_GB2312"/>
          <w:sz w:val="32"/>
          <w:szCs w:val="32"/>
        </w:rPr>
        <w:t>“</w:t>
      </w:r>
      <w:r>
        <w:rPr>
          <w:rFonts w:ascii="Times New Roman" w:hAnsi="Times New Roman" w:eastAsia="仿宋_GB2312"/>
          <w:sz w:val="32"/>
          <w:szCs w:val="32"/>
        </w:rPr>
        <w:t>双智</w:t>
      </w:r>
      <w:r>
        <w:rPr>
          <w:rFonts w:hint="eastAsia" w:ascii="Times New Roman" w:hAnsi="Times New Roman" w:eastAsia="仿宋_GB2312"/>
          <w:sz w:val="32"/>
          <w:szCs w:val="32"/>
        </w:rPr>
        <w:t>”</w:t>
      </w:r>
      <w:r>
        <w:rPr>
          <w:rFonts w:ascii="Times New Roman" w:hAnsi="Times New Roman" w:eastAsia="仿宋_GB2312"/>
          <w:sz w:val="32"/>
          <w:szCs w:val="32"/>
        </w:rPr>
        <w:t>城市4.0阶段建设，</w:t>
      </w:r>
      <w:r>
        <w:rPr>
          <w:rFonts w:ascii="Times New Roman" w:hAnsi="Times New Roman" w:eastAsia="仿宋_GB2312" w:cs="仿宋_GB2312"/>
          <w:spacing w:val="-6"/>
          <w:sz w:val="32"/>
          <w:szCs w:val="32"/>
        </w:rPr>
        <w:t>对信号灯路口分级分类升级改造</w:t>
      </w:r>
      <w:r>
        <w:rPr>
          <w:rFonts w:ascii="Times New Roman" w:hAnsi="Times New Roman" w:eastAsia="仿宋_GB2312"/>
          <w:sz w:val="32"/>
          <w:szCs w:val="32"/>
        </w:rPr>
        <w:t>。系统布局全域智能感知网络，围绕城市运行安全和重点产业发展需求，部署视频监控、环境监测、交通流量采集等多类型感知终端。</w:t>
      </w:r>
      <w:bookmarkStart w:id="62" w:name="OLE_LINK39"/>
      <w:r>
        <w:rPr>
          <w:rFonts w:ascii="Times New Roman" w:hAnsi="Times New Roman" w:eastAsia="仿宋_GB2312"/>
          <w:sz w:val="32"/>
          <w:szCs w:val="32"/>
        </w:rPr>
        <w:t>推动燃气地下感知体系建设，提升地下管网运行监测和安全风险预警能力。</w:t>
      </w:r>
    </w:p>
    <w:bookmarkEnd w:id="62"/>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2215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7416039">
            <w:pPr>
              <w:spacing w:line="580" w:lineRule="exact"/>
              <w:jc w:val="center"/>
              <w:rPr>
                <w:rFonts w:ascii="Times New Roman" w:hAnsi="Times New Roman" w:eastAsia="黑体"/>
                <w:sz w:val="32"/>
              </w:rPr>
            </w:pPr>
            <w:r>
              <w:rPr>
                <w:rFonts w:ascii="Times New Roman" w:hAnsi="Times New Roman" w:eastAsia="黑体" w:cs="楷体"/>
                <w:sz w:val="28"/>
                <w:szCs w:val="22"/>
              </w:rPr>
              <w:t>专栏3 昌平区双智城市4.0建设工程</w:t>
            </w:r>
          </w:p>
        </w:tc>
      </w:tr>
      <w:tr w14:paraId="29F80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8ED12D4">
            <w:pPr>
              <w:widowControl/>
              <w:numPr>
                <w:ilvl w:val="255"/>
                <w:numId w:val="0"/>
              </w:numPr>
              <w:shd w:val="clear" w:color="auto" w:fill="FFFFFF"/>
              <w:spacing w:before="160" w:line="380" w:lineRule="exact"/>
              <w:ind w:firstLine="539"/>
              <w:rPr>
                <w:rFonts w:ascii="Times New Roman" w:hAnsi="Times New Roman" w:eastAsia="仿宋_GB2312"/>
                <w:sz w:val="28"/>
                <w:szCs w:val="32"/>
              </w:rPr>
            </w:pPr>
            <w:r>
              <w:rPr>
                <w:rFonts w:ascii="Times New Roman" w:hAnsi="Times New Roman" w:eastAsia="仿宋_GB2312" w:cs="仿宋_GB2312"/>
                <w:spacing w:val="-5"/>
                <w:sz w:val="24"/>
              </w:rPr>
              <w:t>落实北京市</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双智</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城市4.0工程要求，在总面积280平方公里的示范区推进智慧城市基础设施与智能网联汽车协同发展4.0阶段建设。示范区北至北六环、安四路、昌金路，东至顺义区界，南至朝阳、海淀区界，西至海淀区界，涵盖未来科学城、回龙观、天通苑等多类场景，涉及14个镇街。对示范区496个信号灯路口分级分类实施升级改造，实现路口</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多杆合一、多感合一、多箱合一</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；系统布局全域智能感知网络，健全智慧交通治理感知层、数据层、应用层架构，打造统一</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双智</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数据底座。推动各类</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双智</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场景应用落地，系统提升交通运行效率，构建安全智慧便捷的出行体系，打造新型智慧城市发展样板。</w:t>
            </w:r>
          </w:p>
        </w:tc>
      </w:tr>
    </w:tbl>
    <w:p w14:paraId="2B564402">
      <w:pPr>
        <w:keepNext/>
        <w:keepLines/>
        <w:spacing w:after="0" w:line="580" w:lineRule="exact"/>
        <w:ind w:firstLine="643" w:firstLineChars="200"/>
        <w:outlineLvl w:val="0"/>
        <w:rPr>
          <w:rFonts w:ascii="Times New Roman" w:hAnsi="Times New Roman" w:eastAsia="黑体"/>
          <w:b/>
          <w:kern w:val="44"/>
          <w:sz w:val="32"/>
        </w:rPr>
      </w:pPr>
      <w:bookmarkStart w:id="63" w:name="_Toc2084122107"/>
      <w:r>
        <w:rPr>
          <w:rFonts w:ascii="Times New Roman" w:hAnsi="Times New Roman" w:eastAsia="黑体"/>
          <w:b/>
          <w:kern w:val="44"/>
          <w:sz w:val="32"/>
        </w:rPr>
        <w:t>四、全面提升数字经济发展实力</w:t>
      </w:r>
      <w:bookmarkEnd w:id="63"/>
    </w:p>
    <w:p w14:paraId="277BB9D3">
      <w:pPr>
        <w:keepNext/>
        <w:keepLines/>
        <w:spacing w:after="0" w:line="580" w:lineRule="exact"/>
        <w:ind w:firstLine="643" w:firstLineChars="200"/>
        <w:outlineLvl w:val="1"/>
        <w:rPr>
          <w:rFonts w:ascii="Times New Roman" w:hAnsi="Times New Roman" w:eastAsia="楷体"/>
          <w:b/>
          <w:sz w:val="32"/>
        </w:rPr>
      </w:pPr>
      <w:bookmarkStart w:id="64" w:name="_Toc234486132"/>
      <w:r>
        <w:rPr>
          <w:rFonts w:ascii="Times New Roman" w:hAnsi="Times New Roman" w:eastAsia="楷体"/>
          <w:b/>
          <w:sz w:val="32"/>
        </w:rPr>
        <w:t>（六）</w:t>
      </w:r>
      <w:bookmarkEnd w:id="64"/>
      <w:r>
        <w:rPr>
          <w:rFonts w:ascii="Times New Roman" w:hAnsi="Times New Roman" w:eastAsia="楷体"/>
          <w:b/>
          <w:sz w:val="32"/>
        </w:rPr>
        <w:t>做优软件信息服务产业</w:t>
      </w:r>
    </w:p>
    <w:p w14:paraId="509496DD">
      <w:pPr>
        <w:spacing w:after="0" w:line="580" w:lineRule="exact"/>
        <w:ind w:firstLine="640" w:firstLineChars="200"/>
        <w:rPr>
          <w:rFonts w:ascii="Times New Roman" w:hAnsi="Times New Roman" w:eastAsia="仿宋_GB2312"/>
          <w:sz w:val="32"/>
        </w:rPr>
      </w:pPr>
      <w:bookmarkStart w:id="65" w:name="OLE_LINK40"/>
      <w:r>
        <w:rPr>
          <w:rFonts w:ascii="Times New Roman" w:hAnsi="Times New Roman" w:eastAsia="仿宋_GB2312"/>
          <w:sz w:val="32"/>
        </w:rPr>
        <w:t>做优行业应用软件，依托医药健康、先进能源、先进制造等领域产业基础，发展医药健康数字化、能源互联网等行业应用产品。提升操作系统、数据库等基础软件技术水平，培育自主可控的工业软件。加快培育人工智能软件，面向医药健康、能源电力等细分领域开发垂类模型和专用算法，推动行业数智化转型。发展智能编程工具、软件智能体等新型软件业态，推动软件开发流程智能化，鼓励软件企业向智能体业务模式转型。深入开展产业链精准招商，放大总部经济集聚效应，构建梯度培育</w:t>
      </w:r>
      <w:r>
        <w:rPr>
          <w:rFonts w:hint="eastAsia" w:ascii="Times New Roman" w:hAnsi="Times New Roman" w:eastAsia="仿宋_GB2312"/>
          <w:sz w:val="32"/>
        </w:rPr>
        <w:t>体系</w:t>
      </w:r>
      <w:r>
        <w:rPr>
          <w:rFonts w:ascii="Times New Roman" w:hAnsi="Times New Roman" w:eastAsia="仿宋_GB2312"/>
          <w:sz w:val="32"/>
        </w:rPr>
        <w:t>，推动大中小企业协同联动，提升软件产业原始创新能力。</w:t>
      </w:r>
      <w:bookmarkEnd w:id="65"/>
    </w:p>
    <w:p w14:paraId="6F6C7380">
      <w:pPr>
        <w:keepNext/>
        <w:keepLines/>
        <w:spacing w:after="0" w:line="580" w:lineRule="exact"/>
        <w:ind w:firstLine="643" w:firstLineChars="200"/>
        <w:outlineLvl w:val="1"/>
        <w:rPr>
          <w:rFonts w:ascii="Times New Roman" w:hAnsi="Times New Roman" w:eastAsia="楷体"/>
          <w:b/>
          <w:sz w:val="32"/>
        </w:rPr>
      </w:pPr>
      <w:bookmarkStart w:id="66" w:name="_Toc375928279"/>
      <w:r>
        <w:rPr>
          <w:rFonts w:ascii="Times New Roman" w:hAnsi="Times New Roman" w:eastAsia="楷体"/>
          <w:b/>
          <w:sz w:val="32"/>
        </w:rPr>
        <w:t>（七）做大数字硬件制造产业</w:t>
      </w:r>
      <w:bookmarkEnd w:id="66"/>
    </w:p>
    <w:p w14:paraId="2E97DFD3">
      <w:pPr>
        <w:spacing w:after="0" w:line="560" w:lineRule="exact"/>
        <w:ind w:firstLine="640" w:firstLineChars="200"/>
        <w:rPr>
          <w:rFonts w:ascii="Times New Roman" w:hAnsi="Times New Roman" w:eastAsia="仿宋_GB2312"/>
          <w:sz w:val="32"/>
        </w:rPr>
      </w:pPr>
      <w:r>
        <w:rPr>
          <w:rFonts w:ascii="Times New Roman" w:hAnsi="Times New Roman" w:eastAsia="仿宋_GB2312"/>
          <w:sz w:val="32"/>
        </w:rPr>
        <w:t>做强智能终端制造，推动智能手机、智能电脑、智能可穿戴、视听设备等终端产品研发制造，支持终端产品迭代升级，拓宽智能终端产品矩阵。壮大服务器产业，发挥服务器企业集聚优势，发展通用服务器、人工智能服务器、国产自主服务器等整机产品，提升整机研发制造、适配测试、软硬件协同能力，布局整机柜、液冷等新技术新产品，拓宽智算市场，强化算力基础设施硬件支撑。</w:t>
      </w:r>
      <w:bookmarkStart w:id="67" w:name="OLE_LINK41"/>
      <w:r>
        <w:rPr>
          <w:rFonts w:ascii="Times New Roman" w:hAnsi="Times New Roman" w:eastAsia="仿宋_GB2312"/>
          <w:sz w:val="32"/>
        </w:rPr>
        <w:t>攻关高端溅射靶材、超高纯金属材料等核心材料，</w:t>
      </w:r>
      <w:r>
        <w:rPr>
          <w:rFonts w:hint="eastAsia" w:ascii="Times New Roman" w:hAnsi="Times New Roman" w:eastAsia="仿宋" w:cs="仿宋"/>
          <w:sz w:val="32"/>
        </w:rPr>
        <w:t>突破半导体再生设备、国产化工艺设备等关键设备</w:t>
      </w:r>
      <w:r>
        <w:rPr>
          <w:rFonts w:ascii="Times New Roman" w:hAnsi="Times New Roman" w:eastAsia="仿宋_GB2312"/>
          <w:sz w:val="32"/>
        </w:rPr>
        <w:t>。培育智能装备产业，强化增材制造、特种、医疗、轨道交通、精密检测等装备制造优势，攻关高功率激光器等核心配套零部件。</w:t>
      </w:r>
      <w:bookmarkEnd w:id="67"/>
    </w:p>
    <w:p w14:paraId="137271E7">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（八）培育数字消费新业态</w:t>
      </w:r>
    </w:p>
    <w:p w14:paraId="28887300">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丰富新一代智能手机、智能家居、智能穿戴等智能终端产品供给，推动终端产品销售与体验融合，培育数字消费新热点。加速优质数字内容创作与传播，鼓励网络文学视觉化开发、IP衍生授权，支持影视、动漫、游戏等领域创作，发展数字广告、数字营销等新型创意业态。推动AIGC+视听产业发展，释放票根经济等新消费潜力。积极引进培育数字内容、生活服务、产业互联网等领域平台企业，促进平台经济健康发展。支持直播电商、内容电商提质扩容，促进网络零售、即时零售协同发展。加快物流基地建设，布局</w:t>
      </w:r>
      <w:r>
        <w:rPr>
          <w:rFonts w:hint="eastAsia" w:ascii="Times New Roman" w:hAnsi="Times New Roman" w:eastAsia="仿宋_GB2312"/>
          <w:sz w:val="32"/>
        </w:rPr>
        <w:t>“</w:t>
      </w:r>
      <w:r>
        <w:rPr>
          <w:rFonts w:ascii="Times New Roman" w:hAnsi="Times New Roman" w:eastAsia="仿宋_GB2312"/>
          <w:sz w:val="32"/>
        </w:rPr>
        <w:t>人工智能+现代物流</w:t>
      </w:r>
      <w:r>
        <w:rPr>
          <w:rFonts w:hint="eastAsia" w:ascii="Times New Roman" w:hAnsi="Times New Roman" w:eastAsia="仿宋_GB2312"/>
          <w:sz w:val="32"/>
        </w:rPr>
        <w:t>”</w:t>
      </w:r>
      <w:r>
        <w:rPr>
          <w:rFonts w:ascii="Times New Roman" w:hAnsi="Times New Roman" w:eastAsia="仿宋_GB2312"/>
          <w:sz w:val="32"/>
        </w:rPr>
        <w:t>。推进智慧商圈与街区建设，构建数字消费场景，打造一批数字消费体验中心。</w:t>
      </w:r>
    </w:p>
    <w:p w14:paraId="15B096CD">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（九）深入实施</w:t>
      </w:r>
      <w:r>
        <w:rPr>
          <w:rFonts w:hint="eastAsia" w:ascii="Times New Roman" w:hAnsi="Times New Roman" w:eastAsia="楷体"/>
          <w:b/>
          <w:sz w:val="32"/>
        </w:rPr>
        <w:t>“</w:t>
      </w:r>
      <w:r>
        <w:rPr>
          <w:rFonts w:ascii="Times New Roman" w:hAnsi="Times New Roman" w:eastAsia="楷体"/>
          <w:b/>
          <w:sz w:val="32"/>
        </w:rPr>
        <w:t>人工智能+</w:t>
      </w:r>
      <w:r>
        <w:rPr>
          <w:rFonts w:hint="eastAsia" w:ascii="Times New Roman" w:hAnsi="Times New Roman" w:eastAsia="楷体"/>
          <w:b/>
          <w:sz w:val="32"/>
        </w:rPr>
        <w:t>”</w:t>
      </w:r>
      <w:r>
        <w:rPr>
          <w:rFonts w:ascii="Times New Roman" w:hAnsi="Times New Roman" w:eastAsia="楷体"/>
          <w:b/>
          <w:sz w:val="32"/>
        </w:rPr>
        <w:t>行动计划</w:t>
      </w:r>
    </w:p>
    <w:p w14:paraId="3295FB1C">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rPr>
        <w:t>赋能医药健康创新升级。</w:t>
      </w:r>
      <w:r>
        <w:rPr>
          <w:rFonts w:ascii="Times New Roman" w:hAnsi="Times New Roman" w:eastAsia="仿宋_GB2312"/>
          <w:sz w:val="32"/>
        </w:rPr>
        <w:t>推动医药健康垂类模型建设，鼓励产学研医联合开发行业及场景模型。推动人工智能向靶点发现、药物分子设计、药物筛选及优化、临床试验设计等关键环节渗透，提升创新药研发效率和智慧诊疗水平。加快</w:t>
      </w:r>
      <w:r>
        <w:rPr>
          <w:rFonts w:hint="eastAsia" w:ascii="Times New Roman" w:hAnsi="Times New Roman" w:eastAsia="仿宋_GB2312"/>
          <w:sz w:val="32"/>
        </w:rPr>
        <w:t>“</w:t>
      </w:r>
      <w:r>
        <w:rPr>
          <w:rFonts w:ascii="Times New Roman" w:hAnsi="Times New Roman" w:eastAsia="仿宋_GB2312"/>
          <w:sz w:val="32"/>
        </w:rPr>
        <w:t>数字心</w:t>
      </w:r>
      <w:r>
        <w:rPr>
          <w:rFonts w:hint="eastAsia" w:ascii="Times New Roman" w:hAnsi="Times New Roman" w:eastAsia="仿宋_GB2312"/>
          <w:sz w:val="32"/>
        </w:rPr>
        <w:t>”“</w:t>
      </w:r>
      <w:r>
        <w:rPr>
          <w:rFonts w:ascii="Times New Roman" w:hAnsi="Times New Roman" w:eastAsia="仿宋_GB2312"/>
          <w:sz w:val="32"/>
        </w:rPr>
        <w:t>数字脑</w:t>
      </w:r>
      <w:r>
        <w:rPr>
          <w:rFonts w:hint="eastAsia" w:ascii="Times New Roman" w:hAnsi="Times New Roman" w:eastAsia="仿宋_GB2312"/>
          <w:sz w:val="32"/>
        </w:rPr>
        <w:t>”</w:t>
      </w:r>
      <w:r>
        <w:rPr>
          <w:rFonts w:ascii="Times New Roman" w:hAnsi="Times New Roman" w:eastAsia="仿宋_GB2312"/>
          <w:sz w:val="32"/>
        </w:rPr>
        <w:t>等数字医生产品迭代，推动医学影像辅助诊断、临床诊疗辅助决策、手术规划、智能手术机器人等场景应用。推进</w:t>
      </w:r>
      <w:r>
        <w:rPr>
          <w:rFonts w:hint="eastAsia" w:ascii="Times New Roman" w:hAnsi="Times New Roman" w:eastAsia="仿宋_GB2312"/>
          <w:sz w:val="32"/>
        </w:rPr>
        <w:t>“</w:t>
      </w:r>
      <w:r>
        <w:rPr>
          <w:rFonts w:ascii="Times New Roman" w:hAnsi="Times New Roman" w:eastAsia="仿宋_GB2312"/>
          <w:sz w:val="32"/>
        </w:rPr>
        <w:t>互联网+医疗健康</w:t>
      </w:r>
      <w:r>
        <w:rPr>
          <w:rFonts w:hint="eastAsia" w:ascii="Times New Roman" w:hAnsi="Times New Roman" w:eastAsia="仿宋_GB2312"/>
          <w:sz w:val="32"/>
        </w:rPr>
        <w:t>”</w:t>
      </w:r>
      <w:r>
        <w:rPr>
          <w:rFonts w:ascii="Times New Roman" w:hAnsi="Times New Roman" w:eastAsia="仿宋_GB2312"/>
          <w:sz w:val="32"/>
        </w:rPr>
        <w:t>，发展数字疗法等新业态，拓展智慧医疗、健康管理服务。</w:t>
      </w:r>
    </w:p>
    <w:p w14:paraId="3ECF2355">
      <w:pPr>
        <w:spacing w:after="0" w:line="580" w:lineRule="exact"/>
        <w:ind w:firstLine="643" w:firstLineChars="200"/>
        <w:rPr>
          <w:rFonts w:ascii="Times New Roman" w:hAnsi="Times New Roman" w:eastAsia="仿宋_GB2312" w:cs="仿宋_GB2312"/>
          <w:sz w:val="32"/>
          <w:szCs w:val="32"/>
        </w:rPr>
      </w:pPr>
      <w:r>
        <w:rPr>
          <w:rFonts w:ascii="Times New Roman" w:hAnsi="Times New Roman" w:eastAsia="仿宋_GB2312"/>
          <w:b/>
          <w:bCs/>
          <w:sz w:val="32"/>
        </w:rPr>
        <w:t>助力能源产业智慧转型。</w:t>
      </w:r>
      <w:r>
        <w:rPr>
          <w:rFonts w:ascii="Times New Roman" w:hAnsi="Times New Roman" w:eastAsia="仿宋_GB2312"/>
          <w:sz w:val="32"/>
        </w:rPr>
        <w:t>推动校企协同开展能源领域专用模型研发迭代，支持建设共性技术平台。推动人工智能技术在新能源功率预测、电力调控、勘探开发、智慧运维等领域应用，支撑新型电力系统建设。培育虚拟电厂、源网荷储一体化、微电网等新业态，发展能源智能芯片、智能控制系统。聚焦能源互联网产业，支持能源企业数智化板块集聚。促进新型储能、氢能产业智能化升级，打造</w:t>
      </w:r>
      <w:r>
        <w:rPr>
          <w:rFonts w:hint="eastAsia" w:ascii="Times New Roman" w:hAnsi="Times New Roman" w:eastAsia="仿宋_GB2312"/>
          <w:sz w:val="32"/>
        </w:rPr>
        <w:t>“</w:t>
      </w:r>
      <w:r>
        <w:rPr>
          <w:rFonts w:ascii="Times New Roman" w:hAnsi="Times New Roman" w:eastAsia="仿宋_GB2312"/>
          <w:sz w:val="32"/>
        </w:rPr>
        <w:t>氢能—智能网联—北斗定位</w:t>
      </w:r>
      <w:r>
        <w:rPr>
          <w:rFonts w:hint="eastAsia" w:ascii="Times New Roman" w:hAnsi="Times New Roman" w:eastAsia="仿宋_GB2312"/>
          <w:sz w:val="32"/>
        </w:rPr>
        <w:t>”</w:t>
      </w:r>
      <w:r>
        <w:rPr>
          <w:rFonts w:ascii="Times New Roman" w:hAnsi="Times New Roman" w:eastAsia="仿宋_GB2312"/>
          <w:sz w:val="32"/>
        </w:rPr>
        <w:t>融合应用场景，探索氢能为算力设施供能，鼓励应用智能算法提高全链条效率与安全性能。</w:t>
      </w:r>
    </w:p>
    <w:p w14:paraId="2B8B5CA1">
      <w:pPr>
        <w:spacing w:after="0" w:line="580" w:lineRule="exact"/>
        <w:ind w:firstLine="643" w:firstLineChars="200"/>
        <w:rPr>
          <w:rFonts w:ascii="Times New Roman" w:hAnsi="Times New Roman" w:eastAsia="仿宋_GB2312"/>
          <w:sz w:val="32"/>
          <w:szCs w:val="32"/>
        </w:rPr>
      </w:pPr>
      <w:bookmarkStart w:id="68" w:name="OLE_LINK42"/>
      <w:r>
        <w:rPr>
          <w:rFonts w:ascii="Times New Roman" w:hAnsi="Times New Roman" w:eastAsia="仿宋_GB2312"/>
          <w:b/>
          <w:bCs/>
          <w:sz w:val="32"/>
        </w:rPr>
        <w:t>驱动智能制造提质增效</w:t>
      </w:r>
      <w:bookmarkEnd w:id="68"/>
      <w:r>
        <w:rPr>
          <w:rFonts w:ascii="Times New Roman" w:hAnsi="Times New Roman" w:eastAsia="仿宋_GB2312"/>
          <w:b/>
          <w:bCs/>
          <w:sz w:val="32"/>
        </w:rPr>
        <w:t>。</w:t>
      </w:r>
      <w:r>
        <w:rPr>
          <w:rFonts w:ascii="Times New Roman" w:hAnsi="Times New Roman" w:eastAsia="仿宋_GB2312"/>
          <w:sz w:val="32"/>
        </w:rPr>
        <w:t>推动人工智能技术向研发设计、生产制造、供应链管理、产品服务全流程渗透，建设工业机器人、智能检测系统及柔性生产线，实现生产流程自动化与智能化升级。</w:t>
      </w:r>
      <w:bookmarkStart w:id="69" w:name="OLE_LINK5"/>
      <w:r>
        <w:rPr>
          <w:rFonts w:ascii="Times New Roman" w:hAnsi="Times New Roman" w:eastAsia="仿宋_GB2312"/>
          <w:sz w:val="32"/>
          <w:szCs w:val="32"/>
        </w:rPr>
        <w:t>推动工业互联网规模化应用，引导企业</w:t>
      </w:r>
      <w:r>
        <w:rPr>
          <w:rFonts w:hint="eastAsia" w:ascii="Times New Roman" w:hAnsi="Times New Roman" w:eastAsia="仿宋_GB2312"/>
          <w:sz w:val="32"/>
          <w:szCs w:val="32"/>
        </w:rPr>
        <w:t>“</w:t>
      </w:r>
      <w:r>
        <w:rPr>
          <w:rFonts w:ascii="Times New Roman" w:hAnsi="Times New Roman" w:eastAsia="仿宋_GB2312"/>
          <w:sz w:val="32"/>
          <w:szCs w:val="32"/>
        </w:rPr>
        <w:t>上云用数赋智</w:t>
      </w:r>
      <w:r>
        <w:rPr>
          <w:rFonts w:hint="eastAsia" w:ascii="Times New Roman" w:hAnsi="Times New Roman" w:eastAsia="仿宋_GB2312"/>
          <w:sz w:val="32"/>
          <w:szCs w:val="32"/>
        </w:rPr>
        <w:t>”</w:t>
      </w:r>
      <w:r>
        <w:rPr>
          <w:rFonts w:ascii="Times New Roman" w:hAnsi="Times New Roman" w:eastAsia="仿宋_GB2312"/>
          <w:sz w:val="32"/>
          <w:szCs w:val="32"/>
        </w:rPr>
        <w:t>，培育工业垂类模型。引导龙头企业开展平台化设计、智能化改造、网络化协同、个性化定制、服务化延伸、数字化管理，发展数字孪生、服务型制造。鼓励数字赋能中试平台建设，梯度培育基础级至卓越级智能工厂、灯塔工厂。</w:t>
      </w:r>
      <w:bookmarkEnd w:id="69"/>
    </w:p>
    <w:p w14:paraId="1C6D63C8">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szCs w:val="32"/>
        </w:rPr>
        <w:t>推动农业数字化转型。</w:t>
      </w:r>
      <w:r>
        <w:rPr>
          <w:rFonts w:ascii="Times New Roman" w:hAnsi="Times New Roman" w:eastAsia="仿宋_GB2312"/>
          <w:sz w:val="32"/>
        </w:rPr>
        <w:t>构建精准作业体系与数字化管理体系，配备北斗导航等智能终端，推进设施温室数字化转型与智慧农业升级。开展智慧农场示范项目建设，集成应用农业机器人、自动驾驶拖拉机、无人机植保等智能装备，构建</w:t>
      </w:r>
      <w:r>
        <w:rPr>
          <w:rFonts w:hint="eastAsia" w:ascii="Times New Roman" w:hAnsi="Times New Roman" w:eastAsia="仿宋_GB2312"/>
          <w:sz w:val="32"/>
        </w:rPr>
        <w:t>“</w:t>
      </w:r>
      <w:r>
        <w:rPr>
          <w:rFonts w:ascii="Times New Roman" w:hAnsi="Times New Roman" w:eastAsia="仿宋_GB2312"/>
          <w:sz w:val="32"/>
        </w:rPr>
        <w:t>空天地</w:t>
      </w:r>
      <w:r>
        <w:rPr>
          <w:rFonts w:hint="eastAsia" w:ascii="Times New Roman" w:hAnsi="Times New Roman" w:eastAsia="仿宋_GB2312"/>
          <w:sz w:val="32"/>
        </w:rPr>
        <w:t>”</w:t>
      </w:r>
      <w:r>
        <w:rPr>
          <w:rFonts w:ascii="Times New Roman" w:hAnsi="Times New Roman" w:eastAsia="仿宋_GB2312"/>
          <w:sz w:val="32"/>
        </w:rPr>
        <w:t>一体化的智能操作系统。拓展农产品直播电商、社群运营等数字消费场景。</w:t>
      </w:r>
    </w:p>
    <w:p w14:paraId="2B99BA96">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szCs w:val="32"/>
        </w:rPr>
        <w:t>提升文旅数智化水平。</w:t>
      </w:r>
      <w:r>
        <w:rPr>
          <w:rFonts w:ascii="Times New Roman" w:hAnsi="Times New Roman" w:eastAsia="仿宋_GB2312"/>
          <w:sz w:val="32"/>
        </w:rPr>
        <w:t>构建昌平</w:t>
      </w:r>
      <w:r>
        <w:rPr>
          <w:rFonts w:hint="eastAsia" w:ascii="Times New Roman" w:hAnsi="Times New Roman" w:eastAsia="仿宋_GB2312"/>
          <w:sz w:val="32"/>
        </w:rPr>
        <w:t>“</w:t>
      </w:r>
      <w:r>
        <w:rPr>
          <w:rFonts w:ascii="Times New Roman" w:hAnsi="Times New Roman" w:eastAsia="仿宋_GB2312"/>
          <w:sz w:val="32"/>
        </w:rPr>
        <w:t>数字记忆</w:t>
      </w:r>
      <w:r>
        <w:rPr>
          <w:rFonts w:hint="eastAsia" w:ascii="Times New Roman" w:hAnsi="Times New Roman" w:eastAsia="仿宋_GB2312"/>
          <w:sz w:val="32"/>
        </w:rPr>
        <w:t>”</w:t>
      </w:r>
      <w:r>
        <w:rPr>
          <w:rFonts w:ascii="Times New Roman" w:hAnsi="Times New Roman" w:eastAsia="仿宋_GB2312"/>
          <w:sz w:val="32"/>
        </w:rPr>
        <w:t>体系，</w:t>
      </w:r>
      <w:r>
        <w:rPr>
          <w:rFonts w:ascii="Times New Roman" w:hAnsi="Times New Roman" w:eastAsia="仿宋_GB2312" w:cs="仿宋_GB2312"/>
          <w:color w:val="000000"/>
          <w:sz w:val="32"/>
          <w:szCs w:val="32"/>
        </w:rPr>
        <w:t>推动史料数字化开发与IP转化，利用数字技术活化明文化等历史遗产。推动文物数字化、智能化转型，发展智慧文博，运用数字孪生技术构建文物三维模型，开发虚拟展厅和沉浸式体验空间。打造</w:t>
      </w:r>
      <w:r>
        <w:rPr>
          <w:rFonts w:hint="eastAsia" w:ascii="Times New Roman" w:hAnsi="Times New Roman" w:eastAsia="仿宋_GB2312" w:cs="仿宋_GB2312"/>
          <w:color w:val="000000"/>
          <w:sz w:val="32"/>
          <w:szCs w:val="32"/>
        </w:rPr>
        <w:t>“</w:t>
      </w:r>
      <w:r>
        <w:rPr>
          <w:rFonts w:ascii="Times New Roman" w:hAnsi="Times New Roman" w:eastAsia="仿宋_GB2312" w:cs="仿宋_GB2312"/>
          <w:color w:val="000000"/>
          <w:sz w:val="32"/>
          <w:szCs w:val="32"/>
        </w:rPr>
        <w:t>昌平云文化</w:t>
      </w:r>
      <w:r>
        <w:rPr>
          <w:rFonts w:hint="eastAsia" w:ascii="Times New Roman" w:hAnsi="Times New Roman" w:eastAsia="仿宋_GB2312" w:cs="仿宋_GB2312"/>
          <w:color w:val="000000"/>
          <w:sz w:val="32"/>
          <w:szCs w:val="32"/>
        </w:rPr>
        <w:t>”</w:t>
      </w:r>
      <w:r>
        <w:rPr>
          <w:rFonts w:ascii="Times New Roman" w:hAnsi="Times New Roman" w:eastAsia="仿宋_GB2312" w:cs="仿宋_GB2312"/>
          <w:color w:val="000000"/>
          <w:sz w:val="32"/>
          <w:szCs w:val="32"/>
        </w:rPr>
        <w:t>服务平台，推动全区文化场馆数字化改造升级、公共文化机构数字资源建设。发展智慧旅游，升级一站式智慧服务平台，开发AI智能导览、AR/MR沉浸体验等服务。优化线上传播矩阵，多渠道推介昌平特色资源。</w:t>
      </w:r>
    </w:p>
    <w:p w14:paraId="4397D88B">
      <w:pPr>
        <w:keepNext/>
        <w:keepLines/>
        <w:spacing w:after="0" w:line="580" w:lineRule="exact"/>
        <w:ind w:firstLine="643" w:firstLineChars="200"/>
        <w:outlineLvl w:val="0"/>
        <w:rPr>
          <w:rFonts w:ascii="Times New Roman" w:hAnsi="Times New Roman" w:eastAsia="黑体"/>
          <w:b/>
          <w:kern w:val="44"/>
          <w:sz w:val="32"/>
        </w:rPr>
      </w:pPr>
      <w:bookmarkStart w:id="70" w:name="_Toc687467693"/>
      <w:r>
        <w:rPr>
          <w:rFonts w:ascii="Times New Roman" w:hAnsi="Times New Roman" w:eastAsia="黑体"/>
          <w:b/>
          <w:kern w:val="44"/>
          <w:sz w:val="32"/>
        </w:rPr>
        <w:t>五、培育智能经济未来赛道</w:t>
      </w:r>
      <w:bookmarkEnd w:id="70"/>
    </w:p>
    <w:p w14:paraId="335B3459">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（十）做强机器人产业生态</w:t>
      </w:r>
    </w:p>
    <w:p w14:paraId="4CF40ABB">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以具身智能为引领，重点发展协作机器人、物流机器人、家用服务机器人、特种机器人、医疗手术机器人等整机产品。攻关高功率密度电机、高性能关节驱动器等核心动力部件，高端柔性触觉传感器、六维力传感器等核心传感器件，高可靠高自由度灵巧手、高密度高安全性电池、高拟人度仿生脸、人工肌肉模组等核心功能部件。强化北京市机器人产业园（昌平）</w:t>
      </w:r>
      <w:r>
        <w:rPr>
          <w:rFonts w:hint="eastAsia" w:ascii="Times New Roman" w:hAnsi="Times New Roman" w:eastAsia="仿宋_GB2312"/>
          <w:sz w:val="32"/>
        </w:rPr>
        <w:t>“</w:t>
      </w:r>
      <w:r>
        <w:rPr>
          <w:rFonts w:ascii="Times New Roman" w:hAnsi="Times New Roman" w:eastAsia="仿宋_GB2312"/>
          <w:sz w:val="32"/>
        </w:rPr>
        <w:t>一核引领</w:t>
      </w:r>
      <w:r>
        <w:rPr>
          <w:rFonts w:hint="eastAsia" w:ascii="Times New Roman" w:hAnsi="Times New Roman" w:eastAsia="仿宋_GB2312"/>
          <w:sz w:val="32"/>
        </w:rPr>
        <w:t>”</w:t>
      </w:r>
      <w:r>
        <w:rPr>
          <w:rFonts w:ascii="Times New Roman" w:hAnsi="Times New Roman" w:eastAsia="仿宋_GB2312"/>
          <w:sz w:val="32"/>
        </w:rPr>
        <w:t>作用，打造机器人产业先进技术创新基地和创新企业总部基地。围绕重点场景，探索推动机器人产品试点试用，提升泛化能力。</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688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94C7DF3">
            <w:pPr>
              <w:spacing w:line="580" w:lineRule="exact"/>
              <w:jc w:val="center"/>
              <w:rPr>
                <w:rFonts w:ascii="Times New Roman" w:hAnsi="Times New Roman" w:eastAsia="黑体"/>
                <w:sz w:val="32"/>
              </w:rPr>
            </w:pPr>
            <w:r>
              <w:rPr>
                <w:rFonts w:ascii="Times New Roman" w:hAnsi="Times New Roman" w:eastAsia="黑体" w:cs="楷体"/>
                <w:sz w:val="28"/>
                <w:szCs w:val="22"/>
              </w:rPr>
              <w:t>专栏4 机器人产业示范引领工程</w:t>
            </w:r>
          </w:p>
        </w:tc>
      </w:tr>
      <w:tr w14:paraId="200C7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176886EA">
            <w:pPr>
              <w:numPr>
                <w:ilvl w:val="255"/>
                <w:numId w:val="0"/>
              </w:numPr>
              <w:shd w:val="clear" w:color="auto" w:fill="FFFFFF"/>
              <w:spacing w:before="160" w:line="380" w:lineRule="exact"/>
              <w:ind w:firstLine="539"/>
              <w:rPr>
                <w:rFonts w:ascii="Times New Roman" w:hAnsi="Times New Roman" w:eastAsia="仿宋_GB2312"/>
                <w:sz w:val="28"/>
                <w:szCs w:val="28"/>
              </w:rPr>
            </w:pPr>
            <w:r>
              <w:rPr>
                <w:rFonts w:ascii="Times New Roman" w:hAnsi="Times New Roman" w:eastAsia="仿宋_GB2312" w:cs="仿宋_GB2312"/>
                <w:spacing w:val="-5"/>
                <w:sz w:val="24"/>
              </w:rPr>
              <w:t>落实北京市机器人产业</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一南一北</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总体布局，打造北京北部机器人产研结合示范区。依托机器人产业园及周边产业载体，建设检验检测、仿真测试、中试熟化、快速打样等共性服务平台，拓展高品质产业承载空间。联合市级部门申报建设京津冀智能机器人集群，联动天津先进制造研发基地与河北产业转型升级腹地，整合三地创新资源与产业配套，深化</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北京研发创新—津冀量产制造</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协同。建设机器人产业生态能力提升成效明显区，聚焦提升产业链关键环节能力、强化产业共性服务能力、构建产业生态应用能力，完善</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技术攻关—样机试制—测试评价—中试定型—场景验证—反馈迭代</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产业化闭环。面向工业制造、养老服务、教育科研、文化演出等领域遴选一批</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机器人+</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创新应用场景，打造国内领先的机器人</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研、产、用、管</w:t>
            </w:r>
            <w:r>
              <w:rPr>
                <w:rFonts w:hint="eastAsia" w:ascii="Times New Roman" w:hAnsi="Times New Roman" w:eastAsia="仿宋_GB2312" w:cs="仿宋_GB2312"/>
                <w:spacing w:val="-5"/>
                <w:sz w:val="24"/>
              </w:rPr>
              <w:t>”</w:t>
            </w:r>
            <w:r>
              <w:rPr>
                <w:rFonts w:ascii="Times New Roman" w:hAnsi="Times New Roman" w:eastAsia="仿宋_GB2312" w:cs="仿宋_GB2312"/>
                <w:spacing w:val="-5"/>
                <w:sz w:val="24"/>
              </w:rPr>
              <w:t>产业高地。</w:t>
            </w:r>
          </w:p>
        </w:tc>
      </w:tr>
    </w:tbl>
    <w:p w14:paraId="19B60388">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（十一）推进6G技术创新</w:t>
      </w:r>
    </w:p>
    <w:p w14:paraId="76B22D14">
      <w:pPr>
        <w:spacing w:after="0" w:line="580" w:lineRule="exact"/>
        <w:ind w:firstLine="640" w:firstLineChars="200"/>
        <w:rPr>
          <w:rFonts w:ascii="Times New Roman" w:hAnsi="Times New Roman" w:eastAsia="楷体"/>
          <w:b/>
          <w:sz w:val="32"/>
        </w:rPr>
      </w:pPr>
      <w:r>
        <w:rPr>
          <w:rFonts w:ascii="Times New Roman" w:hAnsi="Times New Roman" w:eastAsia="仿宋_GB2312"/>
          <w:sz w:val="32"/>
        </w:rPr>
        <w:t>依托北京6G实验室及子实验室，开展核心技术攻关、国际标准制定和试验验证，打造全球6G创新策源地、标准引领高地、产业融合标杆。推进6G通感算智融合研发试验，搭建综合性仿真验证平台，验证新型网络架构与关键技术方案。加快6G核心芯片、高端元器件、射频器件及核心网络设备研发，培育新型终端产品体系，构建研发、测试、运营全链条产业。推动6G与卫星通信深度融合，打造空天地一体化网络。系统开展6G技术试验验证和预商用产品外场测试，探索</w:t>
      </w:r>
      <w:r>
        <w:rPr>
          <w:rFonts w:hint="eastAsia" w:ascii="Times New Roman" w:hAnsi="Times New Roman" w:eastAsia="仿宋_GB2312"/>
          <w:sz w:val="32"/>
        </w:rPr>
        <w:t>“</w:t>
      </w:r>
      <w:r>
        <w:rPr>
          <w:rFonts w:ascii="Times New Roman" w:hAnsi="Times New Roman" w:eastAsia="仿宋_GB2312"/>
          <w:sz w:val="32"/>
        </w:rPr>
        <w:t>6G+</w:t>
      </w:r>
      <w:r>
        <w:rPr>
          <w:rFonts w:hint="eastAsia" w:ascii="Times New Roman" w:hAnsi="Times New Roman" w:eastAsia="仿宋_GB2312"/>
          <w:sz w:val="32"/>
        </w:rPr>
        <w:t>”</w:t>
      </w:r>
      <w:r>
        <w:rPr>
          <w:rFonts w:ascii="Times New Roman" w:hAnsi="Times New Roman" w:eastAsia="仿宋_GB2312"/>
          <w:sz w:val="32"/>
        </w:rPr>
        <w:t>场景创新应用，打造6G技术验证与产业孵化高地。</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1E237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C784CB5">
            <w:pPr>
              <w:spacing w:line="580" w:lineRule="exact"/>
              <w:jc w:val="center"/>
              <w:rPr>
                <w:rFonts w:ascii="Times New Roman" w:hAnsi="Times New Roman" w:eastAsia="黑体"/>
                <w:sz w:val="32"/>
              </w:rPr>
            </w:pPr>
            <w:r>
              <w:rPr>
                <w:rFonts w:ascii="Times New Roman" w:hAnsi="Times New Roman" w:eastAsia="黑体" w:cs="楷体"/>
                <w:sz w:val="28"/>
                <w:szCs w:val="22"/>
              </w:rPr>
              <w:t>专栏5 6G创新技术孵化工程</w:t>
            </w:r>
          </w:p>
        </w:tc>
      </w:tr>
      <w:tr w14:paraId="1B4C5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2016A00">
            <w:pPr>
              <w:numPr>
                <w:ilvl w:val="255"/>
                <w:numId w:val="0"/>
              </w:numPr>
              <w:spacing w:before="160" w:line="380" w:lineRule="exact"/>
              <w:ind w:firstLine="460" w:firstLineChars="200"/>
              <w:rPr>
                <w:rFonts w:ascii="Times New Roman" w:hAnsi="Times New Roman" w:eastAsia="仿宋_GB2312"/>
                <w:sz w:val="28"/>
                <w:szCs w:val="32"/>
              </w:rPr>
            </w:pPr>
            <w:r>
              <w:rPr>
                <w:rFonts w:ascii="Times New Roman" w:hAnsi="Times New Roman" w:eastAsia="仿宋_GB2312" w:cs="仿宋_GB2312"/>
                <w:spacing w:val="-5"/>
                <w:sz w:val="24"/>
              </w:rPr>
              <w:t>承接全市6G试验站点布局，依托北京6G实验室及子实验室，建设6G开放实验验证外网，提供多维度组网、空天地一体开放试验能力，开展6G系统关键技术和预商用产品外场测试验证。建设6G展示与孵化中心，面向高校、科研院所、企业提供真实场地、网络、环境，推进技术攻关、设备研制、产品测试和创新场景孵化。探索6G+先进制造、6G+智慧能源、6G+医药健康等场景创新应用，打造6G技术验证与产业孵化高地。</w:t>
            </w:r>
          </w:p>
        </w:tc>
      </w:tr>
    </w:tbl>
    <w:p w14:paraId="5B215C23">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（十二）</w:t>
      </w:r>
      <w:bookmarkStart w:id="71" w:name="OLE_LINK36"/>
      <w:r>
        <w:rPr>
          <w:rFonts w:ascii="Times New Roman" w:hAnsi="Times New Roman" w:eastAsia="楷体"/>
          <w:b/>
          <w:sz w:val="32"/>
        </w:rPr>
        <w:t>布局脑科学与脑机接口产业</w:t>
      </w:r>
    </w:p>
    <w:bookmarkEnd w:id="71"/>
    <w:p w14:paraId="29D8A287">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依托北京脑科学与类脑研究所等战略力量，加强脑科学与类脑智能基础研究，支持开展脑机接口核心器件等关键技术研发。推动</w:t>
      </w:r>
      <w:r>
        <w:rPr>
          <w:rFonts w:hint="eastAsia" w:ascii="Times New Roman" w:hAnsi="Times New Roman" w:eastAsia="仿宋_GB2312"/>
          <w:sz w:val="32"/>
        </w:rPr>
        <w:t>“</w:t>
      </w:r>
      <w:r>
        <w:rPr>
          <w:rFonts w:ascii="Times New Roman" w:hAnsi="Times New Roman" w:eastAsia="仿宋_GB2312"/>
          <w:sz w:val="32"/>
        </w:rPr>
        <w:t>脑机接口+人工智能</w:t>
      </w:r>
      <w:r>
        <w:rPr>
          <w:rFonts w:hint="eastAsia" w:ascii="Times New Roman" w:hAnsi="Times New Roman" w:eastAsia="仿宋_GB2312"/>
          <w:sz w:val="32"/>
        </w:rPr>
        <w:t>”</w:t>
      </w:r>
      <w:r>
        <w:rPr>
          <w:rFonts w:ascii="Times New Roman" w:hAnsi="Times New Roman" w:eastAsia="仿宋_GB2312"/>
          <w:sz w:val="32"/>
        </w:rPr>
        <w:t>融合创新，重点开发针对神经系统损伤、运动功能障碍、精神类疾病等临床需求的智能化软硬件系统与解决方案。建设开放式共性技术平台，打造专业孵化器与加速器，支持科研机构、头部企业开展标准制定、核心仪器设备研发布局，开展基于脑机接口的多种适应症精准医疗产品研发。</w:t>
      </w:r>
    </w:p>
    <w:p w14:paraId="76DFD986">
      <w:pPr>
        <w:keepNext/>
        <w:keepLines/>
        <w:spacing w:after="0" w:line="580" w:lineRule="exact"/>
        <w:ind w:firstLine="643" w:firstLineChars="200"/>
        <w:outlineLvl w:val="1"/>
        <w:rPr>
          <w:rFonts w:ascii="Times New Roman" w:hAnsi="Times New Roman" w:eastAsia="楷体"/>
          <w:b/>
          <w:sz w:val="32"/>
        </w:rPr>
      </w:pPr>
      <w:bookmarkStart w:id="72" w:name="_Toc1434392780"/>
      <w:r>
        <w:rPr>
          <w:rFonts w:ascii="Times New Roman" w:hAnsi="Times New Roman" w:eastAsia="楷体"/>
          <w:b/>
          <w:sz w:val="32"/>
        </w:rPr>
        <w:t>（十三）</w:t>
      </w:r>
      <w:bookmarkEnd w:id="72"/>
      <w:r>
        <w:rPr>
          <w:rFonts w:ascii="Times New Roman" w:hAnsi="Times New Roman" w:eastAsia="楷体"/>
          <w:b/>
          <w:bCs/>
          <w:sz w:val="32"/>
        </w:rPr>
        <w:t>培育壮大词元经济业态</w:t>
      </w:r>
    </w:p>
    <w:p w14:paraId="04A8EAA3">
      <w:pPr>
        <w:spacing w:after="0" w:line="580" w:lineRule="exact"/>
        <w:ind w:firstLine="640" w:firstLineChars="200"/>
        <w:rPr>
          <w:rFonts w:ascii="Times New Roman" w:hAnsi="Times New Roman" w:eastAsia="仿宋_GB2312"/>
          <w:sz w:val="32"/>
        </w:rPr>
      </w:pPr>
      <w:bookmarkStart w:id="73" w:name="OLE_LINK22"/>
      <w:r>
        <w:rPr>
          <w:rFonts w:ascii="Times New Roman" w:hAnsi="Times New Roman" w:eastAsia="仿宋_GB2312"/>
          <w:sz w:val="32"/>
        </w:rPr>
        <w:t>聚焦词元经济核心要素供给，支持市场主体建设模型即服务（MaaS）平台，提供模型选型、推理调用、微调训练等服务。探索建设词元工厂，构建涵盖生产生成、计量计价、价值结算的标准体系，支撑算力资源的弹性调度与高效利用。加快培育软件智能体，引导传统软件研发向智能体驱动模式演进，推广按量计费、效果导向及订阅式等新型商业范式。培育超级经济个体形态，推动OPC（超级经济个体）社区建设。</w:t>
      </w:r>
    </w:p>
    <w:p w14:paraId="5F3E138E">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（十四）探索智能经济新业态</w:t>
      </w:r>
    </w:p>
    <w:p w14:paraId="6B810C18">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培育智能科技新业态，推动人工智能与医药健康、先进能源、先进制造等领域技术协同创新，搭建人工智能赋能科学研究平台，探索人工智能驱动的新型实验模式，提升研发效能。探索发展量子计算、量子科技等前沿技术，积极引育相关创新主体。支持智能体操作系统等技术路线探索，培育开源社区与标杆项目。推动世界模型多技术路线探索，提升多模态生成与物理仿真能力，发挥合成数据与仿真交互优势，赋能具身智能、机器人等模型训练迭代。</w:t>
      </w:r>
    </w:p>
    <w:bookmarkEnd w:id="73"/>
    <w:p w14:paraId="50B9E8EF">
      <w:pPr>
        <w:keepNext/>
        <w:keepLines/>
        <w:spacing w:after="0" w:line="580" w:lineRule="exact"/>
        <w:ind w:firstLine="643" w:firstLineChars="200"/>
        <w:outlineLvl w:val="0"/>
        <w:rPr>
          <w:rFonts w:ascii="Times New Roman" w:hAnsi="Times New Roman" w:eastAsia="黑体"/>
          <w:b/>
          <w:kern w:val="44"/>
          <w:sz w:val="32"/>
        </w:rPr>
      </w:pPr>
      <w:bookmarkStart w:id="74" w:name="_Toc188032238"/>
      <w:r>
        <w:rPr>
          <w:rFonts w:ascii="Times New Roman" w:hAnsi="Times New Roman" w:eastAsia="黑体"/>
          <w:b/>
          <w:kern w:val="44"/>
          <w:sz w:val="32"/>
        </w:rPr>
        <w:t>六、推进城市治理与民生服务数智化</w:t>
      </w:r>
      <w:bookmarkEnd w:id="74"/>
    </w:p>
    <w:p w14:paraId="0729E82D">
      <w:pPr>
        <w:keepNext/>
        <w:keepLines/>
        <w:spacing w:after="0" w:line="580" w:lineRule="exact"/>
        <w:ind w:firstLine="643" w:firstLineChars="200"/>
        <w:outlineLvl w:val="1"/>
        <w:rPr>
          <w:rFonts w:ascii="Times New Roman" w:hAnsi="Times New Roman" w:eastAsia="楷体"/>
          <w:b/>
          <w:sz w:val="32"/>
        </w:rPr>
      </w:pPr>
      <w:bookmarkStart w:id="75" w:name="_Toc1668687501"/>
      <w:r>
        <w:rPr>
          <w:rFonts w:ascii="Times New Roman" w:hAnsi="Times New Roman" w:eastAsia="楷体"/>
          <w:b/>
          <w:sz w:val="32"/>
        </w:rPr>
        <w:t>（十五）提升城市</w:t>
      </w:r>
      <w:bookmarkEnd w:id="75"/>
      <w:r>
        <w:rPr>
          <w:rFonts w:ascii="Times New Roman" w:hAnsi="Times New Roman" w:eastAsia="楷体"/>
          <w:b/>
          <w:sz w:val="32"/>
        </w:rPr>
        <w:t>智慧治理能力</w:t>
      </w:r>
    </w:p>
    <w:p w14:paraId="6DBCC788">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完善城市智能中枢平台。</w:t>
      </w:r>
      <w:r>
        <w:rPr>
          <w:rFonts w:ascii="Times New Roman" w:hAnsi="Times New Roman" w:eastAsia="仿宋_GB2312"/>
          <w:sz w:val="32"/>
          <w:szCs w:val="32"/>
        </w:rPr>
        <w:t>升级</w:t>
      </w:r>
      <w:r>
        <w:rPr>
          <w:rFonts w:hint="eastAsia" w:ascii="Times New Roman" w:hAnsi="Times New Roman" w:eastAsia="仿宋_GB2312"/>
          <w:sz w:val="32"/>
          <w:szCs w:val="32"/>
        </w:rPr>
        <w:t>“</w:t>
      </w:r>
      <w:r>
        <w:rPr>
          <w:rFonts w:ascii="Times New Roman" w:hAnsi="Times New Roman" w:eastAsia="仿宋_GB2312"/>
          <w:sz w:val="32"/>
          <w:szCs w:val="32"/>
        </w:rPr>
        <w:t>回天大脑3.0</w:t>
      </w:r>
      <w:r>
        <w:rPr>
          <w:rFonts w:hint="eastAsia" w:ascii="Times New Roman" w:hAnsi="Times New Roman" w:eastAsia="仿宋_GB2312"/>
          <w:sz w:val="32"/>
          <w:szCs w:val="32"/>
        </w:rPr>
        <w:t>”</w:t>
      </w:r>
      <w:r>
        <w:rPr>
          <w:rFonts w:ascii="Times New Roman" w:hAnsi="Times New Roman" w:eastAsia="仿宋_GB2312"/>
          <w:sz w:val="32"/>
          <w:szCs w:val="32"/>
        </w:rPr>
        <w:t>，推动区、街镇数据贯通、业务协同和智能联动，提升城市运行和基层治理智能化水平。完善区级智慧交通平台，覆盖停车、充电、重点路口、轨交站点等重点场景，实现静态交通治理与动态交通赋能协同。</w:t>
      </w:r>
      <w:bookmarkStart w:id="76" w:name="OLE_LINK45"/>
      <w:r>
        <w:rPr>
          <w:rFonts w:ascii="Times New Roman" w:hAnsi="Times New Roman" w:eastAsia="仿宋_GB2312"/>
          <w:sz w:val="32"/>
          <w:szCs w:val="32"/>
        </w:rPr>
        <w:t>强化智慧应急指挥调度能力，</w:t>
      </w:r>
      <w:r>
        <w:rPr>
          <w:rFonts w:ascii="Times New Roman" w:hAnsi="Times New Roman" w:eastAsia="仿宋_GB2312"/>
          <w:bCs/>
          <w:sz w:val="32"/>
          <w:szCs w:val="32"/>
        </w:rPr>
        <w:t>健全智慧应急指挥调度平台，完善应急管理</w:t>
      </w:r>
      <w:r>
        <w:rPr>
          <w:rFonts w:hint="eastAsia" w:ascii="Times New Roman" w:hAnsi="Times New Roman" w:eastAsia="仿宋_GB2312"/>
          <w:bCs/>
          <w:sz w:val="32"/>
          <w:szCs w:val="32"/>
        </w:rPr>
        <w:t>“</w:t>
      </w:r>
      <w:r>
        <w:rPr>
          <w:rFonts w:ascii="Times New Roman" w:hAnsi="Times New Roman" w:eastAsia="仿宋_GB2312"/>
          <w:bCs/>
          <w:sz w:val="32"/>
          <w:szCs w:val="32"/>
        </w:rPr>
        <w:t>一张图</w:t>
      </w:r>
      <w:r>
        <w:rPr>
          <w:rFonts w:hint="eastAsia" w:ascii="Times New Roman" w:hAnsi="Times New Roman" w:eastAsia="仿宋_GB2312"/>
          <w:bCs/>
          <w:sz w:val="32"/>
          <w:szCs w:val="32"/>
        </w:rPr>
        <w:t>”</w:t>
      </w:r>
      <w:r>
        <w:rPr>
          <w:rFonts w:ascii="Times New Roman" w:hAnsi="Times New Roman" w:eastAsia="仿宋_GB2312"/>
          <w:bCs/>
          <w:sz w:val="32"/>
          <w:szCs w:val="32"/>
        </w:rPr>
        <w:t>智能服务功能。</w:t>
      </w:r>
    </w:p>
    <w:bookmarkEnd w:id="76"/>
    <w:p w14:paraId="7E3FADA7">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协同推进三网贯通深化。</w:t>
      </w:r>
      <w:r>
        <w:rPr>
          <w:rFonts w:ascii="Times New Roman" w:hAnsi="Times New Roman" w:eastAsia="仿宋_GB2312"/>
          <w:sz w:val="32"/>
        </w:rPr>
        <w:t>提升政务服务</w:t>
      </w:r>
      <w:r>
        <w:rPr>
          <w:rFonts w:hint="eastAsia" w:ascii="Times New Roman" w:hAnsi="Times New Roman" w:eastAsia="仿宋_GB2312"/>
          <w:sz w:val="32"/>
        </w:rPr>
        <w:t>“</w:t>
      </w:r>
      <w:r>
        <w:rPr>
          <w:rFonts w:ascii="Times New Roman" w:hAnsi="Times New Roman" w:eastAsia="仿宋_GB2312"/>
          <w:sz w:val="32"/>
        </w:rPr>
        <w:t>一网通办</w:t>
      </w:r>
      <w:r>
        <w:rPr>
          <w:rFonts w:hint="eastAsia" w:ascii="Times New Roman" w:hAnsi="Times New Roman" w:eastAsia="仿宋_GB2312"/>
          <w:sz w:val="32"/>
        </w:rPr>
        <w:t>”</w:t>
      </w:r>
      <w:r>
        <w:rPr>
          <w:rFonts w:ascii="Times New Roman" w:hAnsi="Times New Roman" w:eastAsia="仿宋_GB2312"/>
          <w:sz w:val="32"/>
        </w:rPr>
        <w:t>效能，强化</w:t>
      </w:r>
      <w:r>
        <w:rPr>
          <w:rFonts w:hint="eastAsia" w:ascii="Times New Roman" w:hAnsi="Times New Roman" w:eastAsia="仿宋_GB2312"/>
          <w:sz w:val="32"/>
        </w:rPr>
        <w:t>“</w:t>
      </w:r>
      <w:r>
        <w:rPr>
          <w:rFonts w:ascii="Times New Roman" w:hAnsi="Times New Roman" w:eastAsia="仿宋_GB2312"/>
          <w:sz w:val="32"/>
        </w:rPr>
        <w:t>京通</w:t>
      </w:r>
      <w:r>
        <w:rPr>
          <w:rFonts w:hint="eastAsia" w:ascii="Times New Roman" w:hAnsi="Times New Roman" w:eastAsia="仿宋_GB2312"/>
          <w:sz w:val="32"/>
        </w:rPr>
        <w:t>”</w:t>
      </w:r>
      <w:r>
        <w:rPr>
          <w:rFonts w:ascii="Times New Roman" w:hAnsi="Times New Roman" w:eastAsia="仿宋_GB2312"/>
          <w:sz w:val="32"/>
        </w:rPr>
        <w:t>枢纽功能，加强政务服务机器人</w:t>
      </w:r>
      <w:r>
        <w:rPr>
          <w:rFonts w:hint="eastAsia" w:ascii="Times New Roman" w:hAnsi="Times New Roman" w:eastAsia="仿宋_GB2312"/>
          <w:sz w:val="32"/>
        </w:rPr>
        <w:t>“</w:t>
      </w:r>
      <w:r>
        <w:rPr>
          <w:rFonts w:ascii="Times New Roman" w:hAnsi="Times New Roman" w:eastAsia="仿宋_GB2312"/>
          <w:sz w:val="32"/>
        </w:rPr>
        <w:t>平平</w:t>
      </w:r>
      <w:r>
        <w:rPr>
          <w:rFonts w:hint="eastAsia" w:ascii="Times New Roman" w:hAnsi="Times New Roman" w:eastAsia="仿宋_GB2312"/>
          <w:sz w:val="32"/>
        </w:rPr>
        <w:t>”</w:t>
      </w:r>
      <w:r>
        <w:rPr>
          <w:rFonts w:ascii="Times New Roman" w:hAnsi="Times New Roman" w:eastAsia="仿宋_GB2312"/>
          <w:sz w:val="32"/>
        </w:rPr>
        <w:t>品牌建设，推进政务服务智能化升级。深化城市治理</w:t>
      </w:r>
      <w:r>
        <w:rPr>
          <w:rFonts w:hint="eastAsia" w:ascii="Times New Roman" w:hAnsi="Times New Roman" w:eastAsia="仿宋_GB2312"/>
          <w:sz w:val="32"/>
        </w:rPr>
        <w:t>“</w:t>
      </w:r>
      <w:r>
        <w:rPr>
          <w:rFonts w:ascii="Times New Roman" w:hAnsi="Times New Roman" w:eastAsia="仿宋_GB2312"/>
          <w:sz w:val="32"/>
        </w:rPr>
        <w:t>一网统管</w:t>
      </w:r>
      <w:r>
        <w:rPr>
          <w:rFonts w:hint="eastAsia" w:ascii="Times New Roman" w:hAnsi="Times New Roman" w:eastAsia="仿宋_GB2312"/>
          <w:sz w:val="32"/>
        </w:rPr>
        <w:t>”</w:t>
      </w:r>
      <w:r>
        <w:rPr>
          <w:rFonts w:ascii="Times New Roman" w:hAnsi="Times New Roman" w:eastAsia="仿宋_GB2312"/>
          <w:sz w:val="32"/>
        </w:rPr>
        <w:t>建设，推进区级城运中心实体化运行。提升领导决策</w:t>
      </w:r>
      <w:r>
        <w:rPr>
          <w:rFonts w:hint="eastAsia" w:ascii="Times New Roman" w:hAnsi="Times New Roman" w:eastAsia="仿宋_GB2312"/>
          <w:sz w:val="32"/>
        </w:rPr>
        <w:t>“</w:t>
      </w:r>
      <w:r>
        <w:rPr>
          <w:rFonts w:ascii="Times New Roman" w:hAnsi="Times New Roman" w:eastAsia="仿宋_GB2312"/>
          <w:sz w:val="32"/>
        </w:rPr>
        <w:t>一网慧治</w:t>
      </w:r>
      <w:r>
        <w:rPr>
          <w:rFonts w:hint="eastAsia" w:ascii="Times New Roman" w:hAnsi="Times New Roman" w:eastAsia="仿宋_GB2312"/>
          <w:sz w:val="32"/>
        </w:rPr>
        <w:t>”</w:t>
      </w:r>
      <w:r>
        <w:rPr>
          <w:rFonts w:ascii="Times New Roman" w:hAnsi="Times New Roman" w:eastAsia="仿宋_GB2312"/>
          <w:sz w:val="32"/>
        </w:rPr>
        <w:t>能力，建立</w:t>
      </w:r>
      <w:r>
        <w:rPr>
          <w:rFonts w:hint="eastAsia" w:ascii="Times New Roman" w:hAnsi="Times New Roman" w:eastAsia="仿宋_GB2312"/>
          <w:sz w:val="32"/>
        </w:rPr>
        <w:t>“</w:t>
      </w:r>
      <w:r>
        <w:rPr>
          <w:rFonts w:ascii="Times New Roman" w:hAnsi="Times New Roman" w:eastAsia="仿宋_GB2312"/>
          <w:sz w:val="32"/>
        </w:rPr>
        <w:t>市</w:t>
      </w:r>
      <w:r>
        <w:rPr>
          <w:rFonts w:hint="eastAsia" w:ascii="Times New Roman" w:hAnsi="Times New Roman" w:eastAsia="仿宋_GB2312"/>
          <w:sz w:val="32"/>
        </w:rPr>
        <w:t>—</w:t>
      </w:r>
      <w:r>
        <w:rPr>
          <w:rFonts w:ascii="Times New Roman" w:hAnsi="Times New Roman" w:eastAsia="仿宋_GB2312"/>
          <w:sz w:val="32"/>
        </w:rPr>
        <w:t>区</w:t>
      </w:r>
      <w:r>
        <w:rPr>
          <w:rFonts w:hint="eastAsia" w:ascii="Times New Roman" w:hAnsi="Times New Roman" w:eastAsia="仿宋_GB2312"/>
          <w:sz w:val="32"/>
        </w:rPr>
        <w:t>—</w:t>
      </w:r>
      <w:r>
        <w:rPr>
          <w:rFonts w:ascii="Times New Roman" w:hAnsi="Times New Roman" w:eastAsia="仿宋_GB2312"/>
          <w:sz w:val="32"/>
        </w:rPr>
        <w:t>镇街</w:t>
      </w:r>
      <w:r>
        <w:rPr>
          <w:rFonts w:hint="eastAsia" w:ascii="Times New Roman" w:hAnsi="Times New Roman" w:eastAsia="仿宋_GB2312"/>
          <w:sz w:val="32"/>
        </w:rPr>
        <w:t>”</w:t>
      </w:r>
      <w:r>
        <w:rPr>
          <w:rFonts w:ascii="Times New Roman" w:hAnsi="Times New Roman" w:eastAsia="仿宋_GB2312"/>
          <w:sz w:val="32"/>
        </w:rPr>
        <w:t>三级数字化城市运行和治理协同体系。</w:t>
      </w:r>
    </w:p>
    <w:p w14:paraId="6BF5EC9B">
      <w:pPr>
        <w:keepNext/>
        <w:keepLines/>
        <w:spacing w:after="0" w:line="580" w:lineRule="exact"/>
        <w:ind w:firstLine="643" w:firstLineChars="200"/>
        <w:outlineLvl w:val="1"/>
        <w:rPr>
          <w:rFonts w:ascii="Times New Roman" w:hAnsi="Times New Roman" w:eastAsia="楷体"/>
          <w:b/>
          <w:sz w:val="32"/>
        </w:rPr>
      </w:pPr>
      <w:r>
        <w:rPr>
          <w:rFonts w:ascii="Times New Roman" w:hAnsi="Times New Roman" w:eastAsia="楷体"/>
          <w:b/>
          <w:sz w:val="32"/>
        </w:rPr>
        <w:t>（十六）优化民生数字服务供给</w:t>
      </w:r>
    </w:p>
    <w:p w14:paraId="5482E9C6">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拓展智慧医疗服务场景。</w:t>
      </w:r>
      <w:bookmarkStart w:id="77" w:name="OLE_LINK46"/>
      <w:r>
        <w:rPr>
          <w:rFonts w:ascii="Times New Roman" w:hAnsi="Times New Roman" w:eastAsia="仿宋_GB2312"/>
          <w:sz w:val="32"/>
          <w:szCs w:val="32"/>
        </w:rPr>
        <w:t>推动全区医疗卫生信息化建设，实现号源调度、远程会诊等线上服务。鼓励医院牵头研发医疗大模型和智能体，推动人工智能在眼科、骨科、放射科、全科医学科等领域应用。</w:t>
      </w:r>
      <w:bookmarkEnd w:id="77"/>
      <w:r>
        <w:rPr>
          <w:rFonts w:ascii="Times New Roman" w:hAnsi="Times New Roman" w:eastAsia="仿宋_GB2312"/>
          <w:sz w:val="32"/>
          <w:szCs w:val="32"/>
        </w:rPr>
        <w:t>推动优质医疗资源下沉，</w:t>
      </w:r>
      <w:r>
        <w:rPr>
          <w:rFonts w:ascii="Times New Roman" w:hAnsi="Times New Roman" w:eastAsia="仿宋_GB2312" w:cs="仿宋_GB2312"/>
          <w:sz w:val="32"/>
          <w:szCs w:val="32"/>
        </w:rPr>
        <w:t>在智能诊疗辅助、智能健康管理、智能管理决策等方面赋能基层医疗机构。</w:t>
      </w:r>
      <w:r>
        <w:rPr>
          <w:rFonts w:ascii="Times New Roman" w:hAnsi="Times New Roman" w:eastAsia="仿宋_GB2312"/>
          <w:sz w:val="32"/>
          <w:szCs w:val="32"/>
        </w:rPr>
        <w:t>深化互联网医院创新，提升在线诊疗服务水平</w:t>
      </w:r>
      <w:r>
        <w:rPr>
          <w:rFonts w:ascii="Times New Roman" w:hAnsi="Times New Roman" w:eastAsia="仿宋_GB2312" w:cs="仿宋_GB2312"/>
          <w:sz w:val="32"/>
          <w:szCs w:val="32"/>
        </w:rPr>
        <w:t>。</w:t>
      </w:r>
    </w:p>
    <w:p w14:paraId="3D4F2753">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推进智慧教育普惠发展。</w:t>
      </w:r>
      <w:r>
        <w:rPr>
          <w:rFonts w:ascii="Times New Roman" w:hAnsi="Times New Roman" w:eastAsia="仿宋_GB2312" w:cs="仿宋_GB2312"/>
          <w:sz w:val="32"/>
          <w:szCs w:val="32"/>
        </w:rPr>
        <w:t>推进智慧校园和智能化、沉浸式数字课堂建设，深化人工智能在教育教学中的融合应用，探索建设具有昌平特色的人工智能课程体系，争创一批人工智能赋能教育教学标杆学校。依托沙河高教园，打造科教融合智慧学习共同体，持续建设未来学习中心，推动重大科研设施和课程资源开放共享。</w:t>
      </w:r>
    </w:p>
    <w:p w14:paraId="20A45F31">
      <w:pPr>
        <w:spacing w:after="0"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打造全龄数字友好社会。</w:t>
      </w:r>
      <w:r>
        <w:rPr>
          <w:rFonts w:ascii="Times New Roman" w:hAnsi="Times New Roman" w:eastAsia="仿宋_GB2312"/>
          <w:sz w:val="32"/>
          <w:szCs w:val="32"/>
        </w:rPr>
        <w:t>聚焦</w:t>
      </w:r>
      <w:r>
        <w:rPr>
          <w:rFonts w:hint="eastAsia" w:ascii="Times New Roman" w:hAnsi="Times New Roman" w:eastAsia="仿宋_GB2312"/>
          <w:sz w:val="32"/>
          <w:szCs w:val="32"/>
        </w:rPr>
        <w:t>“</w:t>
      </w:r>
      <w:r>
        <w:rPr>
          <w:rFonts w:ascii="Times New Roman" w:hAnsi="Times New Roman" w:eastAsia="仿宋_GB2312"/>
          <w:sz w:val="32"/>
          <w:szCs w:val="32"/>
        </w:rPr>
        <w:t>一老一小</w:t>
      </w:r>
      <w:r>
        <w:rPr>
          <w:rFonts w:hint="eastAsia" w:ascii="Times New Roman" w:hAnsi="Times New Roman" w:eastAsia="仿宋_GB2312"/>
          <w:sz w:val="32"/>
          <w:szCs w:val="32"/>
        </w:rPr>
        <w:t>”</w:t>
      </w:r>
      <w:r>
        <w:rPr>
          <w:rFonts w:ascii="Times New Roman" w:hAnsi="Times New Roman" w:eastAsia="仿宋_GB2312"/>
          <w:sz w:val="32"/>
          <w:szCs w:val="32"/>
        </w:rPr>
        <w:t>群体发展陪伴式人工智能，提供个性化服务，提升情感交互能力。搭建综合性智慧养老服务平台，完善老年人群基础数据库，推进居家社区智慧养老，推广智能监护设备，提供在线问诊、慢病管理、用药提醒等服务。推进智慧托育服务平台建设，运用智能化手段实现睡眠监测、智能晨检等健康管理。</w:t>
      </w:r>
    </w:p>
    <w:p w14:paraId="5CE48B94">
      <w:pPr>
        <w:keepNext/>
        <w:keepLines/>
        <w:spacing w:after="0" w:line="580" w:lineRule="exact"/>
        <w:ind w:firstLine="643" w:firstLineChars="200"/>
        <w:outlineLvl w:val="0"/>
        <w:rPr>
          <w:rFonts w:ascii="Times New Roman" w:hAnsi="Times New Roman" w:eastAsia="黑体"/>
          <w:b/>
          <w:kern w:val="44"/>
          <w:sz w:val="32"/>
        </w:rPr>
      </w:pPr>
      <w:bookmarkStart w:id="78" w:name="_Toc2112452835"/>
      <w:r>
        <w:rPr>
          <w:rFonts w:ascii="Times New Roman" w:hAnsi="Times New Roman" w:eastAsia="黑体"/>
          <w:b/>
          <w:kern w:val="44"/>
          <w:sz w:val="32"/>
        </w:rPr>
        <w:t>七、激活数据要素价值潜能</w:t>
      </w:r>
      <w:bookmarkEnd w:id="78"/>
    </w:p>
    <w:p w14:paraId="46CB901F">
      <w:pPr>
        <w:keepNext/>
        <w:keepLines/>
        <w:spacing w:after="0" w:line="580" w:lineRule="exact"/>
        <w:ind w:firstLine="643" w:firstLineChars="200"/>
        <w:outlineLvl w:val="1"/>
        <w:rPr>
          <w:rFonts w:ascii="Times New Roman" w:hAnsi="Times New Roman" w:eastAsia="楷体"/>
          <w:b/>
          <w:sz w:val="32"/>
        </w:rPr>
      </w:pPr>
      <w:bookmarkStart w:id="79" w:name="_Toc1795145641"/>
      <w:r>
        <w:rPr>
          <w:rFonts w:ascii="Times New Roman" w:hAnsi="Times New Roman" w:eastAsia="楷体"/>
          <w:b/>
          <w:sz w:val="32"/>
        </w:rPr>
        <w:t>（十七）落实数据基础制度标准</w:t>
      </w:r>
      <w:bookmarkEnd w:id="79"/>
    </w:p>
    <w:p w14:paraId="0A64C98F">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积极开展制度创新实践，完善数据收集、存储、确权、加工、流通交易、应用等全流程管理规范，强化数据合规利用与安全保障，围绕重点场景探索数据产权落地，探索衍生数据认定机制。推进数据标准规范应用，完善数据质量、一数一源、分类分级等重点规则，围绕政务服务、医疗领域人工智能大模型评测等，推动国家及北京市标准在昌落地实施，促进数据资源标准化、规范化管理。</w:t>
      </w:r>
    </w:p>
    <w:p w14:paraId="579533B0">
      <w:pPr>
        <w:keepNext/>
        <w:keepLines/>
        <w:spacing w:after="0" w:line="580" w:lineRule="exact"/>
        <w:ind w:firstLine="643" w:firstLineChars="200"/>
        <w:outlineLvl w:val="1"/>
        <w:rPr>
          <w:rFonts w:ascii="Times New Roman" w:hAnsi="Times New Roman" w:eastAsia="楷体"/>
          <w:b/>
          <w:sz w:val="32"/>
        </w:rPr>
      </w:pPr>
      <w:bookmarkStart w:id="80" w:name="_Toc1015031584"/>
      <w:r>
        <w:rPr>
          <w:rFonts w:ascii="Times New Roman" w:hAnsi="Times New Roman" w:eastAsia="楷体"/>
          <w:b/>
          <w:sz w:val="32"/>
        </w:rPr>
        <w:t>（十八）</w:t>
      </w:r>
      <w:bookmarkEnd w:id="80"/>
      <w:r>
        <w:rPr>
          <w:rFonts w:ascii="Times New Roman" w:hAnsi="Times New Roman" w:eastAsia="楷体_GB2312" w:cs="楷体"/>
          <w:b/>
          <w:sz w:val="32"/>
        </w:rPr>
        <w:t>建设可信数字基础设施</w:t>
      </w:r>
    </w:p>
    <w:p w14:paraId="11ECBE62">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升级优化区大数据平台，强化公共数据汇聚、治理、共享和应用支撑能力，建立覆盖数据全生命周期的管理机制，将数据目录梳理节点前置至项目申报环节，推进目录链与数据共享交换平台融合建设。分类推动可信数据空间建设，鼓励医药健康、先进能源、先进制造等领域龙头链主企业及央企建设行业可信数据空间，推动回天公共数据专区升级为城市可信数据空间，融入北京市数据流通利用体系。</w:t>
      </w:r>
    </w:p>
    <w:p w14:paraId="4250681A">
      <w:pPr>
        <w:keepNext/>
        <w:keepLines/>
        <w:spacing w:after="0" w:line="580" w:lineRule="exact"/>
        <w:ind w:firstLine="643" w:firstLineChars="200"/>
        <w:outlineLvl w:val="1"/>
        <w:rPr>
          <w:rFonts w:ascii="Times New Roman" w:hAnsi="Times New Roman" w:eastAsia="楷体"/>
          <w:b/>
          <w:sz w:val="32"/>
        </w:rPr>
      </w:pPr>
      <w:bookmarkStart w:id="81" w:name="_Toc25740520"/>
      <w:r>
        <w:rPr>
          <w:rFonts w:ascii="Times New Roman" w:hAnsi="Times New Roman" w:eastAsia="楷体"/>
          <w:b/>
          <w:sz w:val="32"/>
        </w:rPr>
        <w:t>（十九）加强高质量数据供给</w:t>
      </w:r>
      <w:bookmarkEnd w:id="81"/>
    </w:p>
    <w:p w14:paraId="21B6979F">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推进公共数据扩面提质，落实</w:t>
      </w:r>
      <w:r>
        <w:rPr>
          <w:rFonts w:hint="eastAsia" w:ascii="Times New Roman" w:hAnsi="Times New Roman" w:eastAsia="仿宋_GB2312"/>
          <w:sz w:val="32"/>
        </w:rPr>
        <w:t>“</w:t>
      </w:r>
      <w:r>
        <w:rPr>
          <w:rFonts w:ascii="Times New Roman" w:hAnsi="Times New Roman" w:eastAsia="仿宋_GB2312"/>
          <w:sz w:val="32"/>
        </w:rPr>
        <w:t>一数一源一标准</w:t>
      </w:r>
      <w:r>
        <w:rPr>
          <w:rFonts w:hint="eastAsia" w:ascii="Times New Roman" w:hAnsi="Times New Roman" w:eastAsia="仿宋_GB2312"/>
          <w:sz w:val="32"/>
        </w:rPr>
        <w:t>”</w:t>
      </w:r>
      <w:r>
        <w:rPr>
          <w:rFonts w:ascii="Times New Roman" w:hAnsi="Times New Roman" w:eastAsia="仿宋_GB2312"/>
          <w:sz w:val="32"/>
        </w:rPr>
        <w:t>管理要求，常态化开展数据质量监测与评估。鼓励央企开放创新资源和数据要素，推动产业链上下游数据融通共享，稳妥有序开展数据资产入表。围绕重点产业及新兴领域打造一批行业高质量数据集，探索医药健康与能源领域数据安全可信流通机制。推动数据标注规模化、规范化发展，鼓励企业应用自动化、智能化标注工具，支持重点企业、科研机构参与高质量数据集建设。</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5472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74E370FF">
            <w:pPr>
              <w:spacing w:line="580" w:lineRule="exact"/>
              <w:jc w:val="center"/>
              <w:rPr>
                <w:rFonts w:ascii="Times New Roman" w:hAnsi="Times New Roman" w:eastAsia="黑体"/>
                <w:sz w:val="32"/>
              </w:rPr>
            </w:pPr>
            <w:r>
              <w:rPr>
                <w:rFonts w:ascii="Times New Roman" w:hAnsi="Times New Roman" w:eastAsia="黑体" w:cs="楷体"/>
                <w:sz w:val="28"/>
                <w:szCs w:val="22"/>
              </w:rPr>
              <w:t>专栏6 大数据平台能力提升工程</w:t>
            </w:r>
          </w:p>
        </w:tc>
      </w:tr>
      <w:tr w14:paraId="2161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496344E">
            <w:pPr>
              <w:numPr>
                <w:ilvl w:val="255"/>
                <w:numId w:val="0"/>
              </w:numPr>
              <w:spacing w:before="160" w:line="380" w:lineRule="exact"/>
              <w:ind w:firstLine="460" w:firstLineChars="200"/>
              <w:rPr>
                <w:rFonts w:ascii="Times New Roman" w:hAnsi="Times New Roman" w:eastAsia="仿宋_GB2312"/>
                <w:sz w:val="28"/>
                <w:szCs w:val="32"/>
              </w:rPr>
            </w:pPr>
            <w:r>
              <w:rPr>
                <w:rFonts w:ascii="Times New Roman" w:hAnsi="Times New Roman" w:eastAsia="仿宋_GB2312" w:cs="仿宋_GB2312"/>
                <w:spacing w:val="-5"/>
                <w:sz w:val="24"/>
              </w:rPr>
              <w:t>升级优化区大数据平台，强化公共数据汇聚、治理、共享和应用支撑能力。优化数据管理流程，将数据目录梳理节点前置至项目申报环节，推动项目申报、数据上链、系统上云等业务流程协同联动。建立覆盖数据采集、汇聚、治理、共享、应用、归档等全生命周期的数据管理机制。畅通市级平台数据回流和区级部门数据上链汇聚渠道，提升数据归集效率和安全保障水平。推进目录链与数据共享交换平台融合建设，全面实现数据检索、申请、审批、共享、评价等线上全流程一站式服务，配套建设数据挂载、探针采集、统计分析、报表生成等辅助工具，为数据资源高效流通和开发利用提供有力支撑。</w:t>
            </w:r>
          </w:p>
        </w:tc>
      </w:tr>
    </w:tbl>
    <w:p w14:paraId="30AA3315">
      <w:pPr>
        <w:keepNext/>
        <w:keepLines/>
        <w:spacing w:after="0" w:line="580" w:lineRule="exact"/>
        <w:ind w:firstLine="643" w:firstLineChars="200"/>
        <w:outlineLvl w:val="1"/>
        <w:rPr>
          <w:rFonts w:ascii="Times New Roman" w:hAnsi="Times New Roman" w:eastAsia="楷体"/>
          <w:b/>
          <w:sz w:val="32"/>
        </w:rPr>
      </w:pPr>
      <w:bookmarkStart w:id="82" w:name="_Toc976706593"/>
      <w:r>
        <w:rPr>
          <w:rFonts w:ascii="Times New Roman" w:hAnsi="Times New Roman" w:eastAsia="楷体"/>
          <w:b/>
          <w:sz w:val="32"/>
        </w:rPr>
        <w:t>（二十）促进多层次数据流通</w:t>
      </w:r>
      <w:bookmarkEnd w:id="82"/>
    </w:p>
    <w:p w14:paraId="0C768041">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深化与北京国际大数据交易所合作，培育多元化数据流通模式，探索以数换数、以数换服务等流通交易方式，促进数据产品规范高效流通。支持建设行业数据流通服务平台，探索数据资产登记、价值评估、入表管理及合规运营。落实数据出境负面清单管理制度，指导区内企业开展数据出境合规申报与备案登记，探索医药健康数据跨境安全、合规、便利化流动，培育数据跨境流动示范场景。</w:t>
      </w:r>
    </w:p>
    <w:p w14:paraId="3922E600">
      <w:pPr>
        <w:keepNext/>
        <w:keepLines/>
        <w:spacing w:after="0" w:line="580" w:lineRule="exact"/>
        <w:ind w:firstLine="643" w:firstLineChars="200"/>
        <w:outlineLvl w:val="0"/>
        <w:rPr>
          <w:rFonts w:ascii="Times New Roman" w:hAnsi="Times New Roman" w:eastAsia="黑体"/>
          <w:b/>
          <w:kern w:val="44"/>
          <w:sz w:val="32"/>
        </w:rPr>
      </w:pPr>
      <w:bookmarkStart w:id="83" w:name="_Toc1950060529"/>
      <w:r>
        <w:rPr>
          <w:rFonts w:ascii="Times New Roman" w:hAnsi="Times New Roman" w:eastAsia="黑体"/>
          <w:b/>
          <w:kern w:val="44"/>
          <w:sz w:val="32"/>
        </w:rPr>
        <w:t>八、营造数字经济发展良好环境</w:t>
      </w:r>
      <w:bookmarkEnd w:id="83"/>
    </w:p>
    <w:p w14:paraId="0ADE642C">
      <w:pPr>
        <w:keepNext/>
        <w:keepLines/>
        <w:spacing w:after="0" w:line="580" w:lineRule="exact"/>
        <w:ind w:firstLine="643" w:firstLineChars="200"/>
        <w:outlineLvl w:val="1"/>
        <w:rPr>
          <w:rFonts w:ascii="Times New Roman" w:hAnsi="Times New Roman" w:eastAsia="楷体"/>
          <w:b/>
          <w:sz w:val="32"/>
        </w:rPr>
      </w:pPr>
      <w:bookmarkStart w:id="84" w:name="_Toc1567561465"/>
      <w:r>
        <w:rPr>
          <w:rFonts w:ascii="Times New Roman" w:hAnsi="Times New Roman" w:eastAsia="楷体"/>
          <w:b/>
          <w:sz w:val="32"/>
        </w:rPr>
        <w:t>（二十一）打造高素质人才队伍</w:t>
      </w:r>
      <w:bookmarkEnd w:id="84"/>
    </w:p>
    <w:p w14:paraId="10B59B1E">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支持用人主体分层分类引进生命科学、具身智能、6G等领域领军人才、卓越工程师。以沙河高教园为承载，搭建校城人才一体化发展平台，推进校企共建产教融合示范基地，培养复合型、创新型、应用型人才。完善本土技能人才培育体系，常态化开展数字技术、智能制造等技能培训。实施</w:t>
      </w:r>
      <w:r>
        <w:rPr>
          <w:rFonts w:hint="eastAsia" w:ascii="Times New Roman" w:hAnsi="Times New Roman" w:eastAsia="仿宋_GB2312"/>
          <w:sz w:val="32"/>
        </w:rPr>
        <w:t>“</w:t>
      </w:r>
      <w:r>
        <w:rPr>
          <w:rFonts w:ascii="Times New Roman" w:hAnsi="Times New Roman" w:eastAsia="仿宋_GB2312"/>
          <w:sz w:val="32"/>
        </w:rPr>
        <w:t>科技副总</w:t>
      </w:r>
      <w:r>
        <w:rPr>
          <w:rFonts w:hint="eastAsia" w:ascii="Times New Roman" w:hAnsi="Times New Roman" w:eastAsia="仿宋_GB2312"/>
          <w:sz w:val="32"/>
        </w:rPr>
        <w:t>”</w:t>
      </w:r>
      <w:r>
        <w:rPr>
          <w:rFonts w:ascii="Times New Roman" w:hAnsi="Times New Roman" w:eastAsia="仿宋_GB2312"/>
          <w:sz w:val="32"/>
        </w:rPr>
        <w:t>柔性引才机制，打破产学研协同壁垒。</w:t>
      </w:r>
    </w:p>
    <w:p w14:paraId="220C8B0B">
      <w:pPr>
        <w:keepNext/>
        <w:keepLines/>
        <w:spacing w:after="0" w:line="580" w:lineRule="exact"/>
        <w:ind w:firstLine="643" w:firstLineChars="200"/>
        <w:outlineLvl w:val="1"/>
        <w:rPr>
          <w:rFonts w:ascii="Times New Roman" w:hAnsi="Times New Roman" w:eastAsia="楷体"/>
          <w:b/>
          <w:sz w:val="32"/>
        </w:rPr>
      </w:pPr>
      <w:bookmarkStart w:id="85" w:name="_Toc676160859"/>
      <w:r>
        <w:rPr>
          <w:rFonts w:ascii="Times New Roman" w:hAnsi="Times New Roman" w:eastAsia="楷体"/>
          <w:b/>
          <w:sz w:val="32"/>
        </w:rPr>
        <w:t>（二十二）深化开放合作交流</w:t>
      </w:r>
      <w:bookmarkEnd w:id="85"/>
    </w:p>
    <w:p w14:paraId="563EE0DD">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高标准推进</w:t>
      </w:r>
      <w:r>
        <w:rPr>
          <w:rFonts w:hint="eastAsia" w:ascii="Times New Roman" w:hAnsi="Times New Roman" w:eastAsia="仿宋_GB2312"/>
          <w:sz w:val="32"/>
        </w:rPr>
        <w:t>“</w:t>
      </w:r>
      <w:r>
        <w:rPr>
          <w:rFonts w:ascii="Times New Roman" w:hAnsi="Times New Roman" w:eastAsia="仿宋_GB2312"/>
          <w:sz w:val="32"/>
        </w:rPr>
        <w:t>两区</w:t>
      </w:r>
      <w:r>
        <w:rPr>
          <w:rFonts w:hint="eastAsia" w:ascii="Times New Roman" w:hAnsi="Times New Roman" w:eastAsia="仿宋_GB2312"/>
          <w:sz w:val="32"/>
        </w:rPr>
        <w:t>”</w:t>
      </w:r>
      <w:r>
        <w:rPr>
          <w:rFonts w:ascii="Times New Roman" w:hAnsi="Times New Roman" w:eastAsia="仿宋_GB2312"/>
          <w:sz w:val="32"/>
        </w:rPr>
        <w:t>建设，强化数据跨境流动等国际规则接轨机制，鼓励数字龙头企业通过战略研发合作、技术交叉许可、设立境外离岸创新中心等方式开拓海外市场，搭建</w:t>
      </w:r>
      <w:r>
        <w:rPr>
          <w:rFonts w:hint="eastAsia" w:ascii="Times New Roman" w:hAnsi="Times New Roman" w:eastAsia="仿宋_GB2312"/>
          <w:sz w:val="32"/>
        </w:rPr>
        <w:t>“</w:t>
      </w:r>
      <w:r>
        <w:rPr>
          <w:rFonts w:ascii="Times New Roman" w:hAnsi="Times New Roman" w:eastAsia="仿宋_GB2312"/>
          <w:sz w:val="32"/>
        </w:rPr>
        <w:t>政府+平台企业+前沿技术</w:t>
      </w:r>
      <w:r>
        <w:rPr>
          <w:rFonts w:hint="eastAsia" w:ascii="Times New Roman" w:hAnsi="Times New Roman" w:eastAsia="仿宋_GB2312"/>
          <w:sz w:val="32"/>
        </w:rPr>
        <w:t>”</w:t>
      </w:r>
      <w:r>
        <w:rPr>
          <w:rFonts w:ascii="Times New Roman" w:hAnsi="Times New Roman" w:eastAsia="仿宋_GB2312"/>
          <w:sz w:val="32"/>
        </w:rPr>
        <w:t>组团出海模式。</w:t>
      </w:r>
      <w:bookmarkStart w:id="86" w:name="OLE_LINK47"/>
      <w:r>
        <w:rPr>
          <w:rFonts w:ascii="Times New Roman" w:hAnsi="Times New Roman" w:eastAsia="仿宋_GB2312"/>
          <w:sz w:val="32"/>
        </w:rPr>
        <w:t>深度融入京津冀协同发展战略，围绕数字技术和数字产品深化协同创新和产业协作。</w:t>
      </w:r>
      <w:bookmarkEnd w:id="86"/>
    </w:p>
    <w:p w14:paraId="45455D25">
      <w:pPr>
        <w:keepNext/>
        <w:keepLines/>
        <w:spacing w:after="0" w:line="580" w:lineRule="exact"/>
        <w:ind w:firstLine="643" w:firstLineChars="200"/>
        <w:outlineLvl w:val="1"/>
        <w:rPr>
          <w:rFonts w:ascii="Times New Roman" w:hAnsi="Times New Roman" w:eastAsia="楷体"/>
          <w:b/>
          <w:sz w:val="32"/>
        </w:rPr>
      </w:pPr>
      <w:bookmarkStart w:id="87" w:name="_Toc1899580936"/>
      <w:r>
        <w:rPr>
          <w:rFonts w:ascii="Times New Roman" w:hAnsi="Times New Roman" w:eastAsia="楷体"/>
          <w:b/>
          <w:sz w:val="32"/>
        </w:rPr>
        <w:t>（二十三）筑牢数字安全屏障</w:t>
      </w:r>
      <w:bookmarkEnd w:id="87"/>
    </w:p>
    <w:p w14:paraId="11132CA3">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szCs w:val="32"/>
        </w:rPr>
        <w:t>加强网络安全体系建设。</w:t>
      </w:r>
      <w:bookmarkStart w:id="88" w:name="OLE_LINK48"/>
      <w:r>
        <w:rPr>
          <w:rFonts w:ascii="Times New Roman" w:hAnsi="Times New Roman" w:eastAsia="仿宋_GB2312"/>
          <w:sz w:val="32"/>
          <w:szCs w:val="32"/>
        </w:rPr>
        <w:t>严</w:t>
      </w:r>
      <w:r>
        <w:rPr>
          <w:rFonts w:ascii="Times New Roman" w:hAnsi="Times New Roman" w:eastAsia="仿宋_GB2312"/>
          <w:sz w:val="32"/>
        </w:rPr>
        <w:t>格落实网络安全等级保护制度和关键信息基础设施安全保护要求，强化区级政务云、电子政务外网及核心业务系统安全保障。</w:t>
      </w:r>
      <w:bookmarkEnd w:id="88"/>
      <w:bookmarkStart w:id="89" w:name="OLE_LINK49"/>
      <w:r>
        <w:rPr>
          <w:rFonts w:ascii="Times New Roman" w:hAnsi="Times New Roman" w:eastAsia="仿宋_GB2312"/>
          <w:sz w:val="32"/>
        </w:rPr>
        <w:t>健全部门协同机制，强化信息共享和联合处置，开展常态化网络安全应急演练，提升实战能力。加强网络空间态势感知与威胁情报应用，提升威胁发现、攻击溯源和协同处置能力，支持网络安全企业参与安全运营。</w:t>
      </w:r>
    </w:p>
    <w:bookmarkEnd w:id="89"/>
    <w:p w14:paraId="27A414AD">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szCs w:val="32"/>
        </w:rPr>
        <w:t>强化数据安全治理能力。</w:t>
      </w:r>
      <w:r>
        <w:rPr>
          <w:rFonts w:ascii="Times New Roman" w:hAnsi="Times New Roman" w:eastAsia="仿宋_GB2312"/>
          <w:sz w:val="32"/>
          <w:szCs w:val="32"/>
        </w:rPr>
        <w:t>聚焦数据</w:t>
      </w:r>
      <w:r>
        <w:rPr>
          <w:rFonts w:ascii="Times New Roman" w:hAnsi="Times New Roman" w:eastAsia="仿宋_GB2312"/>
          <w:sz w:val="32"/>
        </w:rPr>
        <w:t>采集、存储、流通和应用全过程，落实数据分类分级管理制度，加强数据脱敏、隐私计算、区块链等技术应用，提升数据安全防护能力。建立数据安全风险评估、监测预警和应急响应机制，持续开展个人信息保护专项治理，强化数据安全监管与合规管理。</w:t>
      </w:r>
    </w:p>
    <w:p w14:paraId="5CB9F1CF">
      <w:pPr>
        <w:spacing w:after="0" w:line="580" w:lineRule="exact"/>
        <w:ind w:firstLine="643" w:firstLineChars="200"/>
        <w:rPr>
          <w:rFonts w:ascii="Times New Roman" w:hAnsi="Times New Roman" w:eastAsia="仿宋_GB2312"/>
          <w:sz w:val="32"/>
        </w:rPr>
      </w:pPr>
      <w:r>
        <w:rPr>
          <w:rFonts w:ascii="Times New Roman" w:hAnsi="Times New Roman" w:eastAsia="仿宋_GB2312"/>
          <w:b/>
          <w:bCs/>
          <w:sz w:val="32"/>
          <w:szCs w:val="32"/>
        </w:rPr>
        <w:t>提升人工智能安全水平。</w:t>
      </w:r>
      <w:r>
        <w:rPr>
          <w:rFonts w:ascii="Times New Roman" w:hAnsi="Times New Roman" w:eastAsia="仿宋_GB2312"/>
          <w:sz w:val="32"/>
          <w:szCs w:val="32"/>
        </w:rPr>
        <w:t>强化人工智能技术风险研判，建立技术风险评估和分类分级监管机制，完善伦理规范与制度约束。推动人工智能模型算法、数据资源、基础设施、应用系统等安全能力建设，加强前瞻评估和监测处置，推动人工智能应用合规、透明、可信赖。建立人工智能技术监测、风险预警、应急响应体系，加强相关规章制度、应用规范、伦理准则等宣讲与引导。</w:t>
      </w:r>
    </w:p>
    <w:p w14:paraId="647E7E8B">
      <w:pPr>
        <w:keepNext/>
        <w:keepLines/>
        <w:spacing w:after="0" w:line="580" w:lineRule="exact"/>
        <w:ind w:firstLine="643" w:firstLineChars="200"/>
        <w:outlineLvl w:val="0"/>
        <w:rPr>
          <w:rFonts w:ascii="Times New Roman" w:hAnsi="Times New Roman" w:eastAsia="黑体"/>
          <w:b/>
          <w:kern w:val="44"/>
          <w:sz w:val="32"/>
        </w:rPr>
      </w:pPr>
      <w:bookmarkStart w:id="90" w:name="_Toc1764895050"/>
      <w:r>
        <w:rPr>
          <w:rFonts w:ascii="Times New Roman" w:hAnsi="Times New Roman" w:eastAsia="黑体"/>
          <w:b/>
          <w:kern w:val="44"/>
          <w:sz w:val="32"/>
        </w:rPr>
        <w:t>九、保障措施</w:t>
      </w:r>
      <w:bookmarkEnd w:id="90"/>
    </w:p>
    <w:p w14:paraId="63C98D5C">
      <w:pPr>
        <w:keepNext/>
        <w:keepLines/>
        <w:spacing w:after="0" w:line="580" w:lineRule="exact"/>
        <w:ind w:firstLine="643" w:firstLineChars="200"/>
        <w:outlineLvl w:val="1"/>
        <w:rPr>
          <w:rFonts w:ascii="Times New Roman" w:hAnsi="Times New Roman" w:eastAsia="楷体"/>
          <w:b/>
          <w:sz w:val="32"/>
        </w:rPr>
      </w:pPr>
      <w:bookmarkStart w:id="91" w:name="_Toc1546972986"/>
      <w:r>
        <w:rPr>
          <w:rFonts w:ascii="Times New Roman" w:hAnsi="Times New Roman" w:eastAsia="楷体"/>
          <w:b/>
          <w:sz w:val="32"/>
        </w:rPr>
        <w:t>（二十四）</w:t>
      </w:r>
      <w:bookmarkEnd w:id="91"/>
      <w:r>
        <w:rPr>
          <w:rFonts w:ascii="Times New Roman" w:hAnsi="Times New Roman" w:eastAsia="楷体"/>
          <w:b/>
          <w:sz w:val="32"/>
        </w:rPr>
        <w:t>加强统筹协调</w:t>
      </w:r>
    </w:p>
    <w:p w14:paraId="4640EDB8">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坚持和加强党对数字经济工作的全面领导，构建区委、区政府统筹、职能部门联动、街镇协同的推进机制，强化跨部门协同，凝聚发展合力。积极争取国家部委和市级部门政策支持，提升各部门数字经济认知水平，营造全社会共同推进数字经济发展的良好氛围。</w:t>
      </w:r>
    </w:p>
    <w:p w14:paraId="43EC89E1">
      <w:pPr>
        <w:keepLines/>
        <w:spacing w:after="0" w:line="580" w:lineRule="exact"/>
        <w:ind w:firstLine="643" w:firstLineChars="200"/>
        <w:outlineLvl w:val="1"/>
        <w:rPr>
          <w:rFonts w:ascii="Times New Roman" w:hAnsi="Times New Roman" w:eastAsia="楷体_GB2312" w:cs="楷体"/>
          <w:b/>
          <w:sz w:val="32"/>
        </w:rPr>
      </w:pPr>
      <w:bookmarkStart w:id="92" w:name="_Toc221284206"/>
      <w:r>
        <w:rPr>
          <w:rFonts w:ascii="Times New Roman" w:hAnsi="Times New Roman" w:eastAsia="楷体_GB2312" w:cs="楷体"/>
          <w:b/>
          <w:sz w:val="32"/>
        </w:rPr>
        <w:t>（二十五）</w:t>
      </w:r>
      <w:bookmarkEnd w:id="92"/>
      <w:r>
        <w:rPr>
          <w:rFonts w:ascii="Times New Roman" w:hAnsi="Times New Roman" w:eastAsia="楷体_GB2312" w:cs="楷体"/>
          <w:b/>
          <w:sz w:val="32"/>
        </w:rPr>
        <w:t>强化落地实施</w:t>
      </w:r>
    </w:p>
    <w:p w14:paraId="64725500">
      <w:pPr>
        <w:spacing w:after="0"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制定数字经济发展年度计划，分解规划目标任务，明确责任分工和时间节点，各部门各负其责。加强规划跟踪监测与实施效果评估，建立动态调整机制，推动问题诉求</w:t>
      </w:r>
      <w:r>
        <w:rPr>
          <w:rFonts w:hint="eastAsia" w:ascii="Times New Roman" w:hAnsi="Times New Roman" w:eastAsia="仿宋_GB2312"/>
          <w:sz w:val="32"/>
          <w:szCs w:val="32"/>
        </w:rPr>
        <w:t>“</w:t>
      </w:r>
      <w:r>
        <w:rPr>
          <w:rFonts w:ascii="Times New Roman" w:hAnsi="Times New Roman" w:eastAsia="仿宋_GB2312"/>
          <w:sz w:val="32"/>
          <w:szCs w:val="32"/>
        </w:rPr>
        <w:t>清单化</w:t>
      </w:r>
      <w:r>
        <w:rPr>
          <w:rFonts w:hint="eastAsia" w:ascii="Times New Roman" w:hAnsi="Times New Roman" w:eastAsia="仿宋_GB2312"/>
          <w:sz w:val="32"/>
          <w:szCs w:val="32"/>
        </w:rPr>
        <w:t>”</w:t>
      </w:r>
      <w:r>
        <w:rPr>
          <w:rFonts w:ascii="Times New Roman" w:hAnsi="Times New Roman" w:eastAsia="仿宋_GB2312"/>
          <w:sz w:val="32"/>
          <w:szCs w:val="32"/>
        </w:rPr>
        <w:t>管理和</w:t>
      </w:r>
      <w:r>
        <w:rPr>
          <w:rFonts w:hint="eastAsia" w:ascii="Times New Roman" w:hAnsi="Times New Roman" w:eastAsia="仿宋_GB2312"/>
          <w:sz w:val="32"/>
          <w:szCs w:val="32"/>
        </w:rPr>
        <w:t>“</w:t>
      </w:r>
      <w:r>
        <w:rPr>
          <w:rFonts w:ascii="Times New Roman" w:hAnsi="Times New Roman" w:eastAsia="仿宋_GB2312"/>
          <w:sz w:val="32"/>
          <w:szCs w:val="32"/>
        </w:rPr>
        <w:t>闭环式</w:t>
      </w:r>
      <w:r>
        <w:rPr>
          <w:rFonts w:hint="eastAsia" w:ascii="Times New Roman" w:hAnsi="Times New Roman" w:eastAsia="仿宋_GB2312"/>
          <w:sz w:val="32"/>
          <w:szCs w:val="32"/>
        </w:rPr>
        <w:t>”</w:t>
      </w:r>
      <w:r>
        <w:rPr>
          <w:rFonts w:ascii="Times New Roman" w:hAnsi="Times New Roman" w:eastAsia="仿宋_GB2312"/>
          <w:sz w:val="32"/>
          <w:szCs w:val="32"/>
        </w:rPr>
        <w:t>解决，确保规划各项任务落地见效。</w:t>
      </w:r>
    </w:p>
    <w:p w14:paraId="1133E028">
      <w:pPr>
        <w:keepNext/>
        <w:keepLines/>
        <w:spacing w:after="0" w:line="580" w:lineRule="exact"/>
        <w:ind w:firstLine="643" w:firstLineChars="200"/>
        <w:outlineLvl w:val="1"/>
        <w:rPr>
          <w:rFonts w:ascii="Times New Roman" w:hAnsi="Times New Roman" w:eastAsia="楷体"/>
          <w:b/>
          <w:sz w:val="32"/>
        </w:rPr>
      </w:pPr>
      <w:bookmarkStart w:id="93" w:name="_Toc390461473"/>
      <w:r>
        <w:rPr>
          <w:rFonts w:ascii="Times New Roman" w:hAnsi="Times New Roman" w:eastAsia="楷体"/>
          <w:b/>
          <w:sz w:val="32"/>
        </w:rPr>
        <w:t>（二十六）强化要素支撑</w:t>
      </w:r>
      <w:bookmarkEnd w:id="93"/>
    </w:p>
    <w:p w14:paraId="0E2B1B60">
      <w:pPr>
        <w:spacing w:after="0" w:line="580" w:lineRule="exact"/>
        <w:ind w:firstLine="640" w:firstLineChars="200"/>
        <w:rPr>
          <w:rFonts w:ascii="Times New Roman" w:hAnsi="Times New Roman" w:eastAsia="仿宋_GB2312"/>
          <w:sz w:val="32"/>
        </w:rPr>
      </w:pPr>
      <w:r>
        <w:rPr>
          <w:rFonts w:ascii="Times New Roman" w:hAnsi="Times New Roman" w:eastAsia="仿宋_GB2312"/>
          <w:sz w:val="32"/>
        </w:rPr>
        <w:t>加强资金、资源统筹利用，积极拓宽渠道，强化供给支撑，创新金融产品和服务。加大政府采购自主创新产品力度，落实高新技术企业和科技型中小企业扶持政策。统筹全区产业用地资源，保障数字经济重大项目用地需求。完善数字经济领域人才引进、培养和激励机制。</w:t>
      </w:r>
      <w:bookmarkStart w:id="94" w:name="_GoBack"/>
      <w:bookmarkEnd w:id="94"/>
    </w:p>
    <w:p w14:paraId="0052DD21">
      <w:pPr>
        <w:spacing w:after="0" w:line="580" w:lineRule="exact"/>
        <w:jc w:val="left"/>
        <w:rPr>
          <w:rFonts w:ascii="Times New Roman" w:hAnsi="Times New Roman" w:cs="Segoe UI"/>
          <w:color w:val="0F1115"/>
        </w:rPr>
      </w:pPr>
    </w:p>
    <w:sectPr>
      <w:pgSz w:w="11906" w:h="16838"/>
      <w:pgMar w:top="2098" w:right="1531" w:bottom="1984" w:left="153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Arial">
    <w:altName w:val="DejaVu Sans"/>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Courier New">
    <w:altName w:val="DejaVu Sans"/>
    <w:panose1 w:val="02070309020205020404"/>
    <w:charset w:val="00"/>
    <w:family w:val="modern"/>
    <w:pitch w:val="default"/>
    <w:sig w:usb0="00000000" w:usb1="00000000" w:usb2="00000009" w:usb3="00000000" w:csb0="000001FF"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方正大标宋_GBK">
    <w:altName w:val="方正书宋_GBK"/>
    <w:panose1 w:val="00000000000000000000"/>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swiss"/>
    <w:pitch w:val="default"/>
    <w:sig w:usb0="00000000" w:usb1="00000000" w:usb2="00000009" w:usb3="00000000" w:csb0="000001FF" w:csb1="00000000"/>
  </w:font>
  <w:font w:name="Noto Naskh Arabic">
    <w:panose1 w:val="020B0502040504020204"/>
    <w:charset w:val="00"/>
    <w:family w:val="auto"/>
    <w:pitch w:val="default"/>
    <w:sig w:usb0="80002003" w:usb1="80002000" w:usb2="00000008" w:usb3="00000000" w:csb0="00000041" w:csb1="0008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FB696">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CF37DD3">
                          <w:pPr>
                            <w:spacing w:after="0" w:line="240" w:lineRule="auto"/>
                            <w:textAlignment w:val="center"/>
                            <w:rPr>
                              <w:rFonts w:ascii="Times New Roman" w:hAnsi="Times New Roman"/>
                              <w:color w:val="000000" w:themeColor="text1"/>
                              <w:sz w:val="24"/>
                              <w:szCs w:val="32"/>
                              <w14:textFill>
                                <w14:solidFill>
                                  <w14:schemeClr w14:val="tx1"/>
                                </w14:solidFill>
                              </w14:textFill>
                            </w:rPr>
                          </w:pPr>
                          <w:r>
                            <w:rPr>
                              <w:rFonts w:hint="eastAsia" w:ascii="Times New Roman" w:hAnsi="Times New Roman"/>
                              <w:color w:val="000000" w:themeColor="text1"/>
                              <w:sz w:val="24"/>
                              <w:szCs w:val="32"/>
                              <w14:textFill>
                                <w14:solidFill>
                                  <w14:schemeClr w14:val="tx1"/>
                                </w14:solidFill>
                              </w14:textFill>
                            </w:rPr>
                            <w:t>—</w:t>
                          </w:r>
                          <w:r>
                            <w:rPr>
                              <w:rFonts w:ascii="Times New Roman" w:hAnsi="Times New Roman"/>
                              <w:color w:val="000000" w:themeColor="text1"/>
                              <w:sz w:val="24"/>
                              <w:szCs w:val="32"/>
                              <w14:textFill>
                                <w14:solidFill>
                                  <w14:schemeClr w14:val="tx1"/>
                                </w14:solidFill>
                              </w14:textFill>
                            </w:rPr>
                            <w:t xml:space="preserve"> </w:t>
                          </w:r>
                          <w:r>
                            <w:rPr>
                              <w:rFonts w:ascii="Times New Roman" w:hAnsi="Times New Roman"/>
                              <w:color w:val="000000" w:themeColor="text1"/>
                              <w:sz w:val="24"/>
                              <w:szCs w:val="32"/>
                              <w14:textFill>
                                <w14:solidFill>
                                  <w14:schemeClr w14:val="tx1"/>
                                </w14:solidFill>
                              </w14:textFill>
                            </w:rPr>
                            <w:fldChar w:fldCharType="begin"/>
                          </w:r>
                          <w:r>
                            <w:rPr>
                              <w:rFonts w:ascii="Times New Roman" w:hAnsi="Times New Roman"/>
                              <w:color w:val="000000" w:themeColor="text1"/>
                              <w:sz w:val="24"/>
                              <w:szCs w:val="32"/>
                              <w14:textFill>
                                <w14:solidFill>
                                  <w14:schemeClr w14:val="tx1"/>
                                </w14:solidFill>
                              </w14:textFill>
                            </w:rPr>
                            <w:instrText xml:space="preserve"> PAGE  \* MERGEFORMAT </w:instrText>
                          </w:r>
                          <w:r>
                            <w:rPr>
                              <w:rFonts w:ascii="Times New Roman" w:hAnsi="Times New Roman"/>
                              <w:color w:val="000000" w:themeColor="text1"/>
                              <w:sz w:val="24"/>
                              <w:szCs w:val="32"/>
                              <w14:textFill>
                                <w14:solidFill>
                                  <w14:schemeClr w14:val="tx1"/>
                                </w14:solidFill>
                              </w14:textFill>
                            </w:rPr>
                            <w:fldChar w:fldCharType="separate"/>
                          </w:r>
                          <w:r>
                            <w:rPr>
                              <w:rFonts w:ascii="Times New Roman" w:hAnsi="Times New Roman"/>
                              <w:color w:val="000000" w:themeColor="text1"/>
                              <w:sz w:val="24"/>
                              <w:szCs w:val="32"/>
                              <w14:textFill>
                                <w14:solidFill>
                                  <w14:schemeClr w14:val="tx1"/>
                                </w14:solidFill>
                              </w14:textFill>
                            </w:rPr>
                            <w:t>- 1 -</w:t>
                          </w:r>
                          <w:r>
                            <w:rPr>
                              <w:rFonts w:ascii="Times New Roman" w:hAnsi="Times New Roman"/>
                              <w:color w:val="000000" w:themeColor="text1"/>
                              <w:sz w:val="24"/>
                              <w:szCs w:val="32"/>
                              <w14:textFill>
                                <w14:solidFill>
                                  <w14:schemeClr w14:val="tx1"/>
                                </w14:solidFill>
                              </w14:textFill>
                            </w:rPr>
                            <w:fldChar w:fldCharType="end"/>
                          </w:r>
                          <w:r>
                            <w:rPr>
                              <w:rFonts w:ascii="Times New Roman" w:hAnsi="Times New Roman"/>
                              <w:color w:val="000000" w:themeColor="text1"/>
                              <w:sz w:val="24"/>
                              <w:szCs w:val="32"/>
                              <w14:textFill>
                                <w14:solidFill>
                                  <w14:schemeClr w14:val="tx1"/>
                                </w14:solidFill>
                              </w14:textFill>
                            </w:rPr>
                            <w:t xml:space="preserve"> </w:t>
                          </w:r>
                          <w:r>
                            <w:rPr>
                              <w:rFonts w:hint="eastAsia" w:ascii="Times New Roman" w:hAnsi="Times New Roman"/>
                              <w:color w:val="000000" w:themeColor="text1"/>
                              <w:sz w:val="24"/>
                              <w:szCs w:val="32"/>
                              <w14:textFill>
                                <w14:solidFill>
                                  <w14:schemeClr w14:val="tx1"/>
                                </w14:solidFill>
                              </w14:textFill>
                            </w:rPr>
                            <w:t>—</w:t>
                          </w:r>
                        </w:p>
                      </w:txbxContent>
                    </wps:txbx>
                    <wps:bodyPr rot="0" spcFirstLastPara="0" vertOverflow="overflow" horzOverflow="overflow" vert="horz" wrap="none" lIns="0" tIns="0" rIns="0" bIns="0" numCol="1" spcCol="0" rtlCol="0" fromWordArt="0" anchor="ctr" anchorCtr="0" forceAA="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v-text-anchor:middle;mso-width-relative:page;mso-height-relative:page;" filled="f" stroked="f" coordsize="21600,21600" o:gfxdata="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PLjhcBe6ccdGcrFapTDMnmVh&#10;q3eWR/AokLerY4CgSecoS6cF+hMPmL7UqX5T4nj/eU5Rj/8O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3bmBA0AAAAAUBAAAPAAAAAAAAAAEAIAAAACIAAABkcnMvZG93bnJldi54bWxQSwECFAAU&#10;AAAACACHTuJAsHCQMDICAABlBAAADgAAAAAAAAABACAAAAAfAQAAZHJzL2Uyb0RvYy54bWxQSwUG&#10;AAAAAAYABgBZAQAAwwUAAAAA&#10;">
              <v:fill on="f" focussize="0,0"/>
              <v:stroke on="f" weight="0.5pt"/>
              <v:imagedata o:title=""/>
              <o:lock v:ext="edit" aspectratio="f"/>
              <v:textbox inset="0mm,0mm,0mm,0mm" style="mso-fit-shape-to-text:t;">
                <w:txbxContent>
                  <w:p w14:paraId="1CF37DD3">
                    <w:pPr>
                      <w:spacing w:after="0" w:line="240" w:lineRule="auto"/>
                      <w:textAlignment w:val="center"/>
                      <w:rPr>
                        <w:rFonts w:ascii="Times New Roman" w:hAnsi="Times New Roman"/>
                        <w:color w:val="000000" w:themeColor="text1"/>
                        <w:sz w:val="24"/>
                        <w:szCs w:val="32"/>
                        <w14:textFill>
                          <w14:solidFill>
                            <w14:schemeClr w14:val="tx1"/>
                          </w14:solidFill>
                        </w14:textFill>
                      </w:rPr>
                    </w:pPr>
                    <w:r>
                      <w:rPr>
                        <w:rFonts w:hint="eastAsia" w:ascii="Times New Roman" w:hAnsi="Times New Roman"/>
                        <w:color w:val="000000" w:themeColor="text1"/>
                        <w:sz w:val="24"/>
                        <w:szCs w:val="32"/>
                        <w14:textFill>
                          <w14:solidFill>
                            <w14:schemeClr w14:val="tx1"/>
                          </w14:solidFill>
                        </w14:textFill>
                      </w:rPr>
                      <w:t>—</w:t>
                    </w:r>
                    <w:r>
                      <w:rPr>
                        <w:rFonts w:ascii="Times New Roman" w:hAnsi="Times New Roman"/>
                        <w:color w:val="000000" w:themeColor="text1"/>
                        <w:sz w:val="24"/>
                        <w:szCs w:val="32"/>
                        <w14:textFill>
                          <w14:solidFill>
                            <w14:schemeClr w14:val="tx1"/>
                          </w14:solidFill>
                        </w14:textFill>
                      </w:rPr>
                      <w:t xml:space="preserve"> </w:t>
                    </w:r>
                    <w:r>
                      <w:rPr>
                        <w:rFonts w:ascii="Times New Roman" w:hAnsi="Times New Roman"/>
                        <w:color w:val="000000" w:themeColor="text1"/>
                        <w:sz w:val="24"/>
                        <w:szCs w:val="32"/>
                        <w14:textFill>
                          <w14:solidFill>
                            <w14:schemeClr w14:val="tx1"/>
                          </w14:solidFill>
                        </w14:textFill>
                      </w:rPr>
                      <w:fldChar w:fldCharType="begin"/>
                    </w:r>
                    <w:r>
                      <w:rPr>
                        <w:rFonts w:ascii="Times New Roman" w:hAnsi="Times New Roman"/>
                        <w:color w:val="000000" w:themeColor="text1"/>
                        <w:sz w:val="24"/>
                        <w:szCs w:val="32"/>
                        <w14:textFill>
                          <w14:solidFill>
                            <w14:schemeClr w14:val="tx1"/>
                          </w14:solidFill>
                        </w14:textFill>
                      </w:rPr>
                      <w:instrText xml:space="preserve"> PAGE  \* MERGEFORMAT </w:instrText>
                    </w:r>
                    <w:r>
                      <w:rPr>
                        <w:rFonts w:ascii="Times New Roman" w:hAnsi="Times New Roman"/>
                        <w:color w:val="000000" w:themeColor="text1"/>
                        <w:sz w:val="24"/>
                        <w:szCs w:val="32"/>
                        <w14:textFill>
                          <w14:solidFill>
                            <w14:schemeClr w14:val="tx1"/>
                          </w14:solidFill>
                        </w14:textFill>
                      </w:rPr>
                      <w:fldChar w:fldCharType="separate"/>
                    </w:r>
                    <w:r>
                      <w:rPr>
                        <w:rFonts w:ascii="Times New Roman" w:hAnsi="Times New Roman"/>
                        <w:color w:val="000000" w:themeColor="text1"/>
                        <w:sz w:val="24"/>
                        <w:szCs w:val="32"/>
                        <w14:textFill>
                          <w14:solidFill>
                            <w14:schemeClr w14:val="tx1"/>
                          </w14:solidFill>
                        </w14:textFill>
                      </w:rPr>
                      <w:t>- 1 -</w:t>
                    </w:r>
                    <w:r>
                      <w:rPr>
                        <w:rFonts w:ascii="Times New Roman" w:hAnsi="Times New Roman"/>
                        <w:color w:val="000000" w:themeColor="text1"/>
                        <w:sz w:val="24"/>
                        <w:szCs w:val="32"/>
                        <w14:textFill>
                          <w14:solidFill>
                            <w14:schemeClr w14:val="tx1"/>
                          </w14:solidFill>
                        </w14:textFill>
                      </w:rPr>
                      <w:fldChar w:fldCharType="end"/>
                    </w:r>
                    <w:r>
                      <w:rPr>
                        <w:rFonts w:ascii="Times New Roman" w:hAnsi="Times New Roman"/>
                        <w:color w:val="000000" w:themeColor="text1"/>
                        <w:sz w:val="24"/>
                        <w:szCs w:val="32"/>
                        <w14:textFill>
                          <w14:solidFill>
                            <w14:schemeClr w14:val="tx1"/>
                          </w14:solidFill>
                        </w14:textFill>
                      </w:rPr>
                      <w:t xml:space="preserve"> </w:t>
                    </w:r>
                    <w:r>
                      <w:rPr>
                        <w:rFonts w:hint="eastAsia" w:ascii="Times New Roman" w:hAnsi="Times New Roman"/>
                        <w:color w:val="000000" w:themeColor="text1"/>
                        <w:sz w:val="24"/>
                        <w:szCs w:val="32"/>
                        <w14:textFill>
                          <w14:solidFill>
                            <w14:schemeClr w14:val="tx1"/>
                          </w14:solidFill>
                        </w14:textFill>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61DE6">
    <w:pPr>
      <w:pStyle w:val="7"/>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92B77">
    <w:pPr>
      <w:pStyle w:val="7"/>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42F50">
    <w:pPr>
      <w:pStyle w:val="8"/>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9E446">
    <w:pPr>
      <w:pStyle w:val="8"/>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D9C5C">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F8051B"/>
    <w:multiLevelType w:val="multilevel"/>
    <w:tmpl w:val="5BF8051B"/>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41E"/>
    <w:rsid w:val="00010986"/>
    <w:rsid w:val="00020613"/>
    <w:rsid w:val="00023D8D"/>
    <w:rsid w:val="000242F4"/>
    <w:rsid w:val="00032ABC"/>
    <w:rsid w:val="00040DED"/>
    <w:rsid w:val="00042A5D"/>
    <w:rsid w:val="00046AAC"/>
    <w:rsid w:val="0004758F"/>
    <w:rsid w:val="0006646F"/>
    <w:rsid w:val="0006664C"/>
    <w:rsid w:val="00077794"/>
    <w:rsid w:val="00081460"/>
    <w:rsid w:val="000822B7"/>
    <w:rsid w:val="00090263"/>
    <w:rsid w:val="00095F97"/>
    <w:rsid w:val="000A3210"/>
    <w:rsid w:val="000A73A5"/>
    <w:rsid w:val="000B2DAD"/>
    <w:rsid w:val="000C13F5"/>
    <w:rsid w:val="000C3CC3"/>
    <w:rsid w:val="000C5585"/>
    <w:rsid w:val="000F585C"/>
    <w:rsid w:val="001005DF"/>
    <w:rsid w:val="001052EB"/>
    <w:rsid w:val="001108A0"/>
    <w:rsid w:val="00115DD4"/>
    <w:rsid w:val="00116880"/>
    <w:rsid w:val="001243D3"/>
    <w:rsid w:val="00134488"/>
    <w:rsid w:val="0015052C"/>
    <w:rsid w:val="001571D9"/>
    <w:rsid w:val="00167528"/>
    <w:rsid w:val="00172A27"/>
    <w:rsid w:val="00173ACB"/>
    <w:rsid w:val="00181C7F"/>
    <w:rsid w:val="00186CE8"/>
    <w:rsid w:val="001A25DE"/>
    <w:rsid w:val="001A509F"/>
    <w:rsid w:val="001B139E"/>
    <w:rsid w:val="001C0B80"/>
    <w:rsid w:val="001C1B8C"/>
    <w:rsid w:val="001D047A"/>
    <w:rsid w:val="00205ACA"/>
    <w:rsid w:val="002131DA"/>
    <w:rsid w:val="00222E8F"/>
    <w:rsid w:val="00226912"/>
    <w:rsid w:val="0024248C"/>
    <w:rsid w:val="002444EF"/>
    <w:rsid w:val="00270E9C"/>
    <w:rsid w:val="00271D87"/>
    <w:rsid w:val="002725D0"/>
    <w:rsid w:val="00282A66"/>
    <w:rsid w:val="0028348D"/>
    <w:rsid w:val="00284197"/>
    <w:rsid w:val="00297526"/>
    <w:rsid w:val="002B0BCF"/>
    <w:rsid w:val="002C117E"/>
    <w:rsid w:val="002C30F9"/>
    <w:rsid w:val="002D27C3"/>
    <w:rsid w:val="002D399C"/>
    <w:rsid w:val="002D659E"/>
    <w:rsid w:val="002F5135"/>
    <w:rsid w:val="003022B7"/>
    <w:rsid w:val="00311CB0"/>
    <w:rsid w:val="003135F7"/>
    <w:rsid w:val="00316066"/>
    <w:rsid w:val="003237E4"/>
    <w:rsid w:val="00345E42"/>
    <w:rsid w:val="003569C6"/>
    <w:rsid w:val="00366F3B"/>
    <w:rsid w:val="00373091"/>
    <w:rsid w:val="0038018E"/>
    <w:rsid w:val="003862AE"/>
    <w:rsid w:val="00387904"/>
    <w:rsid w:val="003C392A"/>
    <w:rsid w:val="003C5DC8"/>
    <w:rsid w:val="003E37D4"/>
    <w:rsid w:val="003E3D53"/>
    <w:rsid w:val="003E7923"/>
    <w:rsid w:val="003F12D7"/>
    <w:rsid w:val="003F6534"/>
    <w:rsid w:val="0040695C"/>
    <w:rsid w:val="00411C02"/>
    <w:rsid w:val="00416842"/>
    <w:rsid w:val="00423EFB"/>
    <w:rsid w:val="0043113A"/>
    <w:rsid w:val="00434C06"/>
    <w:rsid w:val="0044092A"/>
    <w:rsid w:val="00442C23"/>
    <w:rsid w:val="00443D71"/>
    <w:rsid w:val="00446F97"/>
    <w:rsid w:val="004476B5"/>
    <w:rsid w:val="004577E8"/>
    <w:rsid w:val="00472F45"/>
    <w:rsid w:val="00473ADD"/>
    <w:rsid w:val="00486BBA"/>
    <w:rsid w:val="00490B5D"/>
    <w:rsid w:val="004940CB"/>
    <w:rsid w:val="004A3E49"/>
    <w:rsid w:val="004C3607"/>
    <w:rsid w:val="004D3F6A"/>
    <w:rsid w:val="004D7454"/>
    <w:rsid w:val="0050135C"/>
    <w:rsid w:val="00504184"/>
    <w:rsid w:val="005202A6"/>
    <w:rsid w:val="00533774"/>
    <w:rsid w:val="005609B8"/>
    <w:rsid w:val="00565B20"/>
    <w:rsid w:val="005846EA"/>
    <w:rsid w:val="00592F31"/>
    <w:rsid w:val="005A5409"/>
    <w:rsid w:val="005C23B0"/>
    <w:rsid w:val="005D14FD"/>
    <w:rsid w:val="005D75CA"/>
    <w:rsid w:val="005F3E28"/>
    <w:rsid w:val="006023BE"/>
    <w:rsid w:val="00612C38"/>
    <w:rsid w:val="00616506"/>
    <w:rsid w:val="00625A55"/>
    <w:rsid w:val="00636291"/>
    <w:rsid w:val="006374E0"/>
    <w:rsid w:val="00660B19"/>
    <w:rsid w:val="00675349"/>
    <w:rsid w:val="00676075"/>
    <w:rsid w:val="00676964"/>
    <w:rsid w:val="00680138"/>
    <w:rsid w:val="00680473"/>
    <w:rsid w:val="00683803"/>
    <w:rsid w:val="006B2896"/>
    <w:rsid w:val="006B567A"/>
    <w:rsid w:val="006C16BB"/>
    <w:rsid w:val="006C794A"/>
    <w:rsid w:val="006D25F9"/>
    <w:rsid w:val="00700FAD"/>
    <w:rsid w:val="00714B65"/>
    <w:rsid w:val="007213C0"/>
    <w:rsid w:val="00723428"/>
    <w:rsid w:val="007309AB"/>
    <w:rsid w:val="007374AA"/>
    <w:rsid w:val="0074350E"/>
    <w:rsid w:val="00743D29"/>
    <w:rsid w:val="00745A02"/>
    <w:rsid w:val="0074733E"/>
    <w:rsid w:val="007668CF"/>
    <w:rsid w:val="007676E5"/>
    <w:rsid w:val="00786045"/>
    <w:rsid w:val="007939AF"/>
    <w:rsid w:val="00796E66"/>
    <w:rsid w:val="007B6264"/>
    <w:rsid w:val="007D5B33"/>
    <w:rsid w:val="007E2C2A"/>
    <w:rsid w:val="007E3B9B"/>
    <w:rsid w:val="007E4223"/>
    <w:rsid w:val="008134BC"/>
    <w:rsid w:val="00814F21"/>
    <w:rsid w:val="0081564E"/>
    <w:rsid w:val="008249F9"/>
    <w:rsid w:val="0082719B"/>
    <w:rsid w:val="008330C5"/>
    <w:rsid w:val="00847DA3"/>
    <w:rsid w:val="00856FE6"/>
    <w:rsid w:val="0086777F"/>
    <w:rsid w:val="00870D90"/>
    <w:rsid w:val="008761C4"/>
    <w:rsid w:val="00876A9E"/>
    <w:rsid w:val="00894026"/>
    <w:rsid w:val="008A10A6"/>
    <w:rsid w:val="008A1364"/>
    <w:rsid w:val="008B259A"/>
    <w:rsid w:val="008B71D9"/>
    <w:rsid w:val="008C070D"/>
    <w:rsid w:val="008E2639"/>
    <w:rsid w:val="008F0473"/>
    <w:rsid w:val="008F7ADB"/>
    <w:rsid w:val="008F7C9E"/>
    <w:rsid w:val="00900950"/>
    <w:rsid w:val="00913216"/>
    <w:rsid w:val="009267B3"/>
    <w:rsid w:val="00933076"/>
    <w:rsid w:val="009426FF"/>
    <w:rsid w:val="00942DAA"/>
    <w:rsid w:val="0094476D"/>
    <w:rsid w:val="00965F2C"/>
    <w:rsid w:val="00971127"/>
    <w:rsid w:val="0097329B"/>
    <w:rsid w:val="00977446"/>
    <w:rsid w:val="00977FE3"/>
    <w:rsid w:val="00986A86"/>
    <w:rsid w:val="009970BE"/>
    <w:rsid w:val="00997F01"/>
    <w:rsid w:val="009B242E"/>
    <w:rsid w:val="009D118C"/>
    <w:rsid w:val="009D7389"/>
    <w:rsid w:val="00A00CD5"/>
    <w:rsid w:val="00A046DD"/>
    <w:rsid w:val="00A07340"/>
    <w:rsid w:val="00A103CC"/>
    <w:rsid w:val="00A21914"/>
    <w:rsid w:val="00A30F29"/>
    <w:rsid w:val="00A3297E"/>
    <w:rsid w:val="00A52705"/>
    <w:rsid w:val="00A55B83"/>
    <w:rsid w:val="00A61896"/>
    <w:rsid w:val="00A63020"/>
    <w:rsid w:val="00A63B89"/>
    <w:rsid w:val="00A80153"/>
    <w:rsid w:val="00A83BF6"/>
    <w:rsid w:val="00A91EB8"/>
    <w:rsid w:val="00A9604F"/>
    <w:rsid w:val="00A97C7F"/>
    <w:rsid w:val="00AA7D7A"/>
    <w:rsid w:val="00AC1DD5"/>
    <w:rsid w:val="00AD420F"/>
    <w:rsid w:val="00AE54FE"/>
    <w:rsid w:val="00AF2398"/>
    <w:rsid w:val="00B006FE"/>
    <w:rsid w:val="00B06BD9"/>
    <w:rsid w:val="00B2378C"/>
    <w:rsid w:val="00B43AD6"/>
    <w:rsid w:val="00B46D57"/>
    <w:rsid w:val="00B51B77"/>
    <w:rsid w:val="00B54D1E"/>
    <w:rsid w:val="00B60FBB"/>
    <w:rsid w:val="00B74348"/>
    <w:rsid w:val="00B854FD"/>
    <w:rsid w:val="00B90B07"/>
    <w:rsid w:val="00BA212D"/>
    <w:rsid w:val="00BA28F8"/>
    <w:rsid w:val="00BB3685"/>
    <w:rsid w:val="00BC078C"/>
    <w:rsid w:val="00BC4960"/>
    <w:rsid w:val="00BC4D82"/>
    <w:rsid w:val="00BC56CF"/>
    <w:rsid w:val="00BC668A"/>
    <w:rsid w:val="00BD5984"/>
    <w:rsid w:val="00BF4149"/>
    <w:rsid w:val="00C01F47"/>
    <w:rsid w:val="00C02021"/>
    <w:rsid w:val="00C03B19"/>
    <w:rsid w:val="00C16C4B"/>
    <w:rsid w:val="00C17AE1"/>
    <w:rsid w:val="00C27F81"/>
    <w:rsid w:val="00C46873"/>
    <w:rsid w:val="00C54452"/>
    <w:rsid w:val="00C63583"/>
    <w:rsid w:val="00C74CAA"/>
    <w:rsid w:val="00C75AEB"/>
    <w:rsid w:val="00C836BF"/>
    <w:rsid w:val="00C862BB"/>
    <w:rsid w:val="00CB5B5A"/>
    <w:rsid w:val="00CB618B"/>
    <w:rsid w:val="00CB7EEE"/>
    <w:rsid w:val="00CC0C59"/>
    <w:rsid w:val="00CE0E18"/>
    <w:rsid w:val="00CE34E2"/>
    <w:rsid w:val="00CF064F"/>
    <w:rsid w:val="00CF2232"/>
    <w:rsid w:val="00CF4207"/>
    <w:rsid w:val="00CF4E83"/>
    <w:rsid w:val="00CF5C6D"/>
    <w:rsid w:val="00D364EB"/>
    <w:rsid w:val="00D4460A"/>
    <w:rsid w:val="00D53F6A"/>
    <w:rsid w:val="00D65565"/>
    <w:rsid w:val="00D765B6"/>
    <w:rsid w:val="00D77887"/>
    <w:rsid w:val="00D80A6C"/>
    <w:rsid w:val="00D87522"/>
    <w:rsid w:val="00D91F31"/>
    <w:rsid w:val="00DB3457"/>
    <w:rsid w:val="00DB70DF"/>
    <w:rsid w:val="00DD4A87"/>
    <w:rsid w:val="00DD5EA4"/>
    <w:rsid w:val="00DD656D"/>
    <w:rsid w:val="00DE0932"/>
    <w:rsid w:val="00DF1CD7"/>
    <w:rsid w:val="00DF3E17"/>
    <w:rsid w:val="00E025B8"/>
    <w:rsid w:val="00E15FAD"/>
    <w:rsid w:val="00E2372F"/>
    <w:rsid w:val="00E25A04"/>
    <w:rsid w:val="00E37281"/>
    <w:rsid w:val="00E431B8"/>
    <w:rsid w:val="00E51E47"/>
    <w:rsid w:val="00E52C26"/>
    <w:rsid w:val="00E676ED"/>
    <w:rsid w:val="00E75FC7"/>
    <w:rsid w:val="00E96FA9"/>
    <w:rsid w:val="00EB19EB"/>
    <w:rsid w:val="00EB7830"/>
    <w:rsid w:val="00ED2C6D"/>
    <w:rsid w:val="00EE37C4"/>
    <w:rsid w:val="00F061A5"/>
    <w:rsid w:val="00F153A4"/>
    <w:rsid w:val="00F40F68"/>
    <w:rsid w:val="00F434B9"/>
    <w:rsid w:val="00F728D4"/>
    <w:rsid w:val="00F86365"/>
    <w:rsid w:val="00F9329E"/>
    <w:rsid w:val="00FA0721"/>
    <w:rsid w:val="00FA074B"/>
    <w:rsid w:val="00FA30A4"/>
    <w:rsid w:val="00FA4E4A"/>
    <w:rsid w:val="00FF1E03"/>
    <w:rsid w:val="00FF3D20"/>
    <w:rsid w:val="00FF609D"/>
    <w:rsid w:val="038828B1"/>
    <w:rsid w:val="04E0690E"/>
    <w:rsid w:val="072B5160"/>
    <w:rsid w:val="0B593CD7"/>
    <w:rsid w:val="0BC248DD"/>
    <w:rsid w:val="11B03D47"/>
    <w:rsid w:val="12F31104"/>
    <w:rsid w:val="1581165A"/>
    <w:rsid w:val="164034C3"/>
    <w:rsid w:val="1D990041"/>
    <w:rsid w:val="1E711282"/>
    <w:rsid w:val="1F2E1410"/>
    <w:rsid w:val="22E058B4"/>
    <w:rsid w:val="22E434FC"/>
    <w:rsid w:val="25E33709"/>
    <w:rsid w:val="2AAA1F8B"/>
    <w:rsid w:val="3A6C2B8A"/>
    <w:rsid w:val="3A89290C"/>
    <w:rsid w:val="40A32B1D"/>
    <w:rsid w:val="412402E1"/>
    <w:rsid w:val="41C80A0F"/>
    <w:rsid w:val="44390BEA"/>
    <w:rsid w:val="47F573F1"/>
    <w:rsid w:val="48584629"/>
    <w:rsid w:val="4C8E5D47"/>
    <w:rsid w:val="51487AFC"/>
    <w:rsid w:val="518E12F4"/>
    <w:rsid w:val="51D60001"/>
    <w:rsid w:val="543E5070"/>
    <w:rsid w:val="55CB5E0C"/>
    <w:rsid w:val="579114C9"/>
    <w:rsid w:val="61AA1E77"/>
    <w:rsid w:val="628531F2"/>
    <w:rsid w:val="636978BD"/>
    <w:rsid w:val="65C97396"/>
    <w:rsid w:val="6A2C4CDF"/>
    <w:rsid w:val="6B6A44AB"/>
    <w:rsid w:val="6C106892"/>
    <w:rsid w:val="6CAC35C5"/>
    <w:rsid w:val="6D960E95"/>
    <w:rsid w:val="6E9A3FA2"/>
    <w:rsid w:val="6EB26219"/>
    <w:rsid w:val="6F77303F"/>
    <w:rsid w:val="71D70A1E"/>
    <w:rsid w:val="7585134C"/>
    <w:rsid w:val="76FF18B8"/>
    <w:rsid w:val="77387ED6"/>
    <w:rsid w:val="77FB750B"/>
    <w:rsid w:val="7BA70A47"/>
    <w:rsid w:val="7D530A9C"/>
    <w:rsid w:val="86D9FA31"/>
    <w:rsid w:val="96FE00CD"/>
    <w:rsid w:val="9FFFCEE3"/>
    <w:rsid w:val="DEBFB25C"/>
    <w:rsid w:val="EFF4EB54"/>
    <w:rsid w:val="FAED18DA"/>
    <w:rsid w:val="FEE63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line="240" w:lineRule="auto"/>
      <w:outlineLvl w:val="0"/>
    </w:pPr>
    <w:rPr>
      <w:rFonts w:eastAsia="方正小标宋简体"/>
      <w:b/>
      <w:kern w:val="44"/>
      <w:sz w:val="44"/>
    </w:rPr>
  </w:style>
  <w:style w:type="paragraph" w:styleId="4">
    <w:name w:val="heading 2"/>
    <w:basedOn w:val="1"/>
    <w:next w:val="1"/>
    <w:qFormat/>
    <w:uiPriority w:val="9"/>
    <w:pPr>
      <w:keepNext/>
      <w:keepLines/>
      <w:spacing w:line="560" w:lineRule="exact"/>
      <w:ind w:firstLine="720" w:firstLineChars="200"/>
      <w:outlineLvl w:val="1"/>
    </w:pPr>
    <w:rPr>
      <w:rFonts w:ascii="Arial" w:hAnsi="Arial" w:eastAsia="黑体"/>
      <w:b/>
      <w:sz w:val="32"/>
    </w:rPr>
  </w:style>
  <w:style w:type="paragraph" w:styleId="5">
    <w:name w:val="heading 3"/>
    <w:basedOn w:val="1"/>
    <w:next w:val="1"/>
    <w:qFormat/>
    <w:uiPriority w:val="9"/>
    <w:pPr>
      <w:keepNext/>
      <w:keepLines/>
      <w:spacing w:line="540" w:lineRule="exact"/>
      <w:ind w:firstLine="720" w:firstLineChars="200"/>
      <w:outlineLvl w:val="2"/>
    </w:pPr>
    <w:rPr>
      <w:rFonts w:eastAsia="方正楷体_GBK"/>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1"/>
    </w:rPr>
  </w:style>
  <w:style w:type="paragraph" w:styleId="6">
    <w:name w:val="Body Text"/>
    <w:basedOn w:val="1"/>
    <w:qFormat/>
    <w:uiPriority w:val="0"/>
    <w:pPr>
      <w:spacing w:after="120"/>
    </w:pPr>
  </w:style>
  <w:style w:type="paragraph" w:styleId="7">
    <w:name w:val="footer"/>
    <w:basedOn w:val="1"/>
    <w:link w:val="16"/>
    <w:qFormat/>
    <w:uiPriority w:val="0"/>
    <w:pPr>
      <w:tabs>
        <w:tab w:val="center" w:pos="4153"/>
        <w:tab w:val="right" w:pos="8306"/>
      </w:tabs>
      <w:snapToGrid w:val="0"/>
      <w:spacing w:line="240" w:lineRule="auto"/>
      <w:jc w:val="left"/>
    </w:pPr>
    <w:rPr>
      <w:sz w:val="18"/>
      <w:szCs w:val="18"/>
    </w:rPr>
  </w:style>
  <w:style w:type="paragraph" w:styleId="8">
    <w:name w:val="header"/>
    <w:basedOn w:val="1"/>
    <w:link w:val="15"/>
    <w:qFormat/>
    <w:uiPriority w:val="0"/>
    <w:pPr>
      <w:tabs>
        <w:tab w:val="center" w:pos="4153"/>
        <w:tab w:val="right" w:pos="8306"/>
      </w:tabs>
      <w:snapToGrid w:val="0"/>
      <w:spacing w:line="240" w:lineRule="auto"/>
      <w:jc w:val="center"/>
    </w:pPr>
    <w:rPr>
      <w:sz w:val="18"/>
      <w:szCs w:val="18"/>
    </w:rPr>
  </w:style>
  <w:style w:type="paragraph" w:styleId="9">
    <w:name w:val="Normal (Web)"/>
    <w:basedOn w:val="1"/>
    <w:qFormat/>
    <w:uiPriority w:val="0"/>
    <w:pPr>
      <w:spacing w:beforeAutospacing="1" w:after="0" w:afterAutospacing="1"/>
      <w:jc w:val="left"/>
    </w:pPr>
    <w:rPr>
      <w:kern w:val="0"/>
      <w:sz w:val="24"/>
    </w:rPr>
  </w:style>
  <w:style w:type="paragraph" w:styleId="10">
    <w:name w:val="Title"/>
    <w:basedOn w:val="1"/>
    <w:next w:val="1"/>
    <w:unhideWhenUsed/>
    <w:qFormat/>
    <w:uiPriority w:val="10"/>
    <w:pPr>
      <w:spacing w:before="240" w:after="60"/>
      <w:jc w:val="center"/>
      <w:outlineLvl w:val="0"/>
    </w:pPr>
    <w:rPr>
      <w:rFonts w:ascii="Cambria" w:hAnsi="Cambria"/>
      <w:b/>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p0"/>
    <w:basedOn w:val="1"/>
    <w:qFormat/>
    <w:uiPriority w:val="0"/>
    <w:pPr>
      <w:widowControl/>
      <w:jc w:val="left"/>
    </w:pPr>
    <w:rPr>
      <w:rFonts w:ascii="宋体" w:hAnsi="宋体" w:cs="宋体"/>
      <w:kern w:val="0"/>
      <w:sz w:val="24"/>
    </w:rPr>
  </w:style>
  <w:style w:type="character" w:customStyle="1" w:styleId="15">
    <w:name w:val="页眉 字符"/>
    <w:basedOn w:val="13"/>
    <w:link w:val="8"/>
    <w:qFormat/>
    <w:uiPriority w:val="0"/>
    <w:rPr>
      <w:rFonts w:ascii="Calibri" w:hAnsi="Calibri"/>
      <w:kern w:val="2"/>
      <w:sz w:val="18"/>
      <w:szCs w:val="18"/>
    </w:rPr>
  </w:style>
  <w:style w:type="character" w:customStyle="1" w:styleId="16">
    <w:name w:val="页脚 字符"/>
    <w:basedOn w:val="13"/>
    <w:link w:val="7"/>
    <w:qFormat/>
    <w:uiPriority w:val="0"/>
    <w:rPr>
      <w:rFonts w:ascii="Calibri" w:hAnsi="Calibri"/>
      <w:kern w:val="2"/>
      <w:sz w:val="18"/>
      <w:szCs w:val="18"/>
    </w:rPr>
  </w:style>
  <w:style w:type="table" w:customStyle="1" w:styleId="17">
    <w:name w:val="网格型1"/>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standalone='no'?>
<b:Sources xmlns:b="http://schemas.openxmlformats.org/officeDocument/2006/bibliography" SelectedStyle="\APASixthEditionOfficeOnline.xsl" Version="6" StyleName="APA" xmlns:b="http://schemas.openxmlformats.org/officeDocument/2006/bibliography"/>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A3E9D2-9440-4316-87CE-61AC4DF3530D}">
  <ds:schemaRefs/>
</ds:datastoreItem>
</file>

<file path=docProps/app.xml><?xml version="1.0" encoding="utf-8"?>
<Properties xmlns="http://schemas.openxmlformats.org/officeDocument/2006/extended-properties" xmlns:vt="http://schemas.openxmlformats.org/officeDocument/2006/docPropsVTypes">
  <Template>Normal</Template>
  <Pages>17</Pages>
  <Words>5098</Words>
  <Characters>5710</Characters>
  <Lines>335</Lines>
  <Paragraphs>308</Paragraphs>
  <TotalTime>28</TotalTime>
  <ScaleCrop>false</ScaleCrop>
  <LinksUpToDate>false</LinksUpToDate>
  <CharactersWithSpaces>10500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2023-05-23T00:38:00Z</dcterms:created>
  <dc:creator>lj</dc:creator>
  <cp:lastModifiedBy>HIGC</cp:lastModifiedBy>
  <cp:lastPrinted>2026-03-18T17:28:00Z</cp:lastPrinted>
  <dcterms:modified xsi:type="dcterms:W3CDTF">2026-11-04T10:09:10Z</dcterms:modified>
  <cp:revision>274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_2015_ms_pID_725343">
    <vt:lpwstr>(2)rDwHqDzUGhn4z2obyFKBKFAahK4k8CzMHyg1Cedrp6oYr9oUr3laPpb5lTvwMSEe6iUrUhrf
4i/ismigsdIiDan78Kbw8KRLpxtWrC+EJbuqbJ5e4sm2C5VhZ07mMHkRawx02C4P8ZNrGmeK
zKVjbDXBwBBQwsCsC+u2G51gNA0Al1bguT/sHBiR8+edTLvIwrzksZyfGupp/Awx+pyLcKCq
gZMdN2fKOuZMMDekUa</vt:lpwstr>
  </property>
  <property fmtid="{D5CDD505-2E9C-101B-9397-08002B2CF9AE}" pid="4" name="_2015_ms_pID_7253431">
    <vt:lpwstr>Z00b9oM5Cf+7mLPsXP8WlLJ3zDOeM8Ya/AyTRs1uEjn1sZC4nTeM4g
OFis8SuPe35yziI5FLtBw/LDcy9VLYkEo6OkFjNdMo/MHQ57jw01Gy6XOz1uOuFh3Fg3cjbn
3kj4Xp32FxneNkbNl3GYdtel5oKiurQ9jpq27KNxY6eDtZwf6mMpsHTBZu2ntifeOzieCmS/
xzhidSi5HZE/PQrl</vt:lpwstr>
  </property>
  <property fmtid="{D5CDD505-2E9C-101B-9397-08002B2CF9AE}" pid="5" name="KSOTemplateDocerSaveRecord">
    <vt:lpwstr>eyJoZGlkIjoiNGZmYzUzYWJlNWUyYTE0YWRlMGJiODllMzQ2ZjA0MTAiLCJ1c2VySWQiOiI0MTQ1MjkzNjIifQ==</vt:lpwstr>
  </property>
  <property fmtid="{D5CDD505-2E9C-101B-9397-08002B2CF9AE}" pid="6" name="ICV">
    <vt:lpwstr>852F70342EF09D7A7F90E96AAEA304AD_43</vt:lpwstr>
  </property>
</Properties>
</file>