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hint="eastAsia" w:ascii="方正小标宋简体" w:hAnsi="方正小标宋简体" w:eastAsia="方正小标宋简体" w:cs="方正小标宋简体"/>
          <w:color w:val="000000" w:themeColor="text1"/>
          <w:sz w:val="52"/>
          <w:szCs w:val="52"/>
          <w14:textFill>
            <w14:solidFill>
              <w14:schemeClr w14:val="tx1"/>
            </w14:solidFill>
          </w14:textFill>
        </w:rPr>
      </w:pPr>
      <w:bookmarkStart w:id="0" w:name="OLE_LINK1"/>
      <w:r>
        <w:rPr>
          <w:rFonts w:hint="eastAsia" w:ascii="方正小标宋简体" w:hAnsi="方正小标宋简体" w:eastAsia="方正小标宋简体" w:cs="方正小标宋简体"/>
          <w:color w:val="000000" w:themeColor="text1"/>
          <w:sz w:val="52"/>
          <w:szCs w:val="52"/>
          <w14:textFill>
            <w14:solidFill>
              <w14:schemeClr w14:val="tx1"/>
            </w14:solidFill>
          </w14:textFill>
        </w:rPr>
        <w:t>平谷区“十五五”时期公共服务规划</w:t>
      </w:r>
    </w:p>
    <w:bookmarkEnd w:id="0"/>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方正小标宋简体" w:cs="Times New Roman"/>
          <w:color w:val="000000" w:themeColor="text1"/>
          <w:sz w:val="44"/>
          <w:szCs w:val="44"/>
          <w14:textFill>
            <w14:solidFill>
              <w14:schemeClr w14:val="tx1"/>
            </w14:solidFill>
          </w14:textFill>
        </w:rPr>
      </w:pPr>
    </w:p>
    <w:p>
      <w:pPr>
        <w:ind w:firstLine="0" w:firstLineChars="0"/>
        <w:jc w:val="center"/>
        <w:rPr>
          <w:rFonts w:ascii="Times New Roman" w:hAnsi="Times New Roman" w:eastAsia="黑体" w:cs="Times New Roman"/>
          <w:szCs w:val="32"/>
        </w:rPr>
      </w:pPr>
      <w:r>
        <w:rPr>
          <w:rFonts w:ascii="Times New Roman" w:hAnsi="Times New Roman" w:eastAsia="黑体" w:cs="Times New Roman"/>
          <w:szCs w:val="32"/>
        </w:rPr>
        <w:t>北京市平谷区发展和改革委员会</w:t>
      </w:r>
    </w:p>
    <w:p>
      <w:pPr>
        <w:spacing w:line="560" w:lineRule="exact"/>
        <w:ind w:firstLine="0" w:firstLineChars="0"/>
        <w:jc w:val="center"/>
        <w:rPr>
          <w:rFonts w:hint="eastAsia" w:ascii="黑体" w:hAnsi="黑体" w:eastAsia="黑体" w:cs="黑体"/>
          <w:color w:val="000000" w:themeColor="text1"/>
          <w:szCs w:val="32"/>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2098" w:right="1474" w:bottom="1985" w:left="1588" w:header="851" w:footer="992" w:gutter="0"/>
          <w:pgNumType w:fmt="upperRoman"/>
          <w:cols w:space="425" w:num="1"/>
          <w:docGrid w:type="lines" w:linePitch="312" w:charSpace="0"/>
        </w:sectPr>
      </w:pPr>
    </w:p>
    <w:sdt>
      <w:sdtPr>
        <w:rPr>
          <w:rFonts w:hint="eastAsia" w:ascii="Times New Roman" w:hAnsi="Times New Roman" w:eastAsia="仿宋_GB2312" w:cs="Times New Roman"/>
          <w:b w:val="0"/>
          <w:bCs/>
          <w:color w:val="000000" w:themeColor="text1"/>
          <w:kern w:val="2"/>
          <w:szCs w:val="24"/>
          <w:lang w:val="zh-CN"/>
          <w14:textFill>
            <w14:solidFill>
              <w14:schemeClr w14:val="tx1"/>
            </w14:solidFill>
          </w14:textFill>
        </w:rPr>
        <w:id w:val="582881674"/>
        <w:docPartObj>
          <w:docPartGallery w:val="Table of Contents"/>
          <w:docPartUnique/>
        </w:docPartObj>
      </w:sdtPr>
      <w:sdtEndPr>
        <w:rPr>
          <w:rFonts w:hint="eastAsia" w:ascii="Times New Roman" w:hAnsi="Times New Roman" w:eastAsia="仿宋_GB2312" w:cs="Times New Roman"/>
          <w:b/>
          <w:bCs/>
          <w:color w:val="000000" w:themeColor="text1"/>
          <w:kern w:val="2"/>
          <w:sz w:val="28"/>
          <w:szCs w:val="28"/>
          <w:lang w:val="zh-CN"/>
          <w14:textFill>
            <w14:solidFill>
              <w14:schemeClr w14:val="tx1"/>
            </w14:solidFill>
          </w14:textFill>
        </w:rPr>
      </w:sdtEndPr>
      <w:sdtContent>
        <w:p>
          <w:pPr>
            <w:pStyle w:val="26"/>
            <w:adjustRightInd w:val="0"/>
            <w:snapToGrid w:val="0"/>
            <w:spacing w:line="560" w:lineRule="exact"/>
            <w:jc w:val="center"/>
            <w:rPr>
              <w:rFonts w:hint="eastAsia" w:ascii="Times New Roman" w:hAnsi="Times New Roman" w:eastAsia="仿宋_GB2312" w:cs="Times New Roman"/>
              <w:b w:val="0"/>
              <w:bCs/>
              <w:color w:val="000000" w:themeColor="text1"/>
              <w:kern w:val="2"/>
              <w:szCs w:val="24"/>
              <w:lang w:val="zh-CN"/>
              <w14:textFill>
                <w14:solidFill>
                  <w14:schemeClr w14:val="tx1"/>
                </w14:solidFill>
              </w14:textFill>
            </w:rPr>
          </w:pPr>
          <w:bookmarkStart w:id="57" w:name="_GoBack"/>
          <w:bookmarkEnd w:id="57"/>
        </w:p>
        <w:p>
          <w:pPr>
            <w:pStyle w:val="26"/>
            <w:adjustRightInd w:val="0"/>
            <w:snapToGrid w:val="0"/>
            <w:spacing w:line="560" w:lineRule="exact"/>
            <w:jc w:val="center"/>
            <w:rPr>
              <w:rFonts w:ascii="方正小标宋简体" w:hAnsi="Times New Roman" w:eastAsia="方正小标宋简体" w:cs="Times New Roman"/>
              <w:color w:val="000000" w:themeColor="text1"/>
              <w:kern w:val="2"/>
              <w:sz w:val="44"/>
              <w:szCs w:val="44"/>
              <w14:textFill>
                <w14:solidFill>
                  <w14:schemeClr w14:val="tx1"/>
                </w14:solidFill>
              </w14:textFill>
            </w:rPr>
          </w:pPr>
          <w:r>
            <w:rPr>
              <w:rFonts w:hint="eastAsia" w:ascii="方正小标宋简体" w:hAnsi="Times New Roman" w:eastAsia="方正小标宋简体" w:cs="Times New Roman"/>
              <w:color w:val="000000" w:themeColor="text1"/>
              <w:kern w:val="2"/>
              <w:sz w:val="44"/>
              <w:szCs w:val="44"/>
              <w:lang w:val="zh-CN"/>
              <w14:textFill>
                <w14:solidFill>
                  <w14:schemeClr w14:val="tx1"/>
                </w14:solidFill>
              </w14:textFill>
            </w:rPr>
            <w:t>目</w:t>
          </w:r>
          <w:r>
            <w:rPr>
              <w:rFonts w:hint="eastAsia" w:ascii="方正小标宋简体" w:hAnsi="Times New Roman" w:eastAsia="方正小标宋简体" w:cs="Times New Roman"/>
              <w:color w:val="000000" w:themeColor="text1"/>
              <w:kern w:val="2"/>
              <w:sz w:val="44"/>
              <w:szCs w:val="44"/>
              <w14:textFill>
                <w14:solidFill>
                  <w14:schemeClr w14:val="tx1"/>
                </w14:solidFill>
              </w14:textFill>
            </w:rPr>
            <w:t xml:space="preserve">  </w:t>
          </w:r>
          <w:r>
            <w:rPr>
              <w:rFonts w:hint="eastAsia" w:ascii="方正小标宋简体" w:hAnsi="Times New Roman" w:eastAsia="方正小标宋简体" w:cs="Times New Roman"/>
              <w:color w:val="000000" w:themeColor="text1"/>
              <w:kern w:val="2"/>
              <w:sz w:val="44"/>
              <w:szCs w:val="44"/>
              <w:lang w:val="zh-CN"/>
              <w14:textFill>
                <w14:solidFill>
                  <w14:schemeClr w14:val="tx1"/>
                </w14:solidFill>
              </w14:textFill>
            </w:rPr>
            <w:t>录</w:t>
          </w:r>
        </w:p>
        <w:p>
          <w:pPr>
            <w:pStyle w:val="10"/>
            <w:ind w:firstLine="560"/>
            <w:rPr>
              <w:rFonts w:hint="eastAsia" w:asciiTheme="minorHAnsi" w:hAnsiTheme="minorHAnsi" w:eastAsiaTheme="minorEastAsia" w:cstheme="minorBidi"/>
              <w:sz w:val="22"/>
              <w:szCs w:val="24"/>
              <w14:ligatures w14:val="standardContextual"/>
            </w:rPr>
          </w:pPr>
          <w:r>
            <w:rPr>
              <w:rFonts w:hint="eastAsia" w:ascii="仿宋" w:hAnsi="仿宋" w:eastAsia="仿宋" w:cs="仿宋"/>
              <w:color w:val="000000" w:themeColor="text1"/>
              <w14:textFill>
                <w14:solidFill>
                  <w14:schemeClr w14:val="tx1"/>
                </w14:solidFill>
              </w14:textFill>
            </w:rPr>
            <w:fldChar w:fldCharType="begin"/>
          </w:r>
          <w:r>
            <w:rPr>
              <w:rFonts w:hint="eastAsia" w:ascii="仿宋" w:hAnsi="仿宋" w:eastAsia="仿宋" w:cs="仿宋"/>
              <w:color w:val="000000" w:themeColor="text1"/>
              <w14:textFill>
                <w14:solidFill>
                  <w14:schemeClr w14:val="tx1"/>
                </w14:solidFill>
              </w14:textFill>
            </w:rPr>
            <w:instrText xml:space="preserve"> TOC \o "1-2" \h \z \u </w:instrText>
          </w:r>
          <w:r>
            <w:rPr>
              <w:rFonts w:hint="eastAsia" w:ascii="仿宋" w:hAnsi="仿宋" w:eastAsia="仿宋" w:cs="仿宋"/>
              <w:color w:val="000000" w:themeColor="text1"/>
              <w14:textFill>
                <w14:solidFill>
                  <w14:schemeClr w14:val="tx1"/>
                </w14:solidFill>
              </w14:textFill>
            </w:rPr>
            <w:fldChar w:fldCharType="separate"/>
          </w:r>
          <w:r>
            <w:fldChar w:fldCharType="begin"/>
          </w:r>
          <w:r>
            <w:instrText xml:space="preserve"> HYPERLINK \l "_Toc244613849" </w:instrText>
          </w:r>
          <w:r>
            <w:fldChar w:fldCharType="separate"/>
          </w:r>
          <w:r>
            <w:rPr>
              <w:rStyle w:val="17"/>
              <w:rFonts w:ascii="Times New Roman" w:hAnsi="Times New Roman"/>
            </w:rPr>
            <w:t>一、总体要求</w:t>
          </w:r>
          <w:r>
            <w:rPr>
              <w:rFonts w:hint="eastAsia"/>
            </w:rPr>
            <w:tab/>
          </w:r>
          <w:r>
            <w:rPr>
              <w:rFonts w:hint="eastAsia"/>
            </w:rPr>
            <w:fldChar w:fldCharType="begin"/>
          </w:r>
          <w:r>
            <w:rPr>
              <w:rFonts w:hint="eastAsia"/>
            </w:rPr>
            <w:instrText xml:space="preserve"> </w:instrText>
          </w:r>
          <w:r>
            <w:instrText xml:space="preserve">PAGEREF _Toc244613849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pPr>
            <w:pStyle w:val="10"/>
            <w:ind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"_Toc244613850" </w:instrText>
          </w:r>
          <w:r>
            <w:fldChar w:fldCharType="separate"/>
          </w:r>
          <w:r>
            <w:rPr>
              <w:rStyle w:val="17"/>
            </w:rPr>
            <w:t>二、优化公共服务空间布局，促进城乡服务均衡发展</w:t>
          </w:r>
          <w:r>
            <w:rPr>
              <w:rFonts w:hint="eastAsia"/>
            </w:rPr>
            <w:tab/>
          </w:r>
          <w:r>
            <w:rPr>
              <w:rFonts w:hint="eastAsia"/>
            </w:rPr>
            <w:fldChar w:fldCharType="begin"/>
          </w:r>
          <w:r>
            <w:rPr>
              <w:rFonts w:hint="eastAsia"/>
            </w:rPr>
            <w:instrText xml:space="preserve"> </w:instrText>
          </w:r>
          <w:r>
            <w:instrText xml:space="preserve">PAGEREF _Toc244613850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"_Toc244613851" </w:instrText>
          </w:r>
          <w:r>
            <w:fldChar w:fldCharType="separate"/>
          </w:r>
          <w:r>
            <w:rPr>
              <w:rStyle w:val="17"/>
            </w:rPr>
            <w:t>（一）提升平谷新城综合服务能级</w:t>
          </w:r>
          <w:r>
            <w:rPr>
              <w:rFonts w:hint="eastAsia"/>
            </w:rPr>
            <w:tab/>
          </w:r>
          <w:r>
            <w:rPr>
              <w:rFonts w:hint="eastAsia"/>
            </w:rPr>
            <w:fldChar w:fldCharType="begin"/>
          </w:r>
          <w:r>
            <w:rPr>
              <w:rFonts w:hint="eastAsia"/>
            </w:rPr>
            <w:instrText xml:space="preserve"> </w:instrText>
          </w:r>
          <w:r>
            <w:instrText xml:space="preserve">PAGEREF _Toc244613851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"_Toc244613852" </w:instrText>
          </w:r>
          <w:r>
            <w:fldChar w:fldCharType="separate"/>
          </w:r>
          <w:r>
            <w:rPr>
              <w:rStyle w:val="17"/>
            </w:rPr>
            <w:t>（二）强化重点功能区服务保障</w:t>
          </w:r>
          <w:r>
            <w:rPr>
              <w:rFonts w:hint="eastAsia"/>
            </w:rPr>
            <w:tab/>
          </w:r>
          <w:r>
            <w:rPr>
              <w:rFonts w:hint="eastAsia"/>
            </w:rPr>
            <w:fldChar w:fldCharType="begin"/>
          </w:r>
          <w:r>
            <w:rPr>
              <w:rFonts w:hint="eastAsia"/>
            </w:rPr>
            <w:instrText xml:space="preserve"> </w:instrText>
          </w:r>
          <w:r>
            <w:instrText xml:space="preserve">PAGEREF _Toc244613852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"_Toc244613853" </w:instrText>
          </w:r>
          <w:r>
            <w:fldChar w:fldCharType="separate"/>
          </w:r>
          <w:r>
            <w:rPr>
              <w:rStyle w:val="17"/>
            </w:rPr>
            <w:t>（三）完善街道（乡镇）公共服务网络</w:t>
          </w:r>
          <w:r>
            <w:rPr>
              <w:rFonts w:hint="eastAsia"/>
            </w:rPr>
            <w:tab/>
          </w:r>
          <w:r>
            <w:rPr>
              <w:rFonts w:hint="eastAsia"/>
            </w:rPr>
            <w:fldChar w:fldCharType="begin"/>
          </w:r>
          <w:r>
            <w:rPr>
              <w:rFonts w:hint="eastAsia"/>
            </w:rPr>
            <w:instrText xml:space="preserve"> </w:instrText>
          </w:r>
          <w:r>
            <w:instrText xml:space="preserve">PAGEREF _Toc244613853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pPr>
            <w:pStyle w:val="10"/>
            <w:ind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"_Toc244613854" </w:instrText>
          </w:r>
          <w:r>
            <w:fldChar w:fldCharType="separate"/>
          </w:r>
          <w:r>
            <w:rPr>
              <w:rStyle w:val="17"/>
            </w:rPr>
            <w:t>三、健全多层养老服务体系，提升老年生活服务品质</w:t>
          </w:r>
          <w:r>
            <w:rPr>
              <w:rFonts w:hint="eastAsia"/>
            </w:rPr>
            <w:tab/>
          </w:r>
          <w:r>
            <w:rPr>
              <w:rFonts w:hint="eastAsia"/>
            </w:rPr>
            <w:fldChar w:fldCharType="begin"/>
          </w:r>
          <w:r>
            <w:rPr>
              <w:rFonts w:hint="eastAsia"/>
            </w:rPr>
            <w:instrText xml:space="preserve"> </w:instrText>
          </w:r>
          <w:r>
            <w:instrText xml:space="preserve">PAGEREF _Toc244613854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"_Toc244613855" </w:instrText>
          </w:r>
          <w:r>
            <w:fldChar w:fldCharType="separate"/>
          </w:r>
          <w:r>
            <w:rPr>
              <w:rStyle w:val="17"/>
            </w:rPr>
            <w:t>（四）完善养老设施布局</w:t>
          </w:r>
          <w:r>
            <w:rPr>
              <w:rFonts w:hint="eastAsia"/>
            </w:rPr>
            <w:tab/>
          </w:r>
          <w:r>
            <w:rPr>
              <w:rFonts w:hint="eastAsia"/>
            </w:rPr>
            <w:fldChar w:fldCharType="begin"/>
          </w:r>
          <w:r>
            <w:rPr>
              <w:rFonts w:hint="eastAsia"/>
            </w:rPr>
            <w:instrText xml:space="preserve"> </w:instrText>
          </w:r>
          <w:r>
            <w:instrText xml:space="preserve">PAGEREF _Toc244613855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"_Toc244613856" </w:instrText>
          </w:r>
          <w:r>
            <w:fldChar w:fldCharType="separate"/>
          </w:r>
          <w:r>
            <w:rPr>
              <w:rStyle w:val="17"/>
            </w:rPr>
            <w:t>（五）提升社区居家服务</w:t>
          </w:r>
          <w:r>
            <w:rPr>
              <w:rFonts w:hint="eastAsia"/>
            </w:rPr>
            <w:tab/>
          </w:r>
          <w:r>
            <w:rPr>
              <w:rFonts w:hint="eastAsia"/>
            </w:rPr>
            <w:fldChar w:fldCharType="begin"/>
          </w:r>
          <w:r>
            <w:rPr>
              <w:rFonts w:hint="eastAsia"/>
            </w:rPr>
            <w:instrText xml:space="preserve"> </w:instrText>
          </w:r>
          <w:r>
            <w:instrText xml:space="preserve">PAGEREF _Toc244613856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"_Toc244613857" </w:instrText>
          </w:r>
          <w:r>
            <w:fldChar w:fldCharType="separate"/>
          </w:r>
          <w:r>
            <w:rPr>
              <w:rStyle w:val="17"/>
            </w:rPr>
            <w:t>（六）发展农村互助养老</w:t>
          </w:r>
          <w:r>
            <w:rPr>
              <w:rFonts w:hint="eastAsia"/>
            </w:rPr>
            <w:tab/>
          </w:r>
          <w:r>
            <w:rPr>
              <w:rFonts w:hint="eastAsia"/>
            </w:rPr>
            <w:fldChar w:fldCharType="begin"/>
          </w:r>
          <w:r>
            <w:rPr>
              <w:rFonts w:hint="eastAsia"/>
            </w:rPr>
            <w:instrText xml:space="preserve"> </w:instrText>
          </w:r>
          <w:r>
            <w:instrText xml:space="preserve">PAGEREF _Toc244613857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"_Toc244613858" </w:instrText>
          </w:r>
          <w:r>
            <w:fldChar w:fldCharType="separate"/>
          </w:r>
          <w:r>
            <w:rPr>
              <w:rStyle w:val="17"/>
            </w:rPr>
            <w:t>（七）深化医养结合</w:t>
          </w:r>
          <w:r>
            <w:rPr>
              <w:rFonts w:hint="eastAsia"/>
            </w:rPr>
            <w:tab/>
          </w:r>
          <w:r>
            <w:rPr>
              <w:rFonts w:hint="eastAsia"/>
            </w:rPr>
            <w:fldChar w:fldCharType="begin"/>
          </w:r>
          <w:r>
            <w:rPr>
              <w:rFonts w:hint="eastAsia"/>
            </w:rPr>
            <w:instrText xml:space="preserve"> </w:instrText>
          </w:r>
          <w:r>
            <w:instrText xml:space="preserve">PAGEREF _Toc244613858 \h</w:instrText>
          </w:r>
          <w:r>
            <w:rPr>
              <w:rFonts w:hint="eastAsia"/>
            </w:rPr>
            <w:instrText xml:space="preserve"> </w:instrText>
          </w:r>
          <w:r>
            <w:rPr>
              <w:rFonts w:hint="eastAsia"/>
            </w:rPr>
            <w:fldChar w:fldCharType="separate"/>
          </w:r>
          <w:r>
            <w:t>- 5 -</w:t>
          </w:r>
          <w:r>
            <w:rPr>
              <w:rFonts w:hint="eastAsia"/>
            </w:rPr>
            <w:fldChar w:fldCharType="end"/>
          </w:r>
          <w:r>
            <w:rPr>
              <w:rFonts w:hint="eastAsia"/>
            </w:rPr>
            <w:fldChar w:fldCharType="end"/>
          </w:r>
        </w:p>
        <w:p>
          <w:pPr>
            <w:pStyle w:val="10"/>
            <w:ind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"_Toc244613859" </w:instrText>
          </w:r>
          <w:r>
            <w:fldChar w:fldCharType="separate"/>
          </w:r>
          <w:r>
            <w:rPr>
              <w:rStyle w:val="17"/>
            </w:rPr>
            <w:t>四、完善生育养育支持体系，营造儿童友好发展环境</w:t>
          </w:r>
          <w:r>
            <w:rPr>
              <w:rFonts w:hint="eastAsia"/>
            </w:rPr>
            <w:tab/>
          </w:r>
          <w:r>
            <w:rPr>
              <w:rFonts w:hint="eastAsia"/>
            </w:rPr>
            <w:fldChar w:fldCharType="begin"/>
          </w:r>
          <w:r>
            <w:rPr>
              <w:rFonts w:hint="eastAsia"/>
            </w:rPr>
            <w:instrText xml:space="preserve"> </w:instrText>
          </w:r>
          <w:r>
            <w:instrText xml:space="preserve">PAGEREF _Toc244613859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"_Toc244613860" </w:instrText>
          </w:r>
          <w:r>
            <w:fldChar w:fldCharType="separate"/>
          </w:r>
          <w:r>
            <w:rPr>
              <w:rStyle w:val="17"/>
            </w:rPr>
            <w:t>（八）完善生育支持政策</w:t>
          </w:r>
          <w:r>
            <w:rPr>
              <w:rFonts w:hint="eastAsia"/>
            </w:rPr>
            <w:tab/>
          </w:r>
          <w:r>
            <w:rPr>
              <w:rFonts w:hint="eastAsia"/>
            </w:rPr>
            <w:fldChar w:fldCharType="begin"/>
          </w:r>
          <w:r>
            <w:rPr>
              <w:rFonts w:hint="eastAsia"/>
            </w:rPr>
            <w:instrText xml:space="preserve"> </w:instrText>
          </w:r>
          <w:r>
            <w:instrText xml:space="preserve">PAGEREF _Toc244613860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"_Toc244613861" </w:instrText>
          </w:r>
          <w:r>
            <w:fldChar w:fldCharType="separate"/>
          </w:r>
          <w:r>
            <w:rPr>
              <w:rStyle w:val="17"/>
            </w:rPr>
            <w:t>（九）完善普惠多元托育服务体系</w:t>
          </w:r>
          <w:r>
            <w:rPr>
              <w:rFonts w:hint="eastAsia"/>
            </w:rPr>
            <w:tab/>
          </w:r>
          <w:r>
            <w:rPr>
              <w:rFonts w:hint="eastAsia"/>
            </w:rPr>
            <w:fldChar w:fldCharType="begin"/>
          </w:r>
          <w:r>
            <w:rPr>
              <w:rFonts w:hint="eastAsia"/>
            </w:rPr>
            <w:instrText xml:space="preserve"> </w:instrText>
          </w:r>
          <w:r>
            <w:instrText xml:space="preserve">PAGEREF _Toc244613861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"_Toc244613862" </w:instrText>
          </w:r>
          <w:r>
            <w:fldChar w:fldCharType="separate"/>
          </w:r>
          <w:r>
            <w:rPr>
              <w:rStyle w:val="17"/>
            </w:rPr>
            <w:t>（十）健全儿童健康成长关爱体系</w:t>
          </w:r>
          <w:r>
            <w:rPr>
              <w:rFonts w:hint="eastAsia"/>
            </w:rPr>
            <w:tab/>
          </w:r>
          <w:r>
            <w:rPr>
              <w:rFonts w:hint="eastAsia"/>
            </w:rPr>
            <w:fldChar w:fldCharType="begin"/>
          </w:r>
          <w:r>
            <w:rPr>
              <w:rFonts w:hint="eastAsia"/>
            </w:rPr>
            <w:instrText xml:space="preserve"> </w:instrText>
          </w:r>
          <w:r>
            <w:instrText xml:space="preserve">PAGEREF _Toc244613862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pPr>
            <w:pStyle w:val="10"/>
            <w:ind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"_Toc244613863" </w:instrText>
          </w:r>
          <w:r>
            <w:fldChar w:fldCharType="separate"/>
          </w:r>
          <w:r>
            <w:rPr>
              <w:rStyle w:val="17"/>
            </w:rPr>
            <w:t>五、推进教育优质均衡发展，办好人民满意的教育</w:t>
          </w:r>
          <w:r>
            <w:rPr>
              <w:rFonts w:hint="eastAsia"/>
            </w:rPr>
            <w:tab/>
          </w:r>
          <w:r>
            <w:rPr>
              <w:rFonts w:hint="eastAsia"/>
            </w:rPr>
            <w:fldChar w:fldCharType="begin"/>
          </w:r>
          <w:r>
            <w:rPr>
              <w:rFonts w:hint="eastAsia"/>
            </w:rPr>
            <w:instrText xml:space="preserve"> </w:instrText>
          </w:r>
          <w:r>
            <w:instrText xml:space="preserve">PAGEREF _Toc244613863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"_Toc244613864" </w:instrText>
          </w:r>
          <w:r>
            <w:fldChar w:fldCharType="separate"/>
          </w:r>
          <w:r>
            <w:rPr>
              <w:rStyle w:val="17"/>
            </w:rPr>
            <w:t>（十一）提升托幼教育普惠水平</w:t>
          </w:r>
          <w:r>
            <w:rPr>
              <w:rFonts w:hint="eastAsia"/>
            </w:rPr>
            <w:tab/>
          </w:r>
          <w:r>
            <w:rPr>
              <w:rFonts w:hint="eastAsia"/>
            </w:rPr>
            <w:fldChar w:fldCharType="begin"/>
          </w:r>
          <w:r>
            <w:rPr>
              <w:rFonts w:hint="eastAsia"/>
            </w:rPr>
            <w:instrText xml:space="preserve"> </w:instrText>
          </w:r>
          <w:r>
            <w:instrText xml:space="preserve">PAGEREF _Toc244613864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"_Toc244613865" </w:instrText>
          </w:r>
          <w:r>
            <w:fldChar w:fldCharType="separate"/>
          </w:r>
          <w:r>
            <w:rPr>
              <w:rStyle w:val="17"/>
            </w:rPr>
            <w:t>（十二）促进义务教育优质均衡</w:t>
          </w:r>
          <w:r>
            <w:rPr>
              <w:rFonts w:hint="eastAsia"/>
            </w:rPr>
            <w:tab/>
          </w:r>
          <w:r>
            <w:rPr>
              <w:rFonts w:hint="eastAsia"/>
            </w:rPr>
            <w:fldChar w:fldCharType="begin"/>
          </w:r>
          <w:r>
            <w:rPr>
              <w:rFonts w:hint="eastAsia"/>
            </w:rPr>
            <w:instrText xml:space="preserve"> </w:instrText>
          </w:r>
          <w:r>
            <w:instrText xml:space="preserve">PAGEREF _Toc244613865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"_Toc244613866" </w:instrText>
          </w:r>
          <w:r>
            <w:fldChar w:fldCharType="separate"/>
          </w:r>
          <w:r>
            <w:rPr>
              <w:rStyle w:val="17"/>
            </w:rPr>
            <w:t>（十三）推动学校特色发展</w:t>
          </w:r>
          <w:r>
            <w:rPr>
              <w:rFonts w:hint="eastAsia"/>
            </w:rPr>
            <w:tab/>
          </w:r>
          <w:r>
            <w:rPr>
              <w:rFonts w:hint="eastAsia"/>
            </w:rPr>
            <w:fldChar w:fldCharType="begin"/>
          </w:r>
          <w:r>
            <w:rPr>
              <w:rFonts w:hint="eastAsia"/>
            </w:rPr>
            <w:instrText xml:space="preserve"> </w:instrText>
          </w:r>
          <w:r>
            <w:instrText xml:space="preserve">PAGEREF _Toc244613866 \h</w:instrText>
          </w:r>
          <w:r>
            <w:rPr>
              <w:rFonts w:hint="eastAsia"/>
            </w:rPr>
            <w:instrText xml:space="preserve"> </w:instrText>
          </w:r>
          <w:r>
            <w:rPr>
              <w:rFonts w:hint="eastAsia"/>
            </w:rPr>
            <w:fldChar w:fldCharType="separate"/>
          </w:r>
          <w:r>
            <w:t>- 8 -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"_Toc244613867" </w:instrText>
          </w:r>
          <w:r>
            <w:fldChar w:fldCharType="separate"/>
          </w:r>
          <w:r>
            <w:rPr>
              <w:rStyle w:val="17"/>
            </w:rPr>
            <w:t>（十四）深化职业教育产教融合</w:t>
          </w:r>
          <w:r>
            <w:rPr>
              <w:rFonts w:hint="eastAsia"/>
            </w:rPr>
            <w:tab/>
          </w:r>
          <w:r>
            <w:rPr>
              <w:rFonts w:hint="eastAsia"/>
            </w:rPr>
            <w:fldChar w:fldCharType="begin"/>
          </w:r>
          <w:r>
            <w:rPr>
              <w:rFonts w:hint="eastAsia"/>
            </w:rPr>
            <w:instrText xml:space="preserve"> </w:instrText>
          </w:r>
          <w:r>
            <w:instrText xml:space="preserve">PAGEREF _Toc244613867 \h</w:instrText>
          </w:r>
          <w:r>
            <w:rPr>
              <w:rFonts w:hint="eastAsia"/>
            </w:rPr>
            <w:instrText xml:space="preserve"> </w:instrText>
          </w:r>
          <w:r>
            <w:rPr>
              <w:rFonts w:hint="eastAsia"/>
            </w:rPr>
            <w:fldChar w:fldCharType="separate"/>
          </w:r>
          <w:r>
            <w:t>- 8 -</w:t>
          </w:r>
          <w:r>
            <w:rPr>
              <w:rFonts w:hint="eastAsia"/>
            </w:rPr>
            <w:fldChar w:fldCharType="end"/>
          </w:r>
          <w:r>
            <w:rPr>
              <w:rFonts w:hint="eastAsia"/>
            </w:rPr>
            <w:fldChar w:fldCharType="end"/>
          </w:r>
        </w:p>
        <w:p>
          <w:pPr>
            <w:pStyle w:val="10"/>
            <w:ind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"_Toc244613868" </w:instrText>
          </w:r>
          <w:r>
            <w:fldChar w:fldCharType="separate"/>
          </w:r>
          <w:r>
            <w:rPr>
              <w:rStyle w:val="17"/>
            </w:rPr>
            <w:t>六、完善整合型医疗卫生体系，增强全周期健康保障力</w:t>
          </w:r>
          <w:r>
            <w:rPr>
              <w:rFonts w:hint="eastAsia"/>
            </w:rPr>
            <w:tab/>
          </w:r>
          <w:r>
            <w:rPr>
              <w:rFonts w:hint="eastAsia"/>
            </w:rPr>
            <w:fldChar w:fldCharType="begin"/>
          </w:r>
          <w:r>
            <w:rPr>
              <w:rFonts w:hint="eastAsia"/>
            </w:rPr>
            <w:instrText xml:space="preserve"> </w:instrText>
          </w:r>
          <w:r>
            <w:instrText xml:space="preserve">PAGEREF _Toc244613868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"_Toc244613869" </w:instrText>
          </w:r>
          <w:r>
            <w:fldChar w:fldCharType="separate"/>
          </w:r>
          <w:r>
            <w:rPr>
              <w:rStyle w:val="17"/>
            </w:rPr>
            <w:t>（十五）推动优质医疗资源扩容下沉</w:t>
          </w:r>
          <w:r>
            <w:rPr>
              <w:rFonts w:hint="eastAsia"/>
            </w:rPr>
            <w:tab/>
          </w:r>
          <w:r>
            <w:rPr>
              <w:rFonts w:hint="eastAsia"/>
            </w:rPr>
            <w:fldChar w:fldCharType="begin"/>
          </w:r>
          <w:r>
            <w:rPr>
              <w:rFonts w:hint="eastAsia"/>
            </w:rPr>
            <w:instrText xml:space="preserve"> </w:instrText>
          </w:r>
          <w:r>
            <w:instrText xml:space="preserve">PAGEREF _Toc244613869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"_Toc244613870" </w:instrText>
          </w:r>
          <w:r>
            <w:fldChar w:fldCharType="separate"/>
          </w:r>
          <w:r>
            <w:rPr>
              <w:rStyle w:val="17"/>
            </w:rPr>
            <w:t>（十六）强化医疗设施和智慧服务支撑</w:t>
          </w:r>
          <w:r>
            <w:rPr>
              <w:rFonts w:hint="eastAsia"/>
            </w:rPr>
            <w:tab/>
          </w:r>
          <w:r>
            <w:rPr>
              <w:rFonts w:hint="eastAsia"/>
            </w:rPr>
            <w:fldChar w:fldCharType="begin"/>
          </w:r>
          <w:r>
            <w:rPr>
              <w:rFonts w:hint="eastAsia"/>
            </w:rPr>
            <w:instrText xml:space="preserve"> </w:instrText>
          </w:r>
          <w:r>
            <w:instrText xml:space="preserve">PAGEREF _Toc244613870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"_Toc244613871" </w:instrText>
          </w:r>
          <w:r>
            <w:fldChar w:fldCharType="separate"/>
          </w:r>
          <w:r>
            <w:rPr>
              <w:rStyle w:val="17"/>
            </w:rPr>
            <w:t>（十七）全力打造农医联动标杆</w:t>
          </w:r>
          <w:r>
            <w:rPr>
              <w:rFonts w:hint="eastAsia"/>
            </w:rPr>
            <w:tab/>
          </w:r>
          <w:r>
            <w:rPr>
              <w:rFonts w:hint="eastAsia"/>
            </w:rPr>
            <w:fldChar w:fldCharType="begin"/>
          </w:r>
          <w:r>
            <w:rPr>
              <w:rFonts w:hint="eastAsia"/>
            </w:rPr>
            <w:instrText xml:space="preserve"> </w:instrText>
          </w:r>
          <w:r>
            <w:instrText xml:space="preserve">PAGEREF _Toc244613871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"_Toc244613872" </w:instrText>
          </w:r>
          <w:r>
            <w:fldChar w:fldCharType="separate"/>
          </w:r>
          <w:r>
            <w:rPr>
              <w:rStyle w:val="17"/>
            </w:rPr>
            <w:t>（十八）构建大健康体系</w:t>
          </w:r>
          <w:r>
            <w:rPr>
              <w:rFonts w:hint="eastAsia"/>
            </w:rPr>
            <w:tab/>
          </w:r>
          <w:r>
            <w:rPr>
              <w:rFonts w:hint="eastAsia"/>
            </w:rPr>
            <w:fldChar w:fldCharType="begin"/>
          </w:r>
          <w:r>
            <w:rPr>
              <w:rFonts w:hint="eastAsia"/>
            </w:rPr>
            <w:instrText xml:space="preserve"> </w:instrText>
          </w:r>
          <w:r>
            <w:instrText xml:space="preserve">PAGEREF _Toc244613872 \h</w:instrText>
          </w:r>
          <w:r>
            <w:rPr>
              <w:rFonts w:hint="eastAsia"/>
            </w:rPr>
            <w:instrText xml:space="preserve"> </w:instrText>
          </w:r>
          <w:r>
            <w:rPr>
              <w:rFonts w:hint="eastAsia"/>
            </w:rPr>
            <w:fldChar w:fldCharType="separate"/>
          </w:r>
          <w:r>
            <w:t>- 9 -</w:t>
          </w:r>
          <w:r>
            <w:rPr>
              <w:rFonts w:hint="eastAsia"/>
            </w:rPr>
            <w:fldChar w:fldCharType="end"/>
          </w:r>
          <w:r>
            <w:rPr>
              <w:rFonts w:hint="eastAsia"/>
            </w:rPr>
            <w:fldChar w:fldCharType="end"/>
          </w:r>
        </w:p>
        <w:p>
          <w:pPr>
            <w:pStyle w:val="10"/>
            <w:ind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"_Toc244613873" </w:instrText>
          </w:r>
          <w:r>
            <w:fldChar w:fldCharType="separate"/>
          </w:r>
          <w:r>
            <w:rPr>
              <w:rStyle w:val="17"/>
            </w:rPr>
            <w:t>七、健全公共文体服务体系，丰富群众精神文化生活</w:t>
          </w:r>
          <w:r>
            <w:rPr>
              <w:rFonts w:hint="eastAsia"/>
            </w:rPr>
            <w:tab/>
          </w:r>
          <w:r>
            <w:rPr>
              <w:rFonts w:hint="eastAsia"/>
            </w:rPr>
            <w:fldChar w:fldCharType="begin"/>
          </w:r>
          <w:r>
            <w:rPr>
              <w:rFonts w:hint="eastAsia"/>
            </w:rPr>
            <w:instrText xml:space="preserve"> </w:instrText>
          </w:r>
          <w:r>
            <w:instrText xml:space="preserve">PAGEREF _Toc244613873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"_Toc244613874" </w:instrText>
          </w:r>
          <w:r>
            <w:fldChar w:fldCharType="separate"/>
          </w:r>
          <w:r>
            <w:rPr>
              <w:rStyle w:val="17"/>
            </w:rPr>
            <w:t>（十九）完善城乡文化设施网络</w:t>
          </w:r>
          <w:r>
            <w:rPr>
              <w:rFonts w:hint="eastAsia"/>
            </w:rPr>
            <w:tab/>
          </w:r>
          <w:r>
            <w:rPr>
              <w:rFonts w:hint="eastAsia"/>
            </w:rPr>
            <w:fldChar w:fldCharType="begin"/>
          </w:r>
          <w:r>
            <w:rPr>
              <w:rFonts w:hint="eastAsia"/>
            </w:rPr>
            <w:instrText xml:space="preserve"> </w:instrText>
          </w:r>
          <w:r>
            <w:instrText xml:space="preserve">PAGEREF _Toc244613874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"_Toc244613875" </w:instrText>
          </w:r>
          <w:r>
            <w:fldChar w:fldCharType="separate"/>
          </w:r>
          <w:r>
            <w:rPr>
              <w:rStyle w:val="17"/>
            </w:rPr>
            <w:t>（二十）打造特色文化品牌</w:t>
          </w:r>
          <w:r>
            <w:rPr>
              <w:rFonts w:hint="eastAsia"/>
            </w:rPr>
            <w:tab/>
          </w:r>
          <w:r>
            <w:rPr>
              <w:rFonts w:hint="eastAsia"/>
            </w:rPr>
            <w:fldChar w:fldCharType="begin"/>
          </w:r>
          <w:r>
            <w:rPr>
              <w:rFonts w:hint="eastAsia"/>
            </w:rPr>
            <w:instrText xml:space="preserve"> </w:instrText>
          </w:r>
          <w:r>
            <w:instrText xml:space="preserve">PAGEREF _Toc244613875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"_Toc244613876" </w:instrText>
          </w:r>
          <w:r>
            <w:fldChar w:fldCharType="separate"/>
          </w:r>
          <w:r>
            <w:rPr>
              <w:rStyle w:val="17"/>
            </w:rPr>
            <w:t>（二十一）完善户外运动设施</w:t>
          </w:r>
          <w:r>
            <w:rPr>
              <w:rFonts w:hint="eastAsia"/>
            </w:rPr>
            <w:tab/>
          </w:r>
          <w:r>
            <w:rPr>
              <w:rFonts w:hint="eastAsia"/>
            </w:rPr>
            <w:fldChar w:fldCharType="begin"/>
          </w:r>
          <w:r>
            <w:rPr>
              <w:rFonts w:hint="eastAsia"/>
            </w:rPr>
            <w:instrText xml:space="preserve"> </w:instrText>
          </w:r>
          <w:r>
            <w:instrText xml:space="preserve">PAGEREF _Toc244613876 \h</w:instrText>
          </w:r>
          <w:r>
            <w:rPr>
              <w:rFonts w:hint="eastAsia"/>
            </w:rPr>
            <w:instrText xml:space="preserve"> </w:instrText>
          </w:r>
          <w:r>
            <w:rPr>
              <w:rFonts w:hint="eastAsia"/>
            </w:rPr>
            <w:fldChar w:fldCharType="separate"/>
          </w:r>
          <w:r>
            <w:t>- 10 -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"_Toc244613877" </w:instrText>
          </w:r>
          <w:r>
            <w:fldChar w:fldCharType="separate"/>
          </w:r>
          <w:r>
            <w:rPr>
              <w:rStyle w:val="17"/>
            </w:rPr>
            <w:t>（二十二）培育特色赛事集群</w:t>
          </w:r>
          <w:r>
            <w:rPr>
              <w:rFonts w:hint="eastAsia"/>
            </w:rPr>
            <w:tab/>
          </w:r>
          <w:r>
            <w:rPr>
              <w:rFonts w:hint="eastAsia"/>
            </w:rPr>
            <w:fldChar w:fldCharType="begin"/>
          </w:r>
          <w:r>
            <w:rPr>
              <w:rFonts w:hint="eastAsia"/>
            </w:rPr>
            <w:instrText xml:space="preserve"> </w:instrText>
          </w:r>
          <w:r>
            <w:instrText xml:space="preserve">PAGEREF _Toc244613877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pPr>
            <w:pStyle w:val="10"/>
            <w:ind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"_Toc244613878" </w:instrText>
          </w:r>
          <w:r>
            <w:fldChar w:fldCharType="separate"/>
          </w:r>
          <w:r>
            <w:rPr>
              <w:rStyle w:val="17"/>
            </w:rPr>
            <w:t>八、健全高质量就业服务体系，促进重点群体充分就业</w:t>
          </w:r>
          <w:r>
            <w:rPr>
              <w:rFonts w:hint="eastAsia"/>
            </w:rPr>
            <w:tab/>
          </w:r>
          <w:r>
            <w:rPr>
              <w:rFonts w:hint="eastAsia"/>
            </w:rPr>
            <w:fldChar w:fldCharType="begin"/>
          </w:r>
          <w:r>
            <w:rPr>
              <w:rFonts w:hint="eastAsia"/>
            </w:rPr>
            <w:instrText xml:space="preserve"> </w:instrText>
          </w:r>
          <w:r>
            <w:instrText xml:space="preserve">PAGEREF _Toc244613878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"_Toc244613879" </w:instrText>
          </w:r>
          <w:r>
            <w:fldChar w:fldCharType="separate"/>
          </w:r>
          <w:r>
            <w:rPr>
              <w:rStyle w:val="17"/>
            </w:rPr>
            <w:t>（二十三）缓解结构性就业矛盾</w:t>
          </w:r>
          <w:r>
            <w:rPr>
              <w:rFonts w:hint="eastAsia"/>
            </w:rPr>
            <w:tab/>
          </w:r>
          <w:r>
            <w:rPr>
              <w:rFonts w:hint="eastAsia"/>
            </w:rPr>
            <w:fldChar w:fldCharType="begin"/>
          </w:r>
          <w:r>
            <w:rPr>
              <w:rFonts w:hint="eastAsia"/>
            </w:rPr>
            <w:instrText xml:space="preserve"> </w:instrText>
          </w:r>
          <w:r>
            <w:instrText xml:space="preserve">PAGEREF _Toc244613879 \h</w:instrText>
          </w:r>
          <w:r>
            <w:rPr>
              <w:rFonts w:hint="eastAsia"/>
            </w:rPr>
            <w:instrText xml:space="preserve"> </w:instrText>
          </w:r>
          <w:r>
            <w:rPr>
              <w:rFonts w:hint="eastAsia"/>
            </w:rPr>
            <w:fldChar w:fldCharType="separate"/>
          </w:r>
          <w:r>
            <w:t>- 11 -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"_Toc244613880" </w:instrText>
          </w:r>
          <w:r>
            <w:fldChar w:fldCharType="separate"/>
          </w:r>
          <w:r>
            <w:rPr>
              <w:rStyle w:val="17"/>
            </w:rPr>
            <w:t>（二十四）强化重点群体就业支持</w:t>
          </w:r>
          <w:r>
            <w:rPr>
              <w:rFonts w:hint="eastAsia"/>
            </w:rPr>
            <w:tab/>
          </w:r>
          <w:r>
            <w:rPr>
              <w:rFonts w:hint="eastAsia"/>
            </w:rPr>
            <w:fldChar w:fldCharType="begin"/>
          </w:r>
          <w:r>
            <w:rPr>
              <w:rFonts w:hint="eastAsia"/>
            </w:rPr>
            <w:instrText xml:space="preserve"> </w:instrText>
          </w:r>
          <w:r>
            <w:instrText xml:space="preserve">PAGEREF _Toc244613880 \h</w:instrText>
          </w:r>
          <w:r>
            <w:rPr>
              <w:rFonts w:hint="eastAsia"/>
            </w:rPr>
            <w:instrText xml:space="preserve"> </w:instrText>
          </w:r>
          <w:r>
            <w:rPr>
              <w:rFonts w:hint="eastAsia"/>
            </w:rPr>
            <w:fldChar w:fldCharType="separate"/>
          </w:r>
          <w:r>
            <w:t>- 12 -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"_Toc244613881" </w:instrText>
          </w:r>
          <w:r>
            <w:fldChar w:fldCharType="separate"/>
          </w:r>
          <w:r>
            <w:rPr>
              <w:rStyle w:val="17"/>
            </w:rPr>
            <w:t>（二十五）完善就业公共服务体系</w:t>
          </w:r>
          <w:r>
            <w:rPr>
              <w:rFonts w:hint="eastAsia"/>
            </w:rPr>
            <w:tab/>
          </w:r>
          <w:r>
            <w:rPr>
              <w:rFonts w:hint="eastAsia"/>
            </w:rPr>
            <w:fldChar w:fldCharType="begin"/>
          </w:r>
          <w:r>
            <w:rPr>
              <w:rFonts w:hint="eastAsia"/>
            </w:rPr>
            <w:instrText xml:space="preserve"> </w:instrText>
          </w:r>
          <w:r>
            <w:instrText xml:space="preserve">PAGEREF _Toc244613881 \h</w:instrText>
          </w:r>
          <w:r>
            <w:rPr>
              <w:rFonts w:hint="eastAsia"/>
            </w:rPr>
            <w:instrText xml:space="preserve"> </w:instrText>
          </w:r>
          <w:r>
            <w:rPr>
              <w:rFonts w:hint="eastAsia"/>
            </w:rPr>
            <w:fldChar w:fldCharType="separate"/>
          </w:r>
          <w:r>
            <w:t>- 12 -</w:t>
          </w:r>
          <w:r>
            <w:rPr>
              <w:rFonts w:hint="eastAsia"/>
            </w:rPr>
            <w:fldChar w:fldCharType="end"/>
          </w:r>
          <w:r>
            <w:rPr>
              <w:rFonts w:hint="eastAsia"/>
            </w:rPr>
            <w:fldChar w:fldCharType="end"/>
          </w:r>
        </w:p>
        <w:p>
          <w:pPr>
            <w:pStyle w:val="10"/>
            <w:ind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"_Toc244613882" </w:instrText>
          </w:r>
          <w:r>
            <w:fldChar w:fldCharType="separate"/>
          </w:r>
          <w:r>
            <w:rPr>
              <w:rStyle w:val="17"/>
            </w:rPr>
            <w:t>九、完善残疾人服务保障体系，促进残疾人全面发展</w:t>
          </w:r>
          <w:r>
            <w:rPr>
              <w:rFonts w:hint="eastAsia"/>
            </w:rPr>
            <w:tab/>
          </w:r>
          <w:r>
            <w:rPr>
              <w:rFonts w:hint="eastAsia"/>
            </w:rPr>
            <w:fldChar w:fldCharType="begin"/>
          </w:r>
          <w:r>
            <w:rPr>
              <w:rFonts w:hint="eastAsia"/>
            </w:rPr>
            <w:instrText xml:space="preserve"> </w:instrText>
          </w:r>
          <w:r>
            <w:instrText xml:space="preserve">PAGEREF _Toc244613882 \h</w:instrText>
          </w:r>
          <w:r>
            <w:rPr>
              <w:rFonts w:hint="eastAsia"/>
            </w:rPr>
            <w:instrText xml:space="preserve"> </w:instrText>
          </w:r>
          <w:r>
            <w:rPr>
              <w:rFonts w:hint="eastAsia"/>
            </w:rPr>
            <w:fldChar w:fldCharType="separate"/>
          </w:r>
          <w:r>
            <w:t>- 12 -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"_Toc244613883" </w:instrText>
          </w:r>
          <w:r>
            <w:fldChar w:fldCharType="separate"/>
          </w:r>
          <w:r>
            <w:rPr>
              <w:rStyle w:val="17"/>
            </w:rPr>
            <w:t>（二十六）完善康复服务体系</w:t>
          </w:r>
          <w:r>
            <w:rPr>
              <w:rFonts w:hint="eastAsia"/>
            </w:rPr>
            <w:tab/>
          </w:r>
          <w:r>
            <w:rPr>
              <w:rFonts w:hint="eastAsia"/>
            </w:rPr>
            <w:fldChar w:fldCharType="begin"/>
          </w:r>
          <w:r>
            <w:rPr>
              <w:rFonts w:hint="eastAsia"/>
            </w:rPr>
            <w:instrText xml:space="preserve"> </w:instrText>
          </w:r>
          <w:r>
            <w:instrText xml:space="preserve">PAGEREF _Toc244613883 \h</w:instrText>
          </w:r>
          <w:r>
            <w:rPr>
              <w:rFonts w:hint="eastAsia"/>
            </w:rPr>
            <w:instrText xml:space="preserve"> </w:instrText>
          </w:r>
          <w:r>
            <w:rPr>
              <w:rFonts w:hint="eastAsia"/>
            </w:rPr>
            <w:fldChar w:fldCharType="separate"/>
          </w:r>
          <w:r>
            <w:t>- 12 -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"_Toc244613884" </w:instrText>
          </w:r>
          <w:r>
            <w:fldChar w:fldCharType="separate"/>
          </w:r>
          <w:r>
            <w:rPr>
              <w:rStyle w:val="17"/>
            </w:rPr>
            <w:t>（二十七）提升公共服务能力</w:t>
          </w:r>
          <w:r>
            <w:rPr>
              <w:rFonts w:hint="eastAsia"/>
            </w:rPr>
            <w:tab/>
          </w:r>
          <w:r>
            <w:rPr>
              <w:rFonts w:hint="eastAsia"/>
            </w:rPr>
            <w:fldChar w:fldCharType="begin"/>
          </w:r>
          <w:r>
            <w:rPr>
              <w:rFonts w:hint="eastAsia"/>
            </w:rPr>
            <w:instrText xml:space="preserve"> </w:instrText>
          </w:r>
          <w:r>
            <w:instrText xml:space="preserve">PAGEREF _Toc244613884 \h</w:instrText>
          </w:r>
          <w:r>
            <w:rPr>
              <w:rFonts w:hint="eastAsia"/>
            </w:rPr>
            <w:instrText xml:space="preserve"> </w:instrText>
          </w:r>
          <w:r>
            <w:rPr>
              <w:rFonts w:hint="eastAsia"/>
            </w:rPr>
            <w:fldChar w:fldCharType="separate"/>
          </w:r>
          <w:r>
            <w:t>- 13 -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"_Toc244613885" </w:instrText>
          </w:r>
          <w:r>
            <w:fldChar w:fldCharType="separate"/>
          </w:r>
          <w:r>
            <w:rPr>
              <w:rStyle w:val="17"/>
            </w:rPr>
            <w:t>（二十八）强化教育和托养照护</w:t>
          </w:r>
          <w:r>
            <w:rPr>
              <w:rFonts w:hint="eastAsia"/>
            </w:rPr>
            <w:tab/>
          </w:r>
          <w:r>
            <w:rPr>
              <w:rFonts w:hint="eastAsia"/>
            </w:rPr>
            <w:fldChar w:fldCharType="begin"/>
          </w:r>
          <w:r>
            <w:rPr>
              <w:rFonts w:hint="eastAsia"/>
            </w:rPr>
            <w:instrText xml:space="preserve"> </w:instrText>
          </w:r>
          <w:r>
            <w:instrText xml:space="preserve">PAGEREF _Toc244613885 \h</w:instrText>
          </w:r>
          <w:r>
            <w:rPr>
              <w:rFonts w:hint="eastAsia"/>
            </w:rPr>
            <w:instrText xml:space="preserve"> </w:instrText>
          </w:r>
          <w:r>
            <w:rPr>
              <w:rFonts w:hint="eastAsia"/>
            </w:rPr>
            <w:fldChar w:fldCharType="separate"/>
          </w:r>
          <w:r>
            <w:t>- 13 -</w:t>
          </w:r>
          <w:r>
            <w:rPr>
              <w:rFonts w:hint="eastAsia"/>
            </w:rPr>
            <w:fldChar w:fldCharType="end"/>
          </w:r>
          <w:r>
            <w:rPr>
              <w:rFonts w:hint="eastAsia"/>
            </w:rPr>
            <w:fldChar w:fldCharType="end"/>
          </w:r>
        </w:p>
        <w:p>
          <w:pPr>
            <w:pStyle w:val="10"/>
            <w:ind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"_Toc244613886" </w:instrText>
          </w:r>
          <w:r>
            <w:fldChar w:fldCharType="separate"/>
          </w:r>
          <w:r>
            <w:rPr>
              <w:rStyle w:val="17"/>
            </w:rPr>
            <w:t>十、完善住房保障服务体系，满足群众多元居住需求</w:t>
          </w:r>
          <w:r>
            <w:rPr>
              <w:rFonts w:hint="eastAsia"/>
            </w:rPr>
            <w:tab/>
          </w:r>
          <w:r>
            <w:rPr>
              <w:rFonts w:hint="eastAsia"/>
            </w:rPr>
            <w:fldChar w:fldCharType="begin"/>
          </w:r>
          <w:r>
            <w:rPr>
              <w:rFonts w:hint="eastAsia"/>
            </w:rPr>
            <w:instrText xml:space="preserve"> </w:instrText>
          </w:r>
          <w:r>
            <w:instrText xml:space="preserve">PAGEREF _Toc244613886 \h</w:instrText>
          </w:r>
          <w:r>
            <w:rPr>
              <w:rFonts w:hint="eastAsia"/>
            </w:rPr>
            <w:instrText xml:space="preserve"> </w:instrText>
          </w:r>
          <w:r>
            <w:rPr>
              <w:rFonts w:hint="eastAsia"/>
            </w:rPr>
            <w:fldChar w:fldCharType="separate"/>
          </w:r>
          <w:r>
            <w:t>- 13 -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"_Toc244613887" </w:instrText>
          </w:r>
          <w:r>
            <w:fldChar w:fldCharType="separate"/>
          </w:r>
          <w:r>
            <w:rPr>
              <w:rStyle w:val="17"/>
            </w:rPr>
            <w:t>（二十九）健全多层次住房保障体系</w:t>
          </w:r>
          <w:r>
            <w:rPr>
              <w:rFonts w:hint="eastAsia"/>
            </w:rPr>
            <w:tab/>
          </w:r>
          <w:r>
            <w:rPr>
              <w:rFonts w:hint="eastAsia"/>
            </w:rPr>
            <w:fldChar w:fldCharType="begin"/>
          </w:r>
          <w:r>
            <w:rPr>
              <w:rFonts w:hint="eastAsia"/>
            </w:rPr>
            <w:instrText xml:space="preserve"> </w:instrText>
          </w:r>
          <w:r>
            <w:instrText xml:space="preserve">PAGEREF _Toc244613887 \h</w:instrText>
          </w:r>
          <w:r>
            <w:rPr>
              <w:rFonts w:hint="eastAsia"/>
            </w:rPr>
            <w:instrText xml:space="preserve"> </w:instrText>
          </w:r>
          <w:r>
            <w:rPr>
              <w:rFonts w:hint="eastAsia"/>
            </w:rPr>
            <w:fldChar w:fldCharType="separate"/>
          </w:r>
          <w:r>
            <w:t>- 13 -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"_Toc244613888" </w:instrText>
          </w:r>
          <w:r>
            <w:fldChar w:fldCharType="separate"/>
          </w:r>
          <w:r>
            <w:rPr>
              <w:rStyle w:val="17"/>
            </w:rPr>
            <w:t>（三十）加强重点人群住房保障</w:t>
          </w:r>
          <w:r>
            <w:rPr>
              <w:rFonts w:hint="eastAsia"/>
            </w:rPr>
            <w:tab/>
          </w:r>
          <w:r>
            <w:rPr>
              <w:rFonts w:hint="eastAsia"/>
            </w:rPr>
            <w:fldChar w:fldCharType="begin"/>
          </w:r>
          <w:r>
            <w:rPr>
              <w:rFonts w:hint="eastAsia"/>
            </w:rPr>
            <w:instrText xml:space="preserve"> </w:instrText>
          </w:r>
          <w:r>
            <w:instrText xml:space="preserve">PAGEREF _Toc244613888 \h</w:instrText>
          </w:r>
          <w:r>
            <w:rPr>
              <w:rFonts w:hint="eastAsia"/>
            </w:rPr>
            <w:instrText xml:space="preserve"> </w:instrText>
          </w:r>
          <w:r>
            <w:rPr>
              <w:rFonts w:hint="eastAsia"/>
            </w:rPr>
            <w:fldChar w:fldCharType="separate"/>
          </w:r>
          <w:r>
            <w:t>- 13 -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"_Toc244613889" </w:instrText>
          </w:r>
          <w:r>
            <w:fldChar w:fldCharType="separate"/>
          </w:r>
          <w:r>
            <w:rPr>
              <w:rStyle w:val="17"/>
            </w:rPr>
            <w:t>（三十一）推进城乡居住条件改善</w:t>
          </w:r>
          <w:r>
            <w:rPr>
              <w:rFonts w:hint="eastAsia"/>
            </w:rPr>
            <w:tab/>
          </w:r>
          <w:r>
            <w:rPr>
              <w:rFonts w:hint="eastAsia"/>
            </w:rPr>
            <w:fldChar w:fldCharType="begin"/>
          </w:r>
          <w:r>
            <w:rPr>
              <w:rFonts w:hint="eastAsia"/>
            </w:rPr>
            <w:instrText xml:space="preserve"> </w:instrText>
          </w:r>
          <w:r>
            <w:instrText xml:space="preserve">PAGEREF _Toc244613889 \h</w:instrText>
          </w:r>
          <w:r>
            <w:rPr>
              <w:rFonts w:hint="eastAsia"/>
            </w:rPr>
            <w:instrText xml:space="preserve"> </w:instrText>
          </w:r>
          <w:r>
            <w:rPr>
              <w:rFonts w:hint="eastAsia"/>
            </w:rPr>
            <w:fldChar w:fldCharType="separate"/>
          </w:r>
          <w:r>
            <w:t>- 14 -</w:t>
          </w:r>
          <w:r>
            <w:rPr>
              <w:rFonts w:hint="eastAsia"/>
            </w:rPr>
            <w:fldChar w:fldCharType="end"/>
          </w:r>
          <w:r>
            <w:rPr>
              <w:rFonts w:hint="eastAsia"/>
            </w:rPr>
            <w:fldChar w:fldCharType="end"/>
          </w:r>
        </w:p>
        <w:p>
          <w:pPr>
            <w:pStyle w:val="10"/>
            <w:ind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"_Toc244613890" </w:instrText>
          </w:r>
          <w:r>
            <w:fldChar w:fldCharType="separate"/>
          </w:r>
          <w:r>
            <w:rPr>
              <w:rStyle w:val="17"/>
            </w:rPr>
            <w:t>十一、健全多层次社会保障体系，织密民生安全保障网络</w:t>
          </w:r>
          <w:r>
            <w:rPr>
              <w:rFonts w:hint="eastAsia"/>
            </w:rPr>
            <w:tab/>
          </w:r>
          <w:r>
            <w:rPr>
              <w:rFonts w:hint="eastAsia"/>
            </w:rPr>
            <w:fldChar w:fldCharType="begin"/>
          </w:r>
          <w:r>
            <w:rPr>
              <w:rFonts w:hint="eastAsia"/>
            </w:rPr>
            <w:instrText xml:space="preserve"> </w:instrText>
          </w:r>
          <w:r>
            <w:instrText xml:space="preserve">PAGEREF _Toc244613890 \h</w:instrText>
          </w:r>
          <w:r>
            <w:rPr>
              <w:rFonts w:hint="eastAsia"/>
            </w:rPr>
            <w:instrText xml:space="preserve"> </w:instrText>
          </w:r>
          <w:r>
            <w:rPr>
              <w:rFonts w:hint="eastAsia"/>
            </w:rPr>
            <w:fldChar w:fldCharType="separate"/>
          </w:r>
          <w:r>
            <w:t>- 14 -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"_Toc244613891" </w:instrText>
          </w:r>
          <w:r>
            <w:fldChar w:fldCharType="separate"/>
          </w:r>
          <w:r>
            <w:rPr>
              <w:rStyle w:val="17"/>
            </w:rPr>
            <w:t>（三十二）健全分层分类救助体系</w:t>
          </w:r>
          <w:r>
            <w:rPr>
              <w:rFonts w:hint="eastAsia"/>
            </w:rPr>
            <w:tab/>
          </w:r>
          <w:r>
            <w:rPr>
              <w:rFonts w:hint="eastAsia"/>
            </w:rPr>
            <w:fldChar w:fldCharType="begin"/>
          </w:r>
          <w:r>
            <w:rPr>
              <w:rFonts w:hint="eastAsia"/>
            </w:rPr>
            <w:instrText xml:space="preserve"> </w:instrText>
          </w:r>
          <w:r>
            <w:instrText xml:space="preserve">PAGEREF _Toc244613891 \h</w:instrText>
          </w:r>
          <w:r>
            <w:rPr>
              <w:rFonts w:hint="eastAsia"/>
            </w:rPr>
            <w:instrText xml:space="preserve"> </w:instrText>
          </w:r>
          <w:r>
            <w:rPr>
              <w:rFonts w:hint="eastAsia"/>
            </w:rPr>
            <w:fldChar w:fldCharType="separate"/>
          </w:r>
          <w:r>
            <w:t>- 14 -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"_Toc244613892" </w:instrText>
          </w:r>
          <w:r>
            <w:fldChar w:fldCharType="separate"/>
          </w:r>
          <w:r>
            <w:rPr>
              <w:rStyle w:val="17"/>
            </w:rPr>
            <w:t>（三十三）提升基层服务能力</w:t>
          </w:r>
          <w:r>
            <w:rPr>
              <w:rFonts w:hint="eastAsia"/>
            </w:rPr>
            <w:tab/>
          </w:r>
          <w:r>
            <w:rPr>
              <w:rFonts w:hint="eastAsia"/>
            </w:rPr>
            <w:fldChar w:fldCharType="begin"/>
          </w:r>
          <w:r>
            <w:rPr>
              <w:rFonts w:hint="eastAsia"/>
            </w:rPr>
            <w:instrText xml:space="preserve"> </w:instrText>
          </w:r>
          <w:r>
            <w:instrText xml:space="preserve">PAGEREF _Toc244613892 \h</w:instrText>
          </w:r>
          <w:r>
            <w:rPr>
              <w:rFonts w:hint="eastAsia"/>
            </w:rPr>
            <w:instrText xml:space="preserve"> </w:instrText>
          </w:r>
          <w:r>
            <w:rPr>
              <w:rFonts w:hint="eastAsia"/>
            </w:rPr>
            <w:fldChar w:fldCharType="separate"/>
          </w:r>
          <w:r>
            <w:t>- 14 -</w:t>
          </w:r>
          <w:r>
            <w:rPr>
              <w:rFonts w:hint="eastAsia"/>
            </w:rPr>
            <w:fldChar w:fldCharType="end"/>
          </w:r>
          <w:r>
            <w:rPr>
              <w:rFonts w:hint="eastAsia"/>
            </w:rPr>
            <w:fldChar w:fldCharType="end"/>
          </w:r>
        </w:p>
        <w:p>
          <w:pPr>
            <w:pStyle w:val="12"/>
            <w:ind w:left="640"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"_Toc244613893" </w:instrText>
          </w:r>
          <w:r>
            <w:fldChar w:fldCharType="separate"/>
          </w:r>
          <w:r>
            <w:rPr>
              <w:rStyle w:val="17"/>
            </w:rPr>
            <w:t>（三十四）提高公共安全保障水平</w:t>
          </w:r>
          <w:r>
            <w:rPr>
              <w:rFonts w:hint="eastAsia"/>
            </w:rPr>
            <w:tab/>
          </w:r>
          <w:r>
            <w:rPr>
              <w:rFonts w:hint="eastAsia"/>
            </w:rPr>
            <w:fldChar w:fldCharType="begin"/>
          </w:r>
          <w:r>
            <w:rPr>
              <w:rFonts w:hint="eastAsia"/>
            </w:rPr>
            <w:instrText xml:space="preserve"> </w:instrText>
          </w:r>
          <w:r>
            <w:instrText xml:space="preserve">PAGEREF _Toc244613893 \h</w:instrText>
          </w:r>
          <w:r>
            <w:rPr>
              <w:rFonts w:hint="eastAsia"/>
            </w:rPr>
            <w:instrText xml:space="preserve"> </w:instrText>
          </w:r>
          <w:r>
            <w:rPr>
              <w:rFonts w:hint="eastAsia"/>
            </w:rPr>
            <w:fldChar w:fldCharType="separate"/>
          </w:r>
          <w:r>
            <w:t>- 15 -</w:t>
          </w:r>
          <w:r>
            <w:rPr>
              <w:rFonts w:hint="eastAsia"/>
            </w:rPr>
            <w:fldChar w:fldCharType="end"/>
          </w:r>
          <w:r>
            <w:rPr>
              <w:rFonts w:hint="eastAsia"/>
            </w:rPr>
            <w:fldChar w:fldCharType="end"/>
          </w:r>
        </w:p>
        <w:p>
          <w:pPr>
            <w:pStyle w:val="10"/>
            <w:ind w:firstLine="560"/>
            <w:rPr>
              <w:rFonts w:hint="eastAsia" w:asciiTheme="minorHAnsi" w:hAnsiTheme="minorHAnsi" w:eastAsiaTheme="minorEastAsia" w:cstheme="minorBidi"/>
              <w:sz w:val="22"/>
              <w:szCs w:val="24"/>
              <w14:ligatures w14:val="standardContextual"/>
            </w:rPr>
          </w:pPr>
          <w:r>
            <w:fldChar w:fldCharType="begin"/>
          </w:r>
          <w:r>
            <w:instrText xml:space="preserve"> HYPERLINK \l "_Toc244613894" </w:instrText>
          </w:r>
          <w:r>
            <w:fldChar w:fldCharType="separate"/>
          </w:r>
          <w:r>
            <w:rPr>
              <w:rStyle w:val="17"/>
            </w:rPr>
            <w:t>十二、加强实施保障</w:t>
          </w:r>
          <w:r>
            <w:rPr>
              <w:rFonts w:hint="eastAsia"/>
            </w:rPr>
            <w:tab/>
          </w:r>
          <w:r>
            <w:rPr>
              <w:rFonts w:hint="eastAsia"/>
            </w:rPr>
            <w:fldChar w:fldCharType="begin"/>
          </w:r>
          <w:r>
            <w:rPr>
              <w:rFonts w:hint="eastAsia"/>
            </w:rPr>
            <w:instrText xml:space="preserve"> </w:instrText>
          </w:r>
          <w:r>
            <w:instrText xml:space="preserve">PAGEREF _Toc244613894 \h</w:instrText>
          </w:r>
          <w:r>
            <w:rPr>
              <w:rFonts w:hint="eastAsia"/>
            </w:rPr>
            <w:instrText xml:space="preserve"> </w:instrText>
          </w:r>
          <w:r>
            <w:rPr>
              <w:rFonts w:hint="eastAsia"/>
            </w:rPr>
            <w:fldChar w:fldCharType="separate"/>
          </w:r>
          <w:r>
            <w:t>- 15 -</w:t>
          </w:r>
          <w:r>
            <w:rPr>
              <w:rFonts w:hint="eastAsia"/>
            </w:rPr>
            <w:fldChar w:fldCharType="end"/>
          </w:r>
          <w:r>
            <w:rPr>
              <w:rFonts w:hint="eastAsia"/>
            </w:rPr>
            <w:fldChar w:fldCharType="end"/>
          </w:r>
        </w:p>
        <w:p>
          <w:pPr>
            <w:adjustRightInd w:val="0"/>
            <w:snapToGrid w:val="0"/>
            <w:spacing w:line="560" w:lineRule="exact"/>
            <w:ind w:firstLine="0" w:firstLineChars="0"/>
            <w:rPr>
              <w:rFonts w:ascii="Times New Roman" w:hAnsi="Times New Roman" w:cs="Times New Roman"/>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fldChar w:fldCharType="end"/>
          </w:r>
        </w:p>
      </w:sdtContent>
    </w:sdt>
    <w:p>
      <w:pPr>
        <w:ind w:firstLine="0" w:firstLineChars="0"/>
        <w:jc w:val="center"/>
        <w:rPr>
          <w:rFonts w:hint="eastAsia" w:ascii="方正小标宋简体" w:hAnsi="方正小标宋简体" w:eastAsia="方正小标宋简体" w:cs="方正小标宋简体"/>
          <w:color w:val="000000" w:themeColor="text1"/>
          <w:sz w:val="52"/>
          <w:szCs w:val="52"/>
          <w14:textFill>
            <w14:solidFill>
              <w14:schemeClr w14:val="tx1"/>
            </w14:solidFill>
          </w14:textFill>
        </w:rPr>
        <w:sectPr>
          <w:footerReference r:id="rId11" w:type="default"/>
          <w:footerReference r:id="rId12" w:type="even"/>
          <w:type w:val="continuous"/>
          <w:pgSz w:w="11906" w:h="16838"/>
          <w:pgMar w:top="2098" w:right="1474" w:bottom="1985" w:left="1588" w:header="851" w:footer="992" w:gutter="0"/>
          <w:pgNumType w:fmt="upperRoman" w:start="1"/>
          <w:cols w:space="425" w:num="1"/>
          <w:docGrid w:type="lines" w:linePitch="435" w:charSpace="0"/>
        </w:sectPr>
      </w:pPr>
      <w:bookmarkStart w:id="1" w:name="_Toc206494964"/>
    </w:p>
    <w:p>
      <w:pPr>
        <w:ind w:firstLine="0" w:firstLineChars="0"/>
        <w:jc w:val="center"/>
        <w:rPr>
          <w:rFonts w:hint="eastAsia" w:ascii="方正小标宋简体" w:hAnsi="方正小标宋简体" w:eastAsia="方正小标宋简体" w:cs="方正小标宋简体"/>
          <w:color w:val="000000" w:themeColor="text1"/>
          <w:sz w:val="52"/>
          <w:szCs w:val="52"/>
          <w14:textFill>
            <w14:solidFill>
              <w14:schemeClr w14:val="tx1"/>
            </w14:solidFill>
          </w14:textFill>
        </w:rPr>
      </w:pPr>
      <w:r>
        <w:rPr>
          <w:rFonts w:hint="eastAsia" w:ascii="方正小标宋简体" w:hAnsi="方正小标宋简体" w:eastAsia="方正小标宋简体" w:cs="方正小标宋简体"/>
          <w:color w:val="000000" w:themeColor="text1"/>
          <w:sz w:val="52"/>
          <w:szCs w:val="52"/>
          <w14:textFill>
            <w14:solidFill>
              <w14:schemeClr w14:val="tx1"/>
            </w14:solidFill>
          </w14:textFill>
        </w:rPr>
        <w:t>平谷区“十五五”时期公共服务规划</w:t>
      </w:r>
    </w:p>
    <w:p>
      <w:pPr>
        <w:ind w:firstLine="640"/>
        <w:rPr>
          <w:rFonts w:hint="eastAsia"/>
        </w:rPr>
      </w:pPr>
    </w:p>
    <w:p>
      <w:pPr>
        <w:ind w:firstLine="640"/>
        <w:rPr>
          <w:rFonts w:hint="eastAsia"/>
        </w:rPr>
      </w:pPr>
      <w:r>
        <w:rPr>
          <w:rFonts w:hint="eastAsia"/>
        </w:rPr>
        <w:t>为推动</w:t>
      </w:r>
      <w:r>
        <w:t>平谷区公共服务高质量发展，持续提升基本公共服务均等化水平，更好满足人民群众多层次、多样化公共服务需求</w:t>
      </w:r>
      <w:r>
        <w:rPr>
          <w:rFonts w:hint="eastAsia"/>
        </w:rPr>
        <w:t>，根据《北京市平谷区国民经济和社会发展第十五个五年规划纲要》《北京市“十五五”时期社会公共服务发展规划》，制定本规划。</w:t>
      </w:r>
    </w:p>
    <w:p>
      <w:pPr>
        <w:pStyle w:val="2"/>
        <w:adjustRightInd w:val="0"/>
        <w:snapToGrid w:val="0"/>
        <w:ind w:firstLine="640"/>
        <w:rPr>
          <w:rFonts w:ascii="Times New Roman" w:hAnsi="Times New Roman" w:cs="Times New Roman"/>
          <w:b/>
          <w:bCs w:val="0"/>
          <w:color w:val="000000" w:themeColor="text1"/>
          <w14:textFill>
            <w14:solidFill>
              <w14:schemeClr w14:val="tx1"/>
            </w14:solidFill>
          </w14:textFill>
        </w:rPr>
      </w:pPr>
      <w:bookmarkStart w:id="2" w:name="_Toc244613849"/>
      <w:r>
        <w:rPr>
          <w:rFonts w:hint="eastAsia" w:ascii="Times New Roman" w:hAnsi="Times New Roman" w:cs="Times New Roman"/>
          <w:bCs w:val="0"/>
          <w:color w:val="000000" w:themeColor="text1"/>
          <w14:textFill>
            <w14:solidFill>
              <w14:schemeClr w14:val="tx1"/>
            </w14:solidFill>
          </w14:textFill>
        </w:rPr>
        <w:t>一</w:t>
      </w:r>
      <w:r>
        <w:rPr>
          <w:rFonts w:ascii="Times New Roman" w:hAnsi="Times New Roman" w:cs="Times New Roman"/>
          <w:bCs w:val="0"/>
          <w:color w:val="000000" w:themeColor="text1"/>
          <w14:textFill>
            <w14:solidFill>
              <w14:schemeClr w14:val="tx1"/>
            </w14:solidFill>
          </w14:textFill>
        </w:rPr>
        <w:t>、总体要求</w:t>
      </w:r>
      <w:bookmarkEnd w:id="1"/>
      <w:bookmarkEnd w:id="2"/>
    </w:p>
    <w:p>
      <w:pPr>
        <w:ind w:firstLine="640"/>
        <w:rPr>
          <w:rFonts w:hint="eastAsia"/>
        </w:rPr>
      </w:pPr>
      <w:r>
        <w:t>坚持以习近平新时代中国特色社会主义思想为指导，全面贯彻落实党的二十大和二十届</w:t>
      </w:r>
      <w:r>
        <w:rPr>
          <w:rFonts w:hint="eastAsia"/>
        </w:rPr>
        <w:t>历次</w:t>
      </w:r>
      <w:r>
        <w:t>全会精神，坚持以人民为中心</w:t>
      </w:r>
      <w:r>
        <w:rPr>
          <w:rFonts w:hint="eastAsia"/>
        </w:rPr>
        <w:t>的</w:t>
      </w:r>
      <w:r>
        <w:t>发展理念，完整、准确、全面贯彻新发展理念，坚决贯彻执行党中央、国务院决策部署，坚决落实市委、市政府工作要求，紧扣</w:t>
      </w:r>
      <w:r>
        <w:rPr>
          <w:rFonts w:hint="eastAsia" w:eastAsia="方正仿宋_GB2312"/>
        </w:rPr>
        <w:t>“</w:t>
      </w:r>
      <w:r>
        <w:t>七有</w:t>
      </w:r>
      <w:r>
        <w:rPr>
          <w:rFonts w:hint="eastAsia" w:eastAsia="方正仿宋_GB2312"/>
        </w:rPr>
        <w:t>”</w:t>
      </w:r>
      <w:r>
        <w:t>目标和</w:t>
      </w:r>
      <w:r>
        <w:rPr>
          <w:rFonts w:hint="eastAsia" w:eastAsia="方正仿宋_GB2312"/>
        </w:rPr>
        <w:t>“</w:t>
      </w:r>
      <w:r>
        <w:t>五性</w:t>
      </w:r>
      <w:r>
        <w:rPr>
          <w:rFonts w:hint="eastAsia" w:eastAsia="方正仿宋_GB2312"/>
        </w:rPr>
        <w:t>”</w:t>
      </w:r>
      <w:r>
        <w:t>需求，认真抓好各项民生事业，立足平谷功能定位和发展实际，着力补齐养老、医疗、教育、住房等公共服务短板，加快构建高水平公共服务体系，不断增强人民群众获得感、幸福感、安全感。</w:t>
      </w:r>
    </w:p>
    <w:p>
      <w:pPr>
        <w:ind w:firstLine="640"/>
        <w:rPr>
          <w:rFonts w:hint="eastAsia"/>
        </w:rPr>
      </w:pPr>
      <w:bookmarkStart w:id="3" w:name="OLE_LINK4"/>
      <w:bookmarkStart w:id="4" w:name="_Toc206494972"/>
      <w:bookmarkStart w:id="5" w:name="_Toc211357071"/>
      <w:bookmarkStart w:id="6" w:name="_Toc206494970"/>
      <w:r>
        <w:t>到2030年，优质均衡、智慧便捷、多元协同的公共服务体系更加完善，</w:t>
      </w:r>
      <w:bookmarkStart w:id="7" w:name="OLE_LINK6"/>
      <w:r>
        <w:t>人民群众获得感、幸福感</w:t>
      </w:r>
      <w:bookmarkEnd w:id="7"/>
      <w:r>
        <w:t>、安全感进一步提升</w:t>
      </w:r>
      <w:r>
        <w:rPr>
          <w:rFonts w:hint="eastAsia"/>
        </w:rPr>
        <w:t>，基本建成与平谷区生态涵养功能相匹配的公共服务高地。到2035年，平谷区公共服务体系实现高水平现代化，成为全市公共服务均等化、品质化发展的标杆区域。全龄友好型社会建设达到新高度，公共服务供给能力、创新能力、可持续发展能力位居前列，为平谷区全面实现现代化提供坚实支撑，人民群众享有更加幸福美好的生活。</w:t>
      </w:r>
    </w:p>
    <w:p>
      <w:pPr>
        <w:adjustRightInd w:val="0"/>
        <w:snapToGrid w:val="0"/>
        <w:spacing w:line="560" w:lineRule="exact"/>
        <w:ind w:firstLine="0" w:firstLineChars="0"/>
        <w:jc w:val="center"/>
        <w:rPr>
          <w:rFonts w:hint="eastAsia" w:ascii="黑体" w:hAnsi="黑体" w:eastAsia="黑体" w:cs="Times New Roman"/>
          <w:color w:val="000000" w:themeColor="text1"/>
          <w:sz w:val="28"/>
          <w:szCs w:val="28"/>
          <w14:textFill>
            <w14:solidFill>
              <w14:schemeClr w14:val="tx1"/>
            </w14:solidFill>
          </w14:textFill>
        </w:rPr>
      </w:pPr>
      <w:r>
        <w:rPr>
          <w:rFonts w:ascii="黑体" w:hAnsi="黑体" w:eastAsia="黑体" w:cs="Times New Roman"/>
          <w:color w:val="000000" w:themeColor="text1"/>
          <w:sz w:val="28"/>
          <w:szCs w:val="28"/>
          <w14:textFill>
            <w14:solidFill>
              <w14:schemeClr w14:val="tx1"/>
            </w14:solidFill>
          </w14:textFill>
        </w:rPr>
        <w:t>平谷区</w:t>
      </w:r>
      <w:r>
        <w:rPr>
          <w:rFonts w:hint="eastAsia" w:ascii="黑体" w:hAnsi="黑体" w:eastAsia="黑体" w:cs="Times New Roman"/>
          <w:color w:val="000000" w:themeColor="text1"/>
          <w:sz w:val="28"/>
          <w:szCs w:val="28"/>
          <w14:textFill>
            <w14:solidFill>
              <w14:schemeClr w14:val="tx1"/>
            </w14:solidFill>
          </w14:textFill>
        </w:rPr>
        <w:t>“</w:t>
      </w:r>
      <w:r>
        <w:rPr>
          <w:rFonts w:ascii="黑体" w:hAnsi="黑体" w:eastAsia="黑体" w:cs="Times New Roman"/>
          <w:color w:val="000000" w:themeColor="text1"/>
          <w:sz w:val="28"/>
          <w:szCs w:val="28"/>
          <w14:textFill>
            <w14:solidFill>
              <w14:schemeClr w14:val="tx1"/>
            </w14:solidFill>
          </w14:textFill>
        </w:rPr>
        <w:t>十五五</w:t>
      </w:r>
      <w:r>
        <w:rPr>
          <w:rFonts w:hint="eastAsia" w:ascii="黑体" w:hAnsi="黑体" w:eastAsia="黑体" w:cs="Times New Roman"/>
          <w:color w:val="000000" w:themeColor="text1"/>
          <w:sz w:val="28"/>
          <w:szCs w:val="28"/>
          <w14:textFill>
            <w14:solidFill>
              <w14:schemeClr w14:val="tx1"/>
            </w14:solidFill>
          </w14:textFill>
        </w:rPr>
        <w:t>”</w:t>
      </w:r>
      <w:r>
        <w:rPr>
          <w:rFonts w:ascii="黑体" w:hAnsi="黑体" w:eastAsia="黑体" w:cs="Times New Roman"/>
          <w:color w:val="000000" w:themeColor="text1"/>
          <w:sz w:val="28"/>
          <w:szCs w:val="28"/>
          <w14:textFill>
            <w14:solidFill>
              <w14:schemeClr w14:val="tx1"/>
            </w14:solidFill>
          </w14:textFill>
        </w:rPr>
        <w:t>时期民生领域主要发展指标</w:t>
      </w:r>
    </w:p>
    <w:tbl>
      <w:tblPr>
        <w:tblStyle w:val="14"/>
        <w:tblW w:w="934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557"/>
        <w:gridCol w:w="2694"/>
        <w:gridCol w:w="850"/>
        <w:gridCol w:w="1559"/>
        <w:gridCol w:w="1276"/>
        <w:gridCol w:w="1134"/>
        <w:gridCol w:w="1276"/>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0" w:hRule="atLeast"/>
          <w:tblHeader/>
          <w:jc w:val="center"/>
        </w:trPr>
        <w:tc>
          <w:tcPr>
            <w:tcW w:w="557" w:type="dxa"/>
            <w:vAlign w:val="center"/>
          </w:tcPr>
          <w:p>
            <w:pPr>
              <w:widowControl/>
              <w:spacing w:line="240" w:lineRule="auto"/>
              <w:ind w:firstLine="0" w:firstLineChars="0"/>
              <w:jc w:val="center"/>
              <w:rPr>
                <w:rFonts w:hint="eastAsia" w:hAnsi="宋体" w:cs="宋体"/>
                <w:b/>
                <w:bCs/>
                <w:color w:val="000000"/>
                <w:kern w:val="0"/>
                <w:sz w:val="28"/>
                <w:szCs w:val="28"/>
              </w:rPr>
            </w:pPr>
            <w:r>
              <w:rPr>
                <w:rFonts w:hint="eastAsia" w:hAnsi="宋体" w:cs="宋体"/>
                <w:b/>
                <w:bCs/>
                <w:color w:val="000000"/>
                <w:kern w:val="0"/>
                <w:sz w:val="28"/>
                <w:szCs w:val="28"/>
              </w:rPr>
              <w:t>序号</w:t>
            </w:r>
          </w:p>
        </w:tc>
        <w:tc>
          <w:tcPr>
            <w:tcW w:w="2694" w:type="dxa"/>
            <w:vAlign w:val="center"/>
          </w:tcPr>
          <w:p>
            <w:pPr>
              <w:widowControl/>
              <w:spacing w:line="240" w:lineRule="auto"/>
              <w:ind w:firstLine="0" w:firstLineChars="0"/>
              <w:jc w:val="center"/>
              <w:rPr>
                <w:rFonts w:hint="eastAsia" w:hAnsi="宋体" w:cs="宋体"/>
                <w:b/>
                <w:bCs/>
                <w:color w:val="000000"/>
                <w:kern w:val="0"/>
                <w:sz w:val="28"/>
                <w:szCs w:val="28"/>
              </w:rPr>
            </w:pPr>
            <w:r>
              <w:rPr>
                <w:rFonts w:hint="eastAsia" w:hAnsi="宋体" w:cs="宋体"/>
                <w:b/>
                <w:bCs/>
                <w:color w:val="000000"/>
                <w:kern w:val="0"/>
                <w:sz w:val="28"/>
                <w:szCs w:val="28"/>
              </w:rPr>
              <w:t>指标</w:t>
            </w:r>
          </w:p>
        </w:tc>
        <w:tc>
          <w:tcPr>
            <w:tcW w:w="850" w:type="dxa"/>
            <w:vAlign w:val="center"/>
          </w:tcPr>
          <w:p>
            <w:pPr>
              <w:widowControl/>
              <w:spacing w:line="240" w:lineRule="auto"/>
              <w:ind w:firstLine="0" w:firstLineChars="0"/>
              <w:jc w:val="center"/>
              <w:rPr>
                <w:rFonts w:hint="eastAsia" w:hAnsi="宋体" w:cs="宋体"/>
                <w:b/>
                <w:bCs/>
                <w:color w:val="000000"/>
                <w:kern w:val="0"/>
                <w:sz w:val="28"/>
                <w:szCs w:val="28"/>
              </w:rPr>
            </w:pPr>
            <w:r>
              <w:rPr>
                <w:rFonts w:hint="eastAsia" w:hAnsi="宋体" w:cs="宋体"/>
                <w:b/>
                <w:bCs/>
                <w:color w:val="000000"/>
                <w:kern w:val="0"/>
                <w:sz w:val="28"/>
                <w:szCs w:val="28"/>
              </w:rPr>
              <w:t>单位</w:t>
            </w:r>
          </w:p>
        </w:tc>
        <w:tc>
          <w:tcPr>
            <w:tcW w:w="1559" w:type="dxa"/>
            <w:vAlign w:val="center"/>
          </w:tcPr>
          <w:p>
            <w:pPr>
              <w:widowControl/>
              <w:spacing w:line="240" w:lineRule="auto"/>
              <w:ind w:firstLine="0" w:firstLineChars="0"/>
              <w:jc w:val="center"/>
              <w:rPr>
                <w:rFonts w:hAnsi="Times New Roman" w:cs="Times New Roman"/>
                <w:b/>
                <w:bCs/>
                <w:color w:val="000000"/>
                <w:kern w:val="0"/>
                <w:sz w:val="28"/>
                <w:szCs w:val="28"/>
              </w:rPr>
            </w:pPr>
            <w:r>
              <w:rPr>
                <w:rFonts w:hint="eastAsia" w:hAnsi="Times New Roman" w:cs="Times New Roman"/>
                <w:b/>
                <w:bCs/>
                <w:color w:val="000000"/>
                <w:kern w:val="0"/>
                <w:sz w:val="28"/>
                <w:szCs w:val="28"/>
              </w:rPr>
              <w:t>2025</w:t>
            </w:r>
            <w:r>
              <w:rPr>
                <w:rFonts w:hint="eastAsia" w:hAnsi="宋体" w:cs="Times New Roman"/>
                <w:b/>
                <w:bCs/>
                <w:color w:val="000000"/>
                <w:kern w:val="0"/>
                <w:sz w:val="28"/>
                <w:szCs w:val="28"/>
              </w:rPr>
              <w:t>年</w:t>
            </w:r>
          </w:p>
        </w:tc>
        <w:tc>
          <w:tcPr>
            <w:tcW w:w="1276" w:type="dxa"/>
            <w:vAlign w:val="center"/>
          </w:tcPr>
          <w:p>
            <w:pPr>
              <w:widowControl/>
              <w:spacing w:line="240" w:lineRule="auto"/>
              <w:ind w:firstLine="0" w:firstLineChars="0"/>
              <w:jc w:val="center"/>
              <w:rPr>
                <w:rFonts w:hAnsi="Times New Roman" w:cs="Times New Roman"/>
                <w:b/>
                <w:bCs/>
                <w:color w:val="000000"/>
                <w:kern w:val="0"/>
                <w:sz w:val="28"/>
                <w:szCs w:val="28"/>
              </w:rPr>
            </w:pPr>
            <w:r>
              <w:rPr>
                <w:rFonts w:hint="eastAsia" w:hAnsi="Times New Roman" w:cs="Times New Roman"/>
                <w:b/>
                <w:bCs/>
                <w:color w:val="000000"/>
                <w:kern w:val="0"/>
                <w:sz w:val="28"/>
                <w:szCs w:val="28"/>
              </w:rPr>
              <w:t>2030年</w:t>
            </w:r>
            <w:r>
              <w:rPr>
                <w:rFonts w:hint="eastAsia" w:hAnsi="宋体" w:cs="Times New Roman"/>
                <w:b/>
                <w:bCs/>
                <w:color w:val="000000"/>
                <w:kern w:val="0"/>
                <w:sz w:val="28"/>
                <w:szCs w:val="28"/>
              </w:rPr>
              <w:t>目标</w:t>
            </w:r>
          </w:p>
        </w:tc>
        <w:tc>
          <w:tcPr>
            <w:tcW w:w="1134" w:type="dxa"/>
            <w:vAlign w:val="center"/>
          </w:tcPr>
          <w:p>
            <w:pPr>
              <w:widowControl/>
              <w:spacing w:line="240" w:lineRule="auto"/>
              <w:ind w:firstLine="0" w:firstLineChars="0"/>
              <w:jc w:val="center"/>
              <w:rPr>
                <w:rFonts w:hint="eastAsia" w:hAnsi="宋体" w:cs="宋体"/>
                <w:b/>
                <w:bCs/>
                <w:color w:val="000000"/>
                <w:kern w:val="0"/>
                <w:sz w:val="28"/>
                <w:szCs w:val="28"/>
              </w:rPr>
            </w:pPr>
            <w:r>
              <w:rPr>
                <w:rFonts w:hint="eastAsia" w:hAnsi="宋体" w:cs="宋体"/>
                <w:b/>
                <w:bCs/>
                <w:color w:val="000000"/>
                <w:kern w:val="0"/>
                <w:sz w:val="28"/>
                <w:szCs w:val="28"/>
              </w:rPr>
              <w:t>属性</w:t>
            </w:r>
          </w:p>
        </w:tc>
        <w:tc>
          <w:tcPr>
            <w:tcW w:w="1276" w:type="dxa"/>
            <w:vAlign w:val="center"/>
          </w:tcPr>
          <w:p>
            <w:pPr>
              <w:widowControl/>
              <w:spacing w:line="240" w:lineRule="auto"/>
              <w:ind w:firstLine="0" w:firstLineChars="0"/>
              <w:jc w:val="center"/>
              <w:rPr>
                <w:rFonts w:hint="eastAsia" w:hAnsi="宋体" w:cs="宋体"/>
                <w:b/>
                <w:bCs/>
                <w:color w:val="000000"/>
                <w:kern w:val="0"/>
                <w:sz w:val="28"/>
                <w:szCs w:val="28"/>
              </w:rPr>
            </w:pPr>
            <w:r>
              <w:rPr>
                <w:rFonts w:hint="eastAsia" w:hAnsi="宋体" w:cs="宋体"/>
                <w:b/>
                <w:bCs/>
                <w:color w:val="000000"/>
                <w:kern w:val="0"/>
                <w:sz w:val="28"/>
                <w:szCs w:val="28"/>
              </w:rPr>
              <w:t>责任</w:t>
            </w:r>
          </w:p>
          <w:p>
            <w:pPr>
              <w:widowControl/>
              <w:spacing w:line="240" w:lineRule="auto"/>
              <w:ind w:firstLine="0" w:firstLineChars="0"/>
              <w:jc w:val="center"/>
              <w:rPr>
                <w:rFonts w:hint="eastAsia" w:hAnsi="宋体" w:cs="宋体"/>
                <w:b/>
                <w:bCs/>
                <w:color w:val="000000"/>
                <w:kern w:val="0"/>
                <w:sz w:val="28"/>
                <w:szCs w:val="28"/>
              </w:rPr>
            </w:pPr>
            <w:r>
              <w:rPr>
                <w:rFonts w:hint="eastAsia" w:hAnsi="宋体" w:cs="宋体"/>
                <w:b/>
                <w:bCs/>
                <w:color w:val="000000"/>
                <w:kern w:val="0"/>
                <w:sz w:val="28"/>
                <w:szCs w:val="28"/>
              </w:rPr>
              <w:t>单位</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5" w:hRule="atLeast"/>
          <w:jc w:val="center"/>
        </w:trPr>
        <w:tc>
          <w:tcPr>
            <w:tcW w:w="557"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1</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“七有”“五性”监测评价总指数</w:t>
            </w:r>
          </w:p>
        </w:tc>
        <w:tc>
          <w:tcPr>
            <w:tcW w:w="850"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Ansi="Times New Roman" w:cs="Times New Roman"/>
                <w:color w:val="000000"/>
                <w:kern w:val="0"/>
                <w:sz w:val="28"/>
                <w:szCs w:val="28"/>
              </w:rPr>
              <w:t>89.94</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稳步提升</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eastAsia="仿宋_GB2312" w:cs="宋体"/>
                <w:color w:val="000000"/>
                <w:kern w:val="0"/>
                <w:sz w:val="28"/>
                <w:szCs w:val="28"/>
                <w:lang w:eastAsia="zh-CN"/>
              </w:rPr>
            </w:pPr>
            <w:r>
              <w:rPr>
                <w:rFonts w:hint="eastAsia" w:hAnsi="宋体" w:cs="宋体"/>
                <w:color w:val="000000"/>
                <w:kern w:val="0"/>
                <w:sz w:val="28"/>
                <w:szCs w:val="28"/>
              </w:rPr>
              <w:t>区委社工部</w:t>
            </w:r>
            <w:r>
              <w:rPr>
                <w:rFonts w:hint="eastAsia" w:hAnsi="宋体" w:cs="宋体"/>
                <w:color w:val="000000"/>
                <w:kern w:val="0"/>
                <w:sz w:val="28"/>
                <w:szCs w:val="28"/>
                <w:lang w:eastAsia="zh-CN"/>
              </w:rPr>
              <w:t>、区发改委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5" w:hRule="atLeast"/>
          <w:jc w:val="center"/>
        </w:trPr>
        <w:tc>
          <w:tcPr>
            <w:tcW w:w="557"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2</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人均预期寿命</w:t>
            </w:r>
          </w:p>
        </w:tc>
        <w:tc>
          <w:tcPr>
            <w:tcW w:w="850"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岁</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81.37</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82.44</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区卫健委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15" w:hRule="atLeast"/>
          <w:jc w:val="center"/>
        </w:trPr>
        <w:tc>
          <w:tcPr>
            <w:tcW w:w="557"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3</w:t>
            </w:r>
          </w:p>
        </w:tc>
        <w:tc>
          <w:tcPr>
            <w:tcW w:w="2694"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3岁以下婴幼儿入托率提高</w:t>
            </w:r>
          </w:p>
        </w:tc>
        <w:tc>
          <w:tcPr>
            <w:tcW w:w="850"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百分点</w:t>
            </w:r>
          </w:p>
        </w:tc>
        <w:tc>
          <w:tcPr>
            <w:tcW w:w="1559"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Times New Roman" w:cs="Times New Roman"/>
                <w:color w:val="000000" w:themeColor="text1"/>
                <w:sz w:val="28"/>
                <w:szCs w:val="28"/>
                <w14:textFill>
                  <w14:solidFill>
                    <w14:schemeClr w14:val="tx1"/>
                  </w14:solidFill>
                </w14:textFill>
              </w:rPr>
              <w:t>〔15〕</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区教委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35" w:hRule="atLeast"/>
          <w:jc w:val="center"/>
        </w:trPr>
        <w:tc>
          <w:tcPr>
            <w:tcW w:w="557"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4</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国家义务教育质量监测八年级学生学业水平优良率</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语文88.5</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80</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区教委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5</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中小学生体质健康测试达标优良率</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91.22</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&gt;80</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区教委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6</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居民人均可支配收入年均增速</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5.1</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达到市级要求</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区人力社保局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7</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城镇调查失业率</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4.0</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达到市级要求</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区人力社保局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5" w:hRule="atLeast"/>
          <w:jc w:val="center"/>
        </w:trPr>
        <w:tc>
          <w:tcPr>
            <w:tcW w:w="557"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8</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居民健康素养水平</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36.7（2024年）</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43</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区卫健委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9</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每千常住人口拥有执业（助理）医师数</w:t>
            </w:r>
          </w:p>
        </w:tc>
        <w:tc>
          <w:tcPr>
            <w:tcW w:w="850"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人</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4.61</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4.65</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区卫健委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10</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养老机构护理型床位占比</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65</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73</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区民政局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11</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万名老年人拥有护理员数</w:t>
            </w:r>
          </w:p>
        </w:tc>
        <w:tc>
          <w:tcPr>
            <w:tcW w:w="850"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人</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50</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55</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区民政局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35" w:hRule="atLeast"/>
          <w:jc w:val="center"/>
        </w:trPr>
        <w:tc>
          <w:tcPr>
            <w:tcW w:w="557"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12</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街道（乡镇）区域养老服务中心服务覆盖率</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20</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75</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区民政局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13</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公租房备案家庭总体保障率</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90</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达到市级要求</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区住建委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5" w:hRule="atLeast"/>
          <w:jc w:val="center"/>
        </w:trPr>
        <w:tc>
          <w:tcPr>
            <w:tcW w:w="557"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14</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社会救助服务率</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30</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30</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区民政局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15</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困难残疾人生活补贴覆盖率</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100</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100</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约束性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区民政局、区残联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16</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重度残疾人托养照护服务人数</w:t>
            </w:r>
          </w:p>
        </w:tc>
        <w:tc>
          <w:tcPr>
            <w:tcW w:w="850"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万人次</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0.4</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区民政局、区残联</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17</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经常参加体育锻炼人数比例</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53.8</w:t>
            </w:r>
          </w:p>
        </w:tc>
        <w:tc>
          <w:tcPr>
            <w:tcW w:w="1276"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55</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区体育局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18</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人均接受文化场馆服务次数</w:t>
            </w:r>
          </w:p>
        </w:tc>
        <w:tc>
          <w:tcPr>
            <w:tcW w:w="850"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次</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0.75</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达到市级要求</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区文旅局</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90" w:hRule="atLeast"/>
          <w:jc w:val="center"/>
        </w:trPr>
        <w:tc>
          <w:tcPr>
            <w:tcW w:w="557"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19</w:t>
            </w:r>
          </w:p>
        </w:tc>
        <w:tc>
          <w:tcPr>
            <w:tcW w:w="269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十万常住人口火灾死亡率</w:t>
            </w:r>
          </w:p>
        </w:tc>
        <w:tc>
          <w:tcPr>
            <w:tcW w:w="850"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w:t>
            </w:r>
          </w:p>
        </w:tc>
        <w:tc>
          <w:tcPr>
            <w:tcW w:w="1559" w:type="dxa"/>
            <w:vAlign w:val="center"/>
          </w:tcPr>
          <w:p>
            <w:pPr>
              <w:widowControl/>
              <w:spacing w:line="240" w:lineRule="auto"/>
              <w:ind w:firstLine="0" w:firstLineChars="0"/>
              <w:jc w:val="center"/>
              <w:rPr>
                <w:rFonts w:hAnsi="Times New Roman" w:cs="Times New Roman"/>
                <w:color w:val="000000"/>
                <w:kern w:val="0"/>
                <w:sz w:val="28"/>
                <w:szCs w:val="28"/>
              </w:rPr>
            </w:pPr>
            <w:r>
              <w:rPr>
                <w:rFonts w:hint="eastAsia" w:hAnsi="Times New Roman" w:cs="Times New Roman"/>
                <w:color w:val="000000"/>
                <w:kern w:val="0"/>
                <w:sz w:val="28"/>
                <w:szCs w:val="28"/>
              </w:rPr>
              <w:t>0.44</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w:t>
            </w:r>
            <w:r>
              <w:rPr>
                <w:rFonts w:hint="eastAsia" w:hAnsi="Times New Roman" w:cs="Times New Roman"/>
                <w:color w:val="000000"/>
                <w:kern w:val="0"/>
                <w:sz w:val="28"/>
                <w:szCs w:val="28"/>
              </w:rPr>
              <w:t>0.25</w:t>
            </w:r>
          </w:p>
        </w:tc>
        <w:tc>
          <w:tcPr>
            <w:tcW w:w="1134"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预期性</w:t>
            </w:r>
          </w:p>
        </w:tc>
        <w:tc>
          <w:tcPr>
            <w:tcW w:w="1276" w:type="dxa"/>
            <w:vAlign w:val="center"/>
          </w:tcPr>
          <w:p>
            <w:pPr>
              <w:widowControl/>
              <w:spacing w:line="240" w:lineRule="auto"/>
              <w:ind w:firstLine="0" w:firstLineChars="0"/>
              <w:jc w:val="center"/>
              <w:rPr>
                <w:rFonts w:hint="eastAsia" w:hAnsi="宋体" w:cs="宋体"/>
                <w:color w:val="000000"/>
                <w:kern w:val="0"/>
                <w:sz w:val="28"/>
                <w:szCs w:val="28"/>
              </w:rPr>
            </w:pPr>
            <w:r>
              <w:rPr>
                <w:rFonts w:hint="eastAsia" w:hAnsi="宋体" w:cs="宋体"/>
                <w:color w:val="000000"/>
                <w:kern w:val="0"/>
                <w:sz w:val="28"/>
                <w:szCs w:val="28"/>
              </w:rPr>
              <w:t>区消防救援局</w:t>
            </w:r>
          </w:p>
        </w:tc>
      </w:tr>
    </w:tbl>
    <w:p>
      <w:pPr>
        <w:ind w:firstLine="560"/>
        <w:rPr>
          <w:rFonts w:hAnsi="Times New Roman" w:cs="Times New Roman"/>
          <w:color w:val="000000" w:themeColor="text1"/>
          <w:sz w:val="28"/>
          <w:szCs w:val="28"/>
          <w14:textFill>
            <w14:solidFill>
              <w14:schemeClr w14:val="tx1"/>
            </w14:solidFill>
          </w14:textFill>
        </w:rPr>
      </w:pPr>
      <w:r>
        <w:rPr>
          <w:rFonts w:hint="eastAsia" w:hAnsi="Times New Roman" w:cs="Times New Roman"/>
          <w:color w:val="000000" w:themeColor="text1"/>
          <w:sz w:val="28"/>
          <w:szCs w:val="28"/>
          <w14:textFill>
            <w14:solidFill>
              <w14:schemeClr w14:val="tx1"/>
            </w14:solidFill>
          </w14:textFill>
        </w:rPr>
        <w:t>注：1.〔〕内为累计数，“—”表示无法计算；</w:t>
      </w:r>
    </w:p>
    <w:p>
      <w:pPr>
        <w:ind w:firstLine="560"/>
        <w:rPr>
          <w:rFonts w:hAnsi="Times New Roman" w:cs="Times New Roman"/>
          <w:color w:val="000000" w:themeColor="text1"/>
          <w:sz w:val="28"/>
          <w:szCs w:val="28"/>
          <w14:textFill>
            <w14:solidFill>
              <w14:schemeClr w14:val="tx1"/>
            </w14:solidFill>
          </w14:textFill>
        </w:rPr>
      </w:pPr>
      <w:r>
        <w:rPr>
          <w:rFonts w:hint="eastAsia" w:hAnsi="Times New Roman" w:cs="Times New Roman"/>
          <w:color w:val="000000" w:themeColor="text1"/>
          <w:sz w:val="28"/>
          <w:szCs w:val="28"/>
          <w14:textFill>
            <w14:solidFill>
              <w14:schemeClr w14:val="tx1"/>
            </w14:solidFill>
          </w14:textFill>
        </w:rPr>
        <w:t xml:space="preserve">    2. 3岁以下婴幼儿入托率提高指标为一定周期入托率提高的百分点，2025年入托率为8.6%。</w:t>
      </w:r>
    </w:p>
    <w:p>
      <w:pPr>
        <w:ind w:firstLine="0" w:firstLineChars="0"/>
        <w:rPr>
          <w:rFonts w:ascii="Times New Roman" w:hAnsi="Times New Roman" w:cs="Times New Roman"/>
          <w:color w:val="000000" w:themeColor="text1"/>
          <w:szCs w:val="32"/>
          <w14:textFill>
            <w14:solidFill>
              <w14:schemeClr w14:val="tx1"/>
            </w14:solidFill>
          </w14:textFill>
        </w:rPr>
        <w:sectPr>
          <w:pgSz w:w="11906" w:h="16838"/>
          <w:pgMar w:top="2098" w:right="1474" w:bottom="1985" w:left="1588" w:header="851" w:footer="992" w:gutter="0"/>
          <w:pgNumType w:fmt="numberInDash" w:start="1"/>
          <w:cols w:space="425" w:num="1"/>
          <w:docGrid w:type="lines" w:linePitch="435" w:charSpace="0"/>
        </w:sectPr>
      </w:pPr>
    </w:p>
    <w:bookmarkEnd w:id="3"/>
    <w:bookmarkEnd w:id="4"/>
    <w:p>
      <w:pPr>
        <w:pStyle w:val="2"/>
        <w:ind w:firstLine="640"/>
        <w:rPr>
          <w:rFonts w:hint="eastAsia"/>
        </w:rPr>
      </w:pPr>
      <w:bookmarkStart w:id="8" w:name="_Toc244613850"/>
      <w:r>
        <w:t>二、优化公共服务空间布局，促进城乡服务均衡发展</w:t>
      </w:r>
      <w:bookmarkEnd w:id="8"/>
    </w:p>
    <w:p>
      <w:pPr>
        <w:ind w:firstLine="640"/>
        <w:rPr>
          <w:rFonts w:hint="eastAsia"/>
        </w:rPr>
      </w:pPr>
      <w:bookmarkStart w:id="9" w:name="_Toc244613851"/>
      <w:r>
        <w:rPr>
          <w:rStyle w:val="21"/>
        </w:rPr>
        <w:t>（一）提升平谷新城综合服务能级</w:t>
      </w:r>
      <w:bookmarkEnd w:id="9"/>
      <w:r>
        <w:t>。强化平谷新城公共服务综合承载和辐射带动功能，集中布局优质教育、医疗、养老、文化</w:t>
      </w:r>
      <w:r>
        <w:rPr>
          <w:rFonts w:hint="eastAsia"/>
        </w:rPr>
        <w:t>、</w:t>
      </w:r>
      <w:r>
        <w:t>体育和儿童服务资源。结合新城更新和人口变化，完善社区卫生、养老托育、文化</w:t>
      </w:r>
      <w:r>
        <w:rPr>
          <w:rFonts w:hint="eastAsia"/>
        </w:rPr>
        <w:t>体育</w:t>
      </w:r>
      <w:r>
        <w:t>等嵌入式服务设施，</w:t>
      </w:r>
      <w:r>
        <w:rPr>
          <w:rFonts w:hint="eastAsia"/>
        </w:rPr>
        <w:t>提升</w:t>
      </w:r>
      <w:r>
        <w:t>公共服务品质。</w:t>
      </w:r>
    </w:p>
    <w:p>
      <w:pPr>
        <w:ind w:firstLine="640"/>
        <w:rPr>
          <w:rFonts w:hint="eastAsia"/>
        </w:rPr>
      </w:pPr>
      <w:bookmarkStart w:id="10" w:name="_Toc244613852"/>
      <w:r>
        <w:rPr>
          <w:rStyle w:val="21"/>
          <w:rFonts w:hint="eastAsia"/>
        </w:rPr>
        <w:t>（二）</w:t>
      </w:r>
      <w:r>
        <w:rPr>
          <w:rStyle w:val="21"/>
        </w:rPr>
        <w:t>强化重点功能区服务保障</w:t>
      </w:r>
      <w:bookmarkEnd w:id="10"/>
      <w:r>
        <w:t>。围绕农业中关村、马坊物流产业集聚区等重点区域，统筹产业、居住和公共服务布局，前瞻研判科研人员、产业工人、青年人才及其家庭导入带来的增量需求</w:t>
      </w:r>
      <w:r>
        <w:rPr>
          <w:rFonts w:hint="eastAsia"/>
        </w:rPr>
        <w:t>。</w:t>
      </w:r>
      <w:r>
        <w:t>合理</w:t>
      </w:r>
      <w:r>
        <w:rPr>
          <w:rFonts w:hint="eastAsia"/>
        </w:rPr>
        <w:t>配置</w:t>
      </w:r>
      <w:r>
        <w:t>学校、托育、基层医疗、保障性住房、人才公寓和文化体育设施，推动产业发展、人口集聚与公共服务同步规划、同步建设。</w:t>
      </w:r>
    </w:p>
    <w:p>
      <w:pPr>
        <w:ind w:firstLine="640"/>
        <w:rPr>
          <w:rFonts w:hint="eastAsia"/>
        </w:rPr>
      </w:pPr>
      <w:bookmarkStart w:id="11" w:name="_Toc244613853"/>
      <w:r>
        <w:rPr>
          <w:rStyle w:val="21"/>
          <w:rFonts w:hint="eastAsia"/>
        </w:rPr>
        <w:t>（三）</w:t>
      </w:r>
      <w:r>
        <w:rPr>
          <w:rStyle w:val="21"/>
        </w:rPr>
        <w:t>完善</w:t>
      </w:r>
      <w:r>
        <w:rPr>
          <w:rStyle w:val="21"/>
          <w:rFonts w:hint="eastAsia"/>
        </w:rPr>
        <w:t>街道（乡镇）</w:t>
      </w:r>
      <w:r>
        <w:rPr>
          <w:rStyle w:val="21"/>
        </w:rPr>
        <w:t>公共服务网络</w:t>
      </w:r>
      <w:bookmarkEnd w:id="11"/>
      <w:r>
        <w:t>。依托街道（乡镇）党群服务中心、养老服务中心、社区卫生服务中心、综合文化中心等设施，推动养老、托育、就业、文化、体育、社会救助、残疾人服务等功能集成设置。针对农村和山区人口分散、服务半径较大的特点，发展联村共建、巡回医疗、流动文化和预约服务，提高基层公共服务可及性。</w:t>
      </w:r>
    </w:p>
    <w:p>
      <w:pPr>
        <w:pStyle w:val="2"/>
        <w:ind w:firstLine="640"/>
        <w:rPr>
          <w:rFonts w:hint="eastAsia"/>
          <w:b/>
        </w:rPr>
      </w:pPr>
      <w:bookmarkStart w:id="12" w:name="_Toc244613854"/>
      <w:r>
        <w:rPr>
          <w:rFonts w:hint="eastAsia"/>
        </w:rPr>
        <w:t>三、</w:t>
      </w:r>
      <w:r>
        <w:t>健全多层养老服务体系，提升老年生活服务品质</w:t>
      </w:r>
      <w:bookmarkEnd w:id="12"/>
    </w:p>
    <w:p>
      <w:pPr>
        <w:ind w:firstLine="640"/>
        <w:rPr>
          <w:rFonts w:hint="eastAsia"/>
        </w:rPr>
      </w:pPr>
      <w:bookmarkStart w:id="13" w:name="_Toc244613855"/>
      <w:r>
        <w:rPr>
          <w:rStyle w:val="21"/>
        </w:rPr>
        <w:t>（</w:t>
      </w:r>
      <w:r>
        <w:rPr>
          <w:rStyle w:val="21"/>
          <w:rFonts w:hint="eastAsia"/>
        </w:rPr>
        <w:t>四</w:t>
      </w:r>
      <w:r>
        <w:rPr>
          <w:rStyle w:val="21"/>
        </w:rPr>
        <w:t>）完善养老设施布局</w:t>
      </w:r>
      <w:bookmarkEnd w:id="13"/>
      <w:r>
        <w:t>。</w:t>
      </w:r>
      <w:r>
        <w:rPr>
          <w:rFonts w:hint="eastAsia"/>
        </w:rPr>
        <w:t>健全区、街道（乡镇）、社区（村）三级养老服务网络，推动乡镇敬老院改造并向区域养老服务中心转型，依托现有4家</w:t>
      </w:r>
      <w:r>
        <w:t>区域养老服务中心</w:t>
      </w:r>
      <w:r>
        <w:rPr>
          <w:rFonts w:hint="eastAsia"/>
        </w:rPr>
        <w:t>，联动养老驿站、助餐点等资源，嵌入照护、助餐、康复功能，</w:t>
      </w:r>
      <w:r>
        <w:t>到2030年，街道（乡镇）区域养老服务中心服务覆盖率达到75%</w:t>
      </w:r>
      <w:r>
        <w:rPr>
          <w:rFonts w:hint="eastAsia"/>
        </w:rPr>
        <w:t>。推进滨河街道嵌入式服务综合体等项目，推广“社区+物业+养老”服务模式。</w:t>
      </w:r>
    </w:p>
    <w:p>
      <w:pPr>
        <w:ind w:firstLine="640"/>
        <w:rPr>
          <w:rFonts w:hint="eastAsia"/>
        </w:rPr>
      </w:pPr>
      <w:bookmarkStart w:id="14" w:name="_Toc244613856"/>
      <w:r>
        <w:rPr>
          <w:rStyle w:val="21"/>
          <w:rFonts w:hint="eastAsia"/>
        </w:rPr>
        <w:t>（五）</w:t>
      </w:r>
      <w:r>
        <w:rPr>
          <w:rStyle w:val="21"/>
        </w:rPr>
        <w:t>提升社区居家服务</w:t>
      </w:r>
      <w:bookmarkEnd w:id="14"/>
      <w:r>
        <w:t>。完善“区域中心+驿站+上门配送”助餐网络，重点保障高龄、独居、失能失智老年人需求</w:t>
      </w:r>
      <w:r>
        <w:rPr>
          <w:rFonts w:hint="eastAsia"/>
        </w:rPr>
        <w:t>。推进住宅适老化、加装电梯和无障碍改造，每年建设家庭养老照护床位100张，推动与家庭病床“两床联动”，拓展助餐、助浴、助洁、助医等服务。</w:t>
      </w:r>
    </w:p>
    <w:p>
      <w:pPr>
        <w:ind w:firstLine="640"/>
        <w:rPr>
          <w:rFonts w:hint="eastAsia"/>
        </w:rPr>
      </w:pPr>
      <w:bookmarkStart w:id="15" w:name="_Toc244613857"/>
      <w:r>
        <w:rPr>
          <w:rStyle w:val="21"/>
          <w:rFonts w:hint="eastAsia"/>
        </w:rPr>
        <w:t>（六）</w:t>
      </w:r>
      <w:r>
        <w:rPr>
          <w:rStyle w:val="21"/>
        </w:rPr>
        <w:t>发展农村互助养老</w:t>
      </w:r>
      <w:bookmarkEnd w:id="15"/>
      <w:r>
        <w:t>。</w:t>
      </w:r>
      <w:r>
        <w:rPr>
          <w:rFonts w:hint="eastAsia"/>
        </w:rPr>
        <w:t>健全重点老年人探访关爱和应急救援机制，推广“村集体经济支持+志愿服务+市场化运营”模式，合理布局邻里互助养老服务点，设置助老公益性岗位。针对偏远山区，推行流动养老服务车，定期提供助医、助浴、理发等服务。</w:t>
      </w:r>
    </w:p>
    <w:p>
      <w:pPr>
        <w:ind w:firstLine="640"/>
        <w:rPr>
          <w:rFonts w:hint="eastAsia"/>
        </w:rPr>
      </w:pPr>
      <w:bookmarkStart w:id="16" w:name="_Toc244613858"/>
      <w:r>
        <w:rPr>
          <w:rStyle w:val="21"/>
          <w:rFonts w:hint="eastAsia"/>
        </w:rPr>
        <w:t>（七）</w:t>
      </w:r>
      <w:r>
        <w:rPr>
          <w:rStyle w:val="21"/>
        </w:rPr>
        <w:t>深化医养结合</w:t>
      </w:r>
      <w:bookmarkEnd w:id="16"/>
      <w:r>
        <w:t>。按照“城乡均衡、分级布局、精准适配”原则，统筹构建区、街道（乡镇）、社区（村）三级医养服务体系</w:t>
      </w:r>
      <w:r>
        <w:rPr>
          <w:rFonts w:hint="eastAsia"/>
        </w:rPr>
        <w:t>。健全医保衔接、人才保障、运营补贴和监管机制，推广“互联网+”“田园+”“中医药+”服务，</w:t>
      </w:r>
      <w:r>
        <w:t>提升面向失能、高龄和慢性病老年人的照护、康复及转诊服务能力</w:t>
      </w:r>
      <w:r>
        <w:rPr>
          <w:rFonts w:hint="eastAsia"/>
        </w:rPr>
        <w:t>。</w:t>
      </w:r>
    </w:p>
    <w:tbl>
      <w:tblPr>
        <w:tblStyle w:val="14"/>
        <w:tblW w:w="8359"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9" w:type="dxa"/>
            <w:tcBorders>
              <w:top w:val="single" w:color="auto" w:sz="4" w:space="0"/>
              <w:left w:val="single" w:color="auto" w:sz="4" w:space="0"/>
              <w:bottom w:val="single" w:color="auto" w:sz="4" w:space="0"/>
              <w:right w:val="single" w:color="auto" w:sz="4" w:space="0"/>
            </w:tcBorders>
          </w:tcPr>
          <w:p>
            <w:pPr>
              <w:ind w:firstLine="0" w:firstLineChars="0"/>
              <w:jc w:val="center"/>
              <w:rPr>
                <w:rFonts w:hint="eastAsia" w:cs="Times New Roman"/>
                <w:b/>
                <w:color w:val="000000" w:themeColor="text1"/>
                <w:sz w:val="28"/>
                <w:szCs w:val="28"/>
                <w14:textFill>
                  <w14:solidFill>
                    <w14:schemeClr w14:val="tx1"/>
                  </w14:solidFill>
                </w14:textFill>
              </w:rPr>
            </w:pPr>
            <w:r>
              <w:rPr>
                <w:rFonts w:hint="eastAsia" w:cs="Times New Roman"/>
                <w:color w:val="000000" w:themeColor="text1"/>
                <w:szCs w:val="32"/>
                <w14:textFill>
                  <w14:solidFill>
                    <w14:schemeClr w14:val="tx1"/>
                  </w14:solidFill>
                </w14:textFill>
              </w:rPr>
              <w:br w:type="page"/>
            </w:r>
            <w:r>
              <w:rPr>
                <w:rFonts w:hint="eastAsia" w:cs="Times New Roman"/>
                <w:b/>
                <w:color w:val="000000" w:themeColor="text1"/>
                <w:sz w:val="28"/>
                <w:szCs w:val="28"/>
                <w14:textFill>
                  <w14:solidFill>
                    <w14:schemeClr w14:val="tx1"/>
                  </w14:solidFill>
                </w14:textFill>
              </w:rPr>
              <w:t>专栏1：养老服务体系优化工程</w:t>
            </w:r>
          </w:p>
          <w:p>
            <w:pPr>
              <w:ind w:firstLine="562"/>
              <w:rPr>
                <w:rFonts w:hint="eastAsia" w:cs="仿宋_GB2312"/>
                <w:color w:val="000000" w:themeColor="text1"/>
                <w:sz w:val="28"/>
                <w:szCs w:val="28"/>
                <w14:textFill>
                  <w14:solidFill>
                    <w14:schemeClr w14:val="tx1"/>
                  </w14:solidFill>
                </w14:textFill>
              </w:rPr>
            </w:pPr>
            <w:r>
              <w:rPr>
                <w:rFonts w:hint="eastAsia" w:cs="Times New Roman"/>
                <w:b/>
                <w:color w:val="000000" w:themeColor="text1"/>
                <w:sz w:val="28"/>
                <w:szCs w:val="28"/>
                <w14:textFill>
                  <w14:solidFill>
                    <w14:schemeClr w14:val="tx1"/>
                  </w14:solidFill>
                </w14:textFill>
              </w:rPr>
              <w:t>——平谷区居家社区养老服务网络示范项目</w:t>
            </w:r>
            <w:r>
              <w:rPr>
                <w:rFonts w:hint="eastAsia" w:cs="仿宋_GB2312"/>
                <w:b/>
                <w:bCs/>
                <w:color w:val="000000" w:themeColor="text1"/>
                <w:sz w:val="28"/>
                <w:szCs w:val="28"/>
                <w14:textFill>
                  <w14:solidFill>
                    <w14:schemeClr w14:val="tx1"/>
                  </w14:solidFill>
                </w14:textFill>
              </w:rPr>
              <w:t>。</w:t>
            </w:r>
            <w:r>
              <w:rPr>
                <w:rFonts w:hint="eastAsia" w:cs="仿宋_GB2312"/>
                <w:color w:val="000000" w:themeColor="text1"/>
                <w:sz w:val="28"/>
                <w:szCs w:val="28"/>
                <w14:textFill>
                  <w14:solidFill>
                    <w14:schemeClr w14:val="tx1"/>
                  </w14:solidFill>
                </w14:textFill>
              </w:rPr>
              <w:t>发展嵌入式社区养老服务，大力培育专业化、连锁化、品牌化运营的社区养老服务机构，整合周边场地设施等资源，推行</w:t>
            </w:r>
            <w:r>
              <w:rPr>
                <w:rFonts w:hint="eastAsia" w:eastAsia="方正仿宋_GB2312" w:cs="仿宋_GB2312"/>
                <w:color w:val="000000" w:themeColor="text1"/>
                <w:sz w:val="28"/>
                <w:szCs w:val="28"/>
                <w14:textFill>
                  <w14:solidFill>
                    <w14:schemeClr w14:val="tx1"/>
                  </w14:solidFill>
                </w14:textFill>
              </w:rPr>
              <w:t>“</w:t>
            </w:r>
            <w:r>
              <w:rPr>
                <w:rFonts w:hint="eastAsia" w:cs="仿宋_GB2312"/>
                <w:color w:val="000000" w:themeColor="text1"/>
                <w:sz w:val="28"/>
                <w:szCs w:val="28"/>
                <w14:textFill>
                  <w14:solidFill>
                    <w14:schemeClr w14:val="tx1"/>
                  </w14:solidFill>
                </w14:textFill>
              </w:rPr>
              <w:t>社区+物业+养老服务</w:t>
            </w:r>
            <w:r>
              <w:rPr>
                <w:rFonts w:hint="eastAsia" w:eastAsia="方正仿宋_GB2312" w:cs="仿宋_GB2312"/>
                <w:color w:val="000000" w:themeColor="text1"/>
                <w:sz w:val="28"/>
                <w:szCs w:val="28"/>
                <w14:textFill>
                  <w14:solidFill>
                    <w14:schemeClr w14:val="tx1"/>
                  </w14:solidFill>
                </w14:textFill>
              </w:rPr>
              <w:t>”</w:t>
            </w:r>
            <w:r>
              <w:rPr>
                <w:rFonts w:hint="eastAsia" w:cs="仿宋_GB2312"/>
                <w:color w:val="000000" w:themeColor="text1"/>
                <w:sz w:val="28"/>
                <w:szCs w:val="28"/>
                <w14:textFill>
                  <w14:solidFill>
                    <w14:schemeClr w14:val="tx1"/>
                  </w14:solidFill>
                </w14:textFill>
              </w:rPr>
              <w:t>，增强专业照护、日间照料、康复护理、上门服务等能力。将社区养老服务纳入城市一刻钟便民生活圈建设重点内容。</w:t>
            </w:r>
          </w:p>
        </w:tc>
      </w:tr>
    </w:tbl>
    <w:p>
      <w:pPr>
        <w:pStyle w:val="2"/>
        <w:ind w:firstLine="640"/>
        <w:rPr>
          <w:rFonts w:hint="eastAsia"/>
          <w:b/>
        </w:rPr>
      </w:pPr>
      <w:bookmarkStart w:id="17" w:name="_Toc244613859"/>
      <w:bookmarkStart w:id="18" w:name="_Hlk203577319"/>
      <w:r>
        <w:rPr>
          <w:rFonts w:hint="eastAsia"/>
        </w:rPr>
        <w:t>四、</w:t>
      </w:r>
      <w:r>
        <w:t>完善生育养育支持体系，营造儿童友好发展环境</w:t>
      </w:r>
      <w:bookmarkEnd w:id="17"/>
    </w:p>
    <w:p>
      <w:pPr>
        <w:ind w:firstLine="640"/>
        <w:rPr>
          <w:rFonts w:hint="eastAsia"/>
        </w:rPr>
      </w:pPr>
      <w:bookmarkStart w:id="19" w:name="_Toc244613860"/>
      <w:r>
        <w:rPr>
          <w:rStyle w:val="21"/>
          <w:rFonts w:hint="eastAsia"/>
        </w:rPr>
        <w:t>（八）</w:t>
      </w:r>
      <w:r>
        <w:rPr>
          <w:rStyle w:val="21"/>
        </w:rPr>
        <w:t>完善生育支持政策</w:t>
      </w:r>
      <w:bookmarkEnd w:id="19"/>
      <w:r>
        <w:t>。</w:t>
      </w:r>
      <w:r>
        <w:rPr>
          <w:rFonts w:hint="eastAsia"/>
        </w:rPr>
        <w:t>完善生育支持政策体系，增强生育保险保障功能，落实生育休假、保险、补贴等制度，深入实施母婴安全和出生缺陷防治能力提升行动，常态化开展早孕、孕产和流产关爱服务，保障育龄家庭合法权益，降低生育、养育成本，营造生育友好社会环境。</w:t>
      </w:r>
    </w:p>
    <w:p>
      <w:pPr>
        <w:ind w:firstLine="640"/>
        <w:rPr>
          <w:rFonts w:hint="eastAsia"/>
        </w:rPr>
      </w:pPr>
      <w:bookmarkStart w:id="20" w:name="_Toc244613861"/>
      <w:r>
        <w:rPr>
          <w:rStyle w:val="21"/>
          <w:rFonts w:hint="eastAsia"/>
        </w:rPr>
        <w:t>（九）</w:t>
      </w:r>
      <w:r>
        <w:rPr>
          <w:rStyle w:val="21"/>
        </w:rPr>
        <w:t>完善普惠多元托育服务体系</w:t>
      </w:r>
      <w:bookmarkEnd w:id="20"/>
      <w:r>
        <w:t>。健全</w:t>
      </w:r>
      <w:r>
        <w:rPr>
          <w:rFonts w:hint="eastAsia"/>
        </w:rPr>
        <w:t>区、街道（乡镇）、社区（村）</w:t>
      </w:r>
      <w:r>
        <w:t>三级托育服务网络，建设区级托育综合服务中心，强化示范服务、行业指导、人才培训、家庭育儿指导和质量监管等功能；支持街道（乡镇）建设普惠托育服务站，结合人口分布和实际需求，在社区、村庄、产业园区及人才公寓周边合理布局托育服务点。拓展托育服务供给渠道，支持有条件的幼儿园开设托班、推进托幼一体化发展，鼓励社区、机关企事业单位和社会机构提供全日托、半日托、临时托、计时托等多样化服务，形成布局合理、主体多元、形式灵活、方便可及的普惠托育服务体系。</w:t>
      </w:r>
    </w:p>
    <w:p>
      <w:pPr>
        <w:ind w:firstLine="640"/>
        <w:rPr>
          <w:rFonts w:hint="eastAsia"/>
        </w:rPr>
      </w:pPr>
      <w:bookmarkStart w:id="21" w:name="_Toc244613862"/>
      <w:r>
        <w:rPr>
          <w:rStyle w:val="21"/>
          <w:rFonts w:hint="eastAsia"/>
        </w:rPr>
        <w:t>（十）</w:t>
      </w:r>
      <w:r>
        <w:rPr>
          <w:rStyle w:val="21"/>
        </w:rPr>
        <w:t>健全儿童健康成长关爱体系</w:t>
      </w:r>
      <w:bookmarkEnd w:id="21"/>
      <w:r>
        <w:t>。加强婴幼儿健康管理、疾病预防、营养指导、早期发展和科学育儿服务。完善困境儿童、流动儿童、农村留守儿童和事实无人抚养儿童关爱机制</w:t>
      </w:r>
      <w:r>
        <w:rPr>
          <w:rFonts w:hint="eastAsia"/>
        </w:rPr>
        <w:t>。推进儿童</w:t>
      </w:r>
      <w:r>
        <w:t>友好社区和公共空间建设，在公园、社区、文化场馆等场所完善儿童活动设施，结合平谷农业资源发展自然教育、农耕体验和科普认知活动。</w:t>
      </w:r>
    </w:p>
    <w:bookmarkEnd w:id="18"/>
    <w:p>
      <w:pPr>
        <w:pStyle w:val="2"/>
        <w:ind w:firstLine="640"/>
        <w:rPr>
          <w:rFonts w:hint="eastAsia"/>
          <w:b/>
        </w:rPr>
      </w:pPr>
      <w:bookmarkStart w:id="22" w:name="_Toc244613863"/>
      <w:r>
        <w:rPr>
          <w:rFonts w:hint="eastAsia"/>
        </w:rPr>
        <w:t>五、</w:t>
      </w:r>
      <w:r>
        <w:t>推进教育优质均衡发展，办好人民满意的教育</w:t>
      </w:r>
      <w:bookmarkEnd w:id="22"/>
    </w:p>
    <w:p>
      <w:pPr>
        <w:ind w:firstLine="640"/>
        <w:rPr>
          <w:rFonts w:hint="eastAsia"/>
        </w:rPr>
      </w:pPr>
      <w:bookmarkStart w:id="23" w:name="_Toc244613864"/>
      <w:r>
        <w:rPr>
          <w:rStyle w:val="21"/>
          <w:rFonts w:hint="eastAsia"/>
        </w:rPr>
        <w:t>（十一）</w:t>
      </w:r>
      <w:r>
        <w:rPr>
          <w:rStyle w:val="21"/>
        </w:rPr>
        <w:t>提升托幼教育普惠水平</w:t>
      </w:r>
      <w:bookmarkEnd w:id="23"/>
      <w:r>
        <w:t>。</w:t>
      </w:r>
      <w:r>
        <w:rPr>
          <w:rFonts w:hint="eastAsia"/>
        </w:rPr>
        <w:t>推进</w:t>
      </w:r>
      <w:r>
        <w:t>公办幼儿园扩容提质，重点向薄弱地区倾斜，盘活闲置公共设施改建幼儿园，落实住宅小区配套园同步建设和规范移交。深化五大学区协同，加强教师培训和园际交流，提升办园质量</w:t>
      </w:r>
      <w:r>
        <w:rPr>
          <w:rFonts w:hint="eastAsia"/>
        </w:rPr>
        <w:t>。</w:t>
      </w:r>
    </w:p>
    <w:p>
      <w:pPr>
        <w:ind w:firstLine="640"/>
        <w:rPr>
          <w:rFonts w:hint="eastAsia"/>
        </w:rPr>
      </w:pPr>
      <w:bookmarkStart w:id="24" w:name="_Toc244613865"/>
      <w:r>
        <w:rPr>
          <w:rStyle w:val="21"/>
          <w:rFonts w:hint="eastAsia"/>
        </w:rPr>
        <w:t>（十二）</w:t>
      </w:r>
      <w:r>
        <w:rPr>
          <w:rStyle w:val="21"/>
        </w:rPr>
        <w:t>促进义务教育优质均衡</w:t>
      </w:r>
      <w:bookmarkEnd w:id="24"/>
      <w:r>
        <w:t>。</w:t>
      </w:r>
      <w:r>
        <w:rPr>
          <w:rFonts w:hint="eastAsia"/>
        </w:rPr>
        <w:t>根据人口流动和学位需求，重点加强马坊镇、兴谷街道、峪口镇等区域资源配置，推进马坊南区小学和国农港学校建设。</w:t>
      </w:r>
      <w:r>
        <w:t>深化集团化办学，推动师资、课程和管理共享，实现集团化办学全覆盖</w:t>
      </w:r>
      <w:r>
        <w:rPr>
          <w:rFonts w:hint="eastAsia"/>
        </w:rPr>
        <w:t>，推进小初高贯通培养，构建以劳动教育为引领的社会实践课程体系。</w:t>
      </w:r>
    </w:p>
    <w:p>
      <w:pPr>
        <w:ind w:firstLine="640"/>
        <w:rPr>
          <w:rFonts w:hint="eastAsia"/>
        </w:rPr>
      </w:pPr>
      <w:bookmarkStart w:id="25" w:name="_Toc244613866"/>
      <w:r>
        <w:rPr>
          <w:rStyle w:val="21"/>
          <w:rFonts w:hint="eastAsia"/>
        </w:rPr>
        <w:t>（十三）</w:t>
      </w:r>
      <w:r>
        <w:rPr>
          <w:rStyle w:val="21"/>
        </w:rPr>
        <w:t>推动</w:t>
      </w:r>
      <w:r>
        <w:rPr>
          <w:rStyle w:val="21"/>
          <w:rFonts w:hint="eastAsia"/>
        </w:rPr>
        <w:t>学校</w:t>
      </w:r>
      <w:r>
        <w:rPr>
          <w:rStyle w:val="21"/>
        </w:rPr>
        <w:t>特色发展</w:t>
      </w:r>
      <w:bookmarkEnd w:id="25"/>
      <w:r>
        <w:t>。</w:t>
      </w:r>
      <w:r>
        <w:rPr>
          <w:rFonts w:hint="eastAsia"/>
        </w:rPr>
        <w:t>依托农业中关村，与科研机构、龙头企业共建实践基地，开发智慧农业、分子育种等课程；利用金海湖、黄松峪等资源发展生态研学，形成科技创新与绿色生态相融合的特色课程体系。</w:t>
      </w:r>
    </w:p>
    <w:p>
      <w:pPr>
        <w:ind w:firstLine="640"/>
        <w:rPr>
          <w:rFonts w:hint="eastAsia"/>
        </w:rPr>
      </w:pPr>
      <w:bookmarkStart w:id="26" w:name="_Toc244613867"/>
      <w:r>
        <w:rPr>
          <w:rStyle w:val="21"/>
          <w:rFonts w:hint="eastAsia"/>
        </w:rPr>
        <w:t>（十四）</w:t>
      </w:r>
      <w:r>
        <w:rPr>
          <w:rStyle w:val="21"/>
        </w:rPr>
        <w:t>深化职业教育产教融合</w:t>
      </w:r>
      <w:bookmarkEnd w:id="26"/>
      <w:r>
        <w:t>。</w:t>
      </w:r>
      <w:r>
        <w:rPr>
          <w:rFonts w:hint="eastAsia"/>
        </w:rPr>
        <w:t>围绕现代农业、农产品加工、乡村旅游和冷链物流等产业设置微专业，</w:t>
      </w:r>
      <w:r>
        <w:t>动态优化专业设置和课程体系</w:t>
      </w:r>
      <w:r>
        <w:rPr>
          <w:rFonts w:hint="eastAsia"/>
        </w:rPr>
        <w:t>。</w:t>
      </w:r>
      <w:r>
        <w:t>推进夏各庄镇人才实训示范基地建设，共建校外实训基地，实施企业导师进校园、教师入企业实践和</w:t>
      </w:r>
      <w:r>
        <w:rPr>
          <w:rFonts w:hint="eastAsia"/>
        </w:rPr>
        <w:t>“</w:t>
      </w:r>
      <w:r>
        <w:t>双师型</w:t>
      </w:r>
      <w:r>
        <w:rPr>
          <w:rFonts w:hint="eastAsia"/>
        </w:rPr>
        <w:t>”</w:t>
      </w:r>
      <w:r>
        <w:t>教师培养，加强与高职院校合作</w:t>
      </w:r>
      <w:r>
        <w:rPr>
          <w:rFonts w:hint="eastAsia"/>
        </w:rPr>
        <w:t>。</w:t>
      </w:r>
    </w:p>
    <w:tbl>
      <w:tblPr>
        <w:tblStyle w:val="14"/>
        <w:tblW w:w="8359"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9" w:type="dxa"/>
            <w:tcBorders>
              <w:top w:val="single" w:color="auto" w:sz="4" w:space="0"/>
              <w:left w:val="single" w:color="auto" w:sz="4" w:space="0"/>
              <w:bottom w:val="single" w:color="auto" w:sz="4" w:space="0"/>
              <w:right w:val="single" w:color="auto" w:sz="4" w:space="0"/>
            </w:tcBorders>
          </w:tcPr>
          <w:p>
            <w:pPr>
              <w:ind w:firstLine="0" w:firstLineChars="0"/>
              <w:jc w:val="center"/>
              <w:rPr>
                <w:rFonts w:hint="eastAsia" w:cs="Times New Roman"/>
                <w:b/>
                <w:color w:val="000000" w:themeColor="text1"/>
                <w:sz w:val="28"/>
                <w:szCs w:val="28"/>
                <w14:textFill>
                  <w14:solidFill>
                    <w14:schemeClr w14:val="tx1"/>
                  </w14:solidFill>
                </w14:textFill>
              </w:rPr>
            </w:pPr>
            <w:r>
              <w:rPr>
                <w:rFonts w:hint="eastAsia" w:cs="Times New Roman"/>
                <w:color w:val="000000" w:themeColor="text1"/>
                <w:szCs w:val="32"/>
                <w14:textFill>
                  <w14:solidFill>
                    <w14:schemeClr w14:val="tx1"/>
                  </w14:solidFill>
                </w14:textFill>
              </w:rPr>
              <w:br w:type="page"/>
            </w:r>
            <w:r>
              <w:rPr>
                <w:rFonts w:hint="eastAsia" w:cs="Times New Roman"/>
                <w:b/>
                <w:color w:val="000000" w:themeColor="text1"/>
                <w:sz w:val="28"/>
                <w:szCs w:val="28"/>
                <w14:textFill>
                  <w14:solidFill>
                    <w14:schemeClr w14:val="tx1"/>
                  </w14:solidFill>
                </w14:textFill>
              </w:rPr>
              <w:t>专栏2：教育扩优提质推动工程</w:t>
            </w:r>
          </w:p>
          <w:p>
            <w:pPr>
              <w:ind w:firstLine="562"/>
              <w:rPr>
                <w:rFonts w:hint="eastAsia" w:cs="仿宋_GB2312"/>
                <w:color w:val="000000" w:themeColor="text1"/>
                <w:sz w:val="28"/>
                <w:szCs w:val="28"/>
                <w14:textFill>
                  <w14:solidFill>
                    <w14:schemeClr w14:val="tx1"/>
                  </w14:solidFill>
                </w14:textFill>
              </w:rPr>
            </w:pPr>
            <w:r>
              <w:rPr>
                <w:rFonts w:hint="eastAsia" w:cs="仿宋_GB2312"/>
                <w:b/>
                <w:bCs/>
                <w:color w:val="000000" w:themeColor="text1"/>
                <w:sz w:val="28"/>
                <w:szCs w:val="28"/>
                <w14:textFill>
                  <w14:solidFill>
                    <w14:schemeClr w14:val="tx1"/>
                  </w14:solidFill>
                </w14:textFill>
              </w:rPr>
              <w:t>——</w:t>
            </w:r>
            <w:r>
              <w:rPr>
                <w:rFonts w:cs="仿宋_GB2312"/>
                <w:b/>
                <w:bCs/>
                <w:color w:val="000000" w:themeColor="text1"/>
                <w:sz w:val="28"/>
                <w:szCs w:val="28"/>
                <w14:textFill>
                  <w14:solidFill>
                    <w14:schemeClr w14:val="tx1"/>
                  </w14:solidFill>
                </w14:textFill>
              </w:rPr>
              <w:t>北京市平谷区国农港学校新建工程。</w:t>
            </w:r>
            <w:r>
              <w:rPr>
                <w:rFonts w:cs="仿宋_GB2312"/>
                <w:color w:val="000000" w:themeColor="text1"/>
                <w:sz w:val="28"/>
                <w:szCs w:val="28"/>
                <w14:textFill>
                  <w14:solidFill>
                    <w14:schemeClr w14:val="tx1"/>
                  </w14:solidFill>
                </w14:textFill>
              </w:rPr>
              <w:t>国农港学校是一所十二年制一体化高水平寄宿制学校，由北京育英学校承办，分为义教部与高中部两大校区。义教部校区毗邻国家农业科技创新港，总建筑面积3.26万平方米，拟新建小学12个班、初中30个班，新增学位1680个；高中部校区位于平谷新城06街区，总建筑面积66172平方米，拟新建高中54个班，新增学位2430个。</w:t>
            </w:r>
          </w:p>
        </w:tc>
      </w:tr>
    </w:tbl>
    <w:p>
      <w:pPr>
        <w:pStyle w:val="2"/>
        <w:ind w:firstLine="640"/>
        <w:rPr>
          <w:rFonts w:hint="eastAsia"/>
          <w:b/>
        </w:rPr>
      </w:pPr>
      <w:bookmarkStart w:id="27" w:name="_Toc244613868"/>
      <w:bookmarkStart w:id="28" w:name="OLE_LINK9"/>
      <w:r>
        <w:rPr>
          <w:rFonts w:hint="eastAsia"/>
        </w:rPr>
        <w:t>六、</w:t>
      </w:r>
      <w:r>
        <w:t>完善整合型医疗卫生体系，增强全周期健康保障力</w:t>
      </w:r>
      <w:bookmarkEnd w:id="27"/>
    </w:p>
    <w:bookmarkEnd w:id="28"/>
    <w:p>
      <w:pPr>
        <w:ind w:firstLine="640"/>
        <w:rPr>
          <w:rFonts w:hint="eastAsia"/>
        </w:rPr>
      </w:pPr>
      <w:bookmarkStart w:id="29" w:name="_Toc244613869"/>
      <w:r>
        <w:rPr>
          <w:rStyle w:val="21"/>
          <w:rFonts w:hint="eastAsia"/>
        </w:rPr>
        <w:t>（十五）</w:t>
      </w:r>
      <w:r>
        <w:rPr>
          <w:rStyle w:val="21"/>
        </w:rPr>
        <w:t>推动优质医疗资源扩容下沉</w:t>
      </w:r>
      <w:bookmarkEnd w:id="29"/>
      <w:r>
        <w:t>。</w:t>
      </w:r>
      <w:r>
        <w:rPr>
          <w:rFonts w:hint="eastAsia"/>
        </w:rPr>
        <w:t>全面推进紧密型城市医疗集团建设，构建区级医院牵头、乡镇社区卫生服务中心协同的管理模式。深化与中国中医科学院、望京医院合作，推动科研、教学和医疗资源开放共享，提升中医药服务能力。结合乡镇需求建设特色专科，在金海湖等地区发展慢性病康复，推动专家、技术和设备向基层倾斜。</w:t>
      </w:r>
    </w:p>
    <w:p>
      <w:pPr>
        <w:ind w:firstLine="640"/>
        <w:rPr>
          <w:rFonts w:hint="eastAsia"/>
        </w:rPr>
      </w:pPr>
      <w:bookmarkStart w:id="30" w:name="_Toc244613870"/>
      <w:r>
        <w:rPr>
          <w:rStyle w:val="21"/>
          <w:rFonts w:hint="eastAsia"/>
        </w:rPr>
        <w:t>（十六）</w:t>
      </w:r>
      <w:r>
        <w:rPr>
          <w:rStyle w:val="21"/>
        </w:rPr>
        <w:t>强化医疗设施和智慧服务支撑</w:t>
      </w:r>
      <w:bookmarkEnd w:id="30"/>
      <w:r>
        <w:t>。</w:t>
      </w:r>
      <w:r>
        <w:rPr>
          <w:rFonts w:hint="eastAsia"/>
        </w:rPr>
        <w:t>统筹分级诊疗与“平急两用”体系，推进平谷</w:t>
      </w:r>
      <w:r>
        <w:t>区疾病预防控制中心标准化改造</w:t>
      </w:r>
      <w:r>
        <w:rPr>
          <w:rFonts w:hint="eastAsia"/>
        </w:rPr>
        <w:t>、120急救中心建设，为四家区属医院配置医疗设备，完善乡镇、村医疗应急服务点布局。构建区、街道（乡镇）、社区（村）三级远程医疗网络，推广“基层检查、上级诊断”模式，完善远程医疗质量控制机制，促进优质资源跨层级共享。</w:t>
      </w:r>
    </w:p>
    <w:p>
      <w:pPr>
        <w:ind w:firstLine="640"/>
        <w:rPr>
          <w:rFonts w:hint="eastAsia"/>
        </w:rPr>
      </w:pPr>
      <w:bookmarkStart w:id="31" w:name="_Toc244613871"/>
      <w:r>
        <w:rPr>
          <w:rStyle w:val="21"/>
          <w:rFonts w:hint="eastAsia"/>
        </w:rPr>
        <w:t>（十七）</w:t>
      </w:r>
      <w:r>
        <w:rPr>
          <w:rStyle w:val="21"/>
        </w:rPr>
        <w:t>全力打造农医联动标杆</w:t>
      </w:r>
      <w:bookmarkEnd w:id="31"/>
      <w:r>
        <w:t>。</w:t>
      </w:r>
      <w:r>
        <w:rPr>
          <w:rFonts w:hint="eastAsia"/>
        </w:rPr>
        <w:t>依托“一港一园一城”布局，推进国家农业科技创新港、农业新质生产力产业园和农医联动型未来食品中试基地建设，聚焦未来食品、药食同源和主动健康，构建“田间—厨房—临床”全产业链。</w:t>
      </w:r>
    </w:p>
    <w:p>
      <w:pPr>
        <w:ind w:firstLine="640"/>
        <w:rPr>
          <w:rFonts w:hint="eastAsia"/>
        </w:rPr>
      </w:pPr>
      <w:bookmarkStart w:id="32" w:name="_Toc244613872"/>
      <w:r>
        <w:rPr>
          <w:rStyle w:val="21"/>
          <w:rFonts w:hint="eastAsia"/>
        </w:rPr>
        <w:t>（十八）</w:t>
      </w:r>
      <w:r>
        <w:rPr>
          <w:rStyle w:val="21"/>
        </w:rPr>
        <w:t>构建大健康体系</w:t>
      </w:r>
      <w:bookmarkEnd w:id="32"/>
      <w:r>
        <w:t>。</w:t>
      </w:r>
      <w:r>
        <w:rPr>
          <w:rFonts w:hint="eastAsia"/>
        </w:rPr>
        <w:t>深化医疗、医保、医药协同改革，推动医、养、食、药、农、研、体融合，完善“小病在社区、大病不出区”的分级医疗体系，实现医疗资源统筹配置和高效协同。</w:t>
      </w:r>
    </w:p>
    <w:tbl>
      <w:tblPr>
        <w:tblStyle w:val="14"/>
        <w:tblW w:w="8359"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9" w:type="dxa"/>
            <w:tcBorders>
              <w:top w:val="single" w:color="auto" w:sz="4" w:space="0"/>
              <w:left w:val="single" w:color="auto" w:sz="4" w:space="0"/>
              <w:bottom w:val="single" w:color="auto" w:sz="4" w:space="0"/>
              <w:right w:val="single" w:color="auto" w:sz="4" w:space="0"/>
            </w:tcBorders>
          </w:tcPr>
          <w:p>
            <w:pPr>
              <w:ind w:firstLine="0" w:firstLineChars="0"/>
              <w:jc w:val="center"/>
              <w:rPr>
                <w:rFonts w:hint="eastAsia" w:cs="Times New Roman"/>
                <w:b/>
                <w:color w:val="000000" w:themeColor="text1"/>
                <w:sz w:val="28"/>
                <w:szCs w:val="28"/>
                <w14:textFill>
                  <w14:solidFill>
                    <w14:schemeClr w14:val="tx1"/>
                  </w14:solidFill>
                </w14:textFill>
              </w:rPr>
            </w:pPr>
            <w:bookmarkStart w:id="33" w:name="_Hlk206491498"/>
            <w:r>
              <w:rPr>
                <w:rFonts w:hint="eastAsia" w:cs="Times New Roman"/>
                <w:color w:val="000000" w:themeColor="text1"/>
                <w:szCs w:val="32"/>
                <w14:textFill>
                  <w14:solidFill>
                    <w14:schemeClr w14:val="tx1"/>
                  </w14:solidFill>
                </w14:textFill>
              </w:rPr>
              <w:br w:type="page"/>
            </w:r>
            <w:r>
              <w:rPr>
                <w:rFonts w:hint="eastAsia" w:cs="Times New Roman"/>
                <w:b/>
                <w:color w:val="000000" w:themeColor="text1"/>
                <w:sz w:val="28"/>
                <w:szCs w:val="28"/>
                <w14:textFill>
                  <w14:solidFill>
                    <w14:schemeClr w14:val="tx1"/>
                  </w14:solidFill>
                </w14:textFill>
              </w:rPr>
              <w:t>专栏3：优质医疗资源共享推进工程</w:t>
            </w:r>
          </w:p>
          <w:p>
            <w:pPr>
              <w:ind w:firstLine="562"/>
              <w:rPr>
                <w:rFonts w:hint="eastAsia" w:cs="仿宋_GB2312"/>
                <w:bCs/>
                <w:color w:val="000000" w:themeColor="text1"/>
                <w:sz w:val="28"/>
                <w:szCs w:val="28"/>
                <w14:textFill>
                  <w14:solidFill>
                    <w14:schemeClr w14:val="tx1"/>
                  </w14:solidFill>
                </w14:textFill>
              </w:rPr>
            </w:pPr>
            <w:r>
              <w:rPr>
                <w:rFonts w:hint="eastAsia" w:cs="仿宋_GB2312"/>
                <w:b/>
                <w:color w:val="000000" w:themeColor="text1"/>
                <w:sz w:val="28"/>
                <w:szCs w:val="28"/>
                <w14:textFill>
                  <w14:solidFill>
                    <w14:schemeClr w14:val="tx1"/>
                  </w14:solidFill>
                </w14:textFill>
              </w:rPr>
              <w:t>——</w:t>
            </w:r>
            <w:r>
              <w:rPr>
                <w:rFonts w:cs="仿宋_GB2312"/>
                <w:b/>
                <w:color w:val="000000" w:themeColor="text1"/>
                <w:sz w:val="28"/>
                <w:szCs w:val="28"/>
                <w14:textFill>
                  <w14:solidFill>
                    <w14:schemeClr w14:val="tx1"/>
                  </w14:solidFill>
                </w14:textFill>
              </w:rPr>
              <w:t>平谷区四家医院硬件设施设备更新项目</w:t>
            </w:r>
            <w:r>
              <w:rPr>
                <w:rFonts w:hint="eastAsia" w:cs="仿宋_GB2312"/>
                <w:b/>
                <w:color w:val="000000" w:themeColor="text1"/>
                <w:sz w:val="28"/>
                <w:szCs w:val="28"/>
                <w14:textFill>
                  <w14:solidFill>
                    <w14:schemeClr w14:val="tx1"/>
                  </w14:solidFill>
                </w14:textFill>
              </w:rPr>
              <w:t>。</w:t>
            </w:r>
            <w:r>
              <w:rPr>
                <w:rFonts w:cs="仿宋_GB2312"/>
                <w:bCs/>
                <w:color w:val="000000" w:themeColor="text1"/>
                <w:sz w:val="28"/>
                <w:szCs w:val="28"/>
                <w14:textFill>
                  <w14:solidFill>
                    <w14:schemeClr w14:val="tx1"/>
                  </w14:solidFill>
                </w14:textFill>
              </w:rPr>
              <w:t>共涉及区中医医院、区医院、区妇幼保健院、区精神病医院四家区属医院硬件设施设备更新</w:t>
            </w:r>
            <w:r>
              <w:rPr>
                <w:rFonts w:hint="eastAsia" w:cs="仿宋_GB2312"/>
                <w:bCs/>
                <w:color w:val="000000" w:themeColor="text1"/>
                <w:sz w:val="28"/>
                <w:szCs w:val="28"/>
                <w14:textFill>
                  <w14:solidFill>
                    <w14:schemeClr w14:val="tx1"/>
                  </w14:solidFill>
                </w14:textFill>
              </w:rPr>
              <w:t>。</w:t>
            </w:r>
          </w:p>
        </w:tc>
      </w:tr>
      <w:bookmarkEnd w:id="33"/>
    </w:tbl>
    <w:p>
      <w:pPr>
        <w:pStyle w:val="2"/>
        <w:ind w:firstLine="640"/>
        <w:rPr>
          <w:rFonts w:hint="eastAsia"/>
          <w:b/>
        </w:rPr>
      </w:pPr>
      <w:bookmarkStart w:id="34" w:name="_Toc244613873"/>
      <w:r>
        <w:rPr>
          <w:rFonts w:hint="eastAsia"/>
        </w:rPr>
        <w:t>七、</w:t>
      </w:r>
      <w:r>
        <w:t>健全公共文体</w:t>
      </w:r>
      <w:r>
        <w:rPr>
          <w:rFonts w:hint="eastAsia"/>
        </w:rPr>
        <w:t>服务</w:t>
      </w:r>
      <w:r>
        <w:t>体系，丰富群众精神文化生活</w:t>
      </w:r>
      <w:bookmarkEnd w:id="34"/>
    </w:p>
    <w:p>
      <w:pPr>
        <w:ind w:firstLine="640"/>
        <w:rPr>
          <w:rFonts w:hint="eastAsia"/>
        </w:rPr>
      </w:pPr>
      <w:bookmarkStart w:id="35" w:name="_Toc244613874"/>
      <w:r>
        <w:rPr>
          <w:rStyle w:val="21"/>
          <w:rFonts w:hint="eastAsia"/>
        </w:rPr>
        <w:t>（十九）</w:t>
      </w:r>
      <w:r>
        <w:rPr>
          <w:rStyle w:val="21"/>
        </w:rPr>
        <w:t>完善城乡文化设施网络</w:t>
      </w:r>
      <w:bookmarkEnd w:id="35"/>
      <w:r>
        <w:t>。</w:t>
      </w:r>
      <w:r>
        <w:rPr>
          <w:rFonts w:hint="eastAsia"/>
        </w:rPr>
        <w:t>围绕“15分钟社区服务圈”，升级村级文化活动室，嵌入数字阅读、非遗展示等功能，打造“一村一品”文化阵地。完善区文化馆、图书馆总分馆体系，推动图书借阅、艺术培训等服务向基层延伸。盘活闲置厂房、古民居等空间，建设乡村文化会客厅、文创工作室，引入书店、展览和文化市集等业态，提升公共文化空间综合效益。</w:t>
      </w:r>
    </w:p>
    <w:p>
      <w:pPr>
        <w:ind w:firstLine="640"/>
        <w:rPr>
          <w:rFonts w:hint="eastAsia"/>
        </w:rPr>
      </w:pPr>
      <w:bookmarkStart w:id="36" w:name="_Toc244613875"/>
      <w:r>
        <w:rPr>
          <w:rStyle w:val="21"/>
          <w:rFonts w:hint="eastAsia"/>
        </w:rPr>
        <w:t>（二十）</w:t>
      </w:r>
      <w:r>
        <w:rPr>
          <w:rStyle w:val="21"/>
        </w:rPr>
        <w:t>打造特色文化品牌</w:t>
      </w:r>
      <w:bookmarkEnd w:id="36"/>
      <w:r>
        <w:t>。</w:t>
      </w:r>
      <w:r>
        <w:rPr>
          <w:rFonts w:hint="eastAsia"/>
        </w:rPr>
        <w:t>依托长城文化、农业中关村和特色农产品资源，建设长城文化数字展示空间，开发长城、大桃、核桃等主题文创产品。加强桃木雕刻、剪纸等非遗项目保护传承，建设非遗工坊，完善传承人培养机制，推动非遗展示、技艺体验与景区旅游、乡村旅游深度融合。</w:t>
      </w:r>
    </w:p>
    <w:p>
      <w:pPr>
        <w:ind w:firstLine="640"/>
        <w:rPr>
          <w:rFonts w:hint="eastAsia"/>
        </w:rPr>
      </w:pPr>
      <w:bookmarkStart w:id="37" w:name="_Toc244613876"/>
      <w:r>
        <w:rPr>
          <w:rStyle w:val="21"/>
          <w:rFonts w:hint="eastAsia"/>
        </w:rPr>
        <w:t>（二十一）</w:t>
      </w:r>
      <w:r>
        <w:rPr>
          <w:rStyle w:val="21"/>
        </w:rPr>
        <w:t>完善户外运动设施</w:t>
      </w:r>
      <w:bookmarkEnd w:id="37"/>
      <w:r>
        <w:t>。推进金海湖高质量户外运动目的地建设，打造水上运动特色品牌。完善驿站、休息点、标志标识及应急救援设施。深化“15分钟健身圈”和“无体育不公园”建设，利用公园、广场和社区边角空间增设健身设施</w:t>
      </w:r>
      <w:r>
        <w:rPr>
          <w:rFonts w:hint="eastAsia"/>
        </w:rPr>
        <w:t>。</w:t>
      </w:r>
    </w:p>
    <w:p>
      <w:pPr>
        <w:ind w:firstLine="640"/>
        <w:rPr>
          <w:rFonts w:hint="eastAsia"/>
        </w:rPr>
      </w:pPr>
      <w:bookmarkStart w:id="38" w:name="_Toc244613877"/>
      <w:r>
        <w:rPr>
          <w:rStyle w:val="21"/>
          <w:rFonts w:hint="eastAsia"/>
        </w:rPr>
        <w:t>（二十二）</w:t>
      </w:r>
      <w:r>
        <w:rPr>
          <w:rStyle w:val="21"/>
        </w:rPr>
        <w:t>培育特色赛事集群</w:t>
      </w:r>
      <w:bookmarkEnd w:id="38"/>
      <w:r>
        <w:t>。</w:t>
      </w:r>
      <w:r>
        <w:rPr>
          <w:rFonts w:hint="eastAsia"/>
        </w:rPr>
        <w:t>举办全民健身体育节，持续开展徒步、骑行等群众赛事，培育桃花半程马拉松、铁人三项、长城越野、冰雪嘉年华等四季赛事品牌，开发农耕技能赛、采摘接力赛等农体融合项目。</w:t>
      </w:r>
    </w:p>
    <w:tbl>
      <w:tblPr>
        <w:tblStyle w:val="14"/>
        <w:tblW w:w="8359"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9" w:type="dxa"/>
            <w:tcBorders>
              <w:top w:val="single" w:color="auto" w:sz="4" w:space="0"/>
              <w:left w:val="single" w:color="auto" w:sz="4" w:space="0"/>
              <w:bottom w:val="single" w:color="auto" w:sz="4" w:space="0"/>
              <w:right w:val="single" w:color="auto" w:sz="4" w:space="0"/>
            </w:tcBorders>
          </w:tcPr>
          <w:p>
            <w:pPr>
              <w:ind w:firstLine="0" w:firstLineChars="0"/>
              <w:jc w:val="center"/>
              <w:rPr>
                <w:rFonts w:hint="eastAsia" w:cs="Times New Roman"/>
                <w:b/>
                <w:color w:val="000000" w:themeColor="text1"/>
                <w:sz w:val="28"/>
                <w:szCs w:val="28"/>
                <w14:textFill>
                  <w14:solidFill>
                    <w14:schemeClr w14:val="tx1"/>
                  </w14:solidFill>
                </w14:textFill>
              </w:rPr>
            </w:pPr>
            <w:r>
              <w:rPr>
                <w:rFonts w:hint="eastAsia" w:cs="Times New Roman"/>
                <w:color w:val="000000" w:themeColor="text1"/>
                <w:szCs w:val="32"/>
                <w14:textFill>
                  <w14:solidFill>
                    <w14:schemeClr w14:val="tx1"/>
                  </w14:solidFill>
                </w14:textFill>
              </w:rPr>
              <w:br w:type="page"/>
            </w:r>
            <w:r>
              <w:rPr>
                <w:rFonts w:hint="eastAsia" w:cs="Times New Roman"/>
                <w:b/>
                <w:color w:val="000000" w:themeColor="text1"/>
                <w:sz w:val="28"/>
                <w:szCs w:val="28"/>
                <w14:textFill>
                  <w14:solidFill>
                    <w14:schemeClr w14:val="tx1"/>
                  </w14:solidFill>
                </w14:textFill>
              </w:rPr>
              <w:t>专栏4：文化体育服务能力提高工程</w:t>
            </w:r>
          </w:p>
          <w:p>
            <w:pPr>
              <w:ind w:firstLine="562"/>
              <w:rPr>
                <w:rFonts w:hint="eastAsia" w:cs="仿宋_GB2312"/>
                <w:color w:val="000000" w:themeColor="text1"/>
                <w:sz w:val="28"/>
                <w:szCs w:val="28"/>
                <w14:textFill>
                  <w14:solidFill>
                    <w14:schemeClr w14:val="tx1"/>
                  </w14:solidFill>
                </w14:textFill>
              </w:rPr>
            </w:pPr>
            <w:r>
              <w:rPr>
                <w:rFonts w:hint="eastAsia" w:cs="Times New Roman"/>
                <w:b/>
                <w:color w:val="000000" w:themeColor="text1"/>
                <w:sz w:val="28"/>
                <w:szCs w:val="28"/>
                <w14:textFill>
                  <w14:solidFill>
                    <w14:schemeClr w14:val="tx1"/>
                  </w14:solidFill>
                </w14:textFill>
              </w:rPr>
              <w:t>——金海湖高质量户外运动目的地项目。</w:t>
            </w:r>
            <w:r>
              <w:rPr>
                <w:rFonts w:hint="eastAsia" w:cs="仿宋_GB2312"/>
                <w:color w:val="000000" w:themeColor="text1"/>
                <w:sz w:val="28"/>
                <w:szCs w:val="28"/>
                <w14:textFill>
                  <w14:solidFill>
                    <w14:schemeClr w14:val="tx1"/>
                  </w14:solidFill>
                </w14:textFill>
              </w:rPr>
              <w:t>包括</w:t>
            </w:r>
            <w:r>
              <w:rPr>
                <w:rFonts w:cs="仿宋_GB2312"/>
                <w:color w:val="000000" w:themeColor="text1"/>
                <w:sz w:val="28"/>
                <w:szCs w:val="28"/>
                <w14:textFill>
                  <w14:solidFill>
                    <w14:schemeClr w14:val="tx1"/>
                  </w14:solidFill>
                </w14:textFill>
              </w:rPr>
              <w:t>金海湖及周边沿线水上、越野、慢行、铁三配套设施提升建设项目。一是水上运动配套设施提升，现有4处码头提质升级；二是环金海湖100公里越野线路服务功能提升，增设体育配套服务功能与设施，完善步道标识系统、安全救援系统、驿站、休息点建设等；三是环金海湖22公里慢行路线配套设施提升，完善驿站、标识、智慧管理体系建设；四是新建满足国际级赛事的铁人三项配套设施</w:t>
            </w:r>
            <w:r>
              <w:rPr>
                <w:rFonts w:hint="eastAsia" w:cs="仿宋_GB2312"/>
                <w:color w:val="000000" w:themeColor="text1"/>
                <w:sz w:val="28"/>
                <w:szCs w:val="28"/>
                <w14:textFill>
                  <w14:solidFill>
                    <w14:schemeClr w14:val="tx1"/>
                  </w14:solidFill>
                </w14:textFill>
              </w:rPr>
              <w:t>。</w:t>
            </w:r>
          </w:p>
        </w:tc>
      </w:tr>
    </w:tbl>
    <w:p>
      <w:pPr>
        <w:pStyle w:val="2"/>
        <w:ind w:firstLine="640"/>
        <w:rPr>
          <w:rFonts w:hint="eastAsia"/>
          <w:b/>
        </w:rPr>
      </w:pPr>
      <w:bookmarkStart w:id="39" w:name="_Toc244613878"/>
      <w:r>
        <w:rPr>
          <w:rFonts w:hint="eastAsia"/>
        </w:rPr>
        <w:t>八、</w:t>
      </w:r>
      <w:r>
        <w:t>健全高质量就业服务体系，促进重点群体充分就业</w:t>
      </w:r>
      <w:bookmarkEnd w:id="39"/>
    </w:p>
    <w:p>
      <w:pPr>
        <w:ind w:firstLine="640"/>
        <w:rPr>
          <w:rFonts w:hint="eastAsia"/>
        </w:rPr>
      </w:pPr>
      <w:bookmarkStart w:id="40" w:name="_Toc244613879"/>
      <w:r>
        <w:rPr>
          <w:rStyle w:val="21"/>
          <w:rFonts w:hint="eastAsia"/>
        </w:rPr>
        <w:t>（二十三）</w:t>
      </w:r>
      <w:r>
        <w:rPr>
          <w:rStyle w:val="21"/>
        </w:rPr>
        <w:t>缓解结构性就业矛盾</w:t>
      </w:r>
      <w:bookmarkEnd w:id="40"/>
      <w:r>
        <w:t>。围绕电子信息、生物医药、人工智能等新兴产业扩大优质岗位供给，推动企业与高校、职业院校开展订单培养、实习实训和定向培训，提高人才培养与产业需求匹配度。建立高端人才信息库，完善岗位匹配、职业规划和政策咨询等服务，通过招聘对接和人才交流吸引优秀人才回流。</w:t>
      </w:r>
    </w:p>
    <w:p>
      <w:pPr>
        <w:ind w:firstLine="640"/>
        <w:rPr>
          <w:rFonts w:hint="eastAsia"/>
        </w:rPr>
      </w:pPr>
      <w:bookmarkStart w:id="41" w:name="_Toc244613880"/>
      <w:r>
        <w:rPr>
          <w:rStyle w:val="21"/>
          <w:rFonts w:hint="eastAsia"/>
        </w:rPr>
        <w:t>（二十四）</w:t>
      </w:r>
      <w:r>
        <w:rPr>
          <w:rStyle w:val="21"/>
        </w:rPr>
        <w:t>强化重点群体就业支持</w:t>
      </w:r>
      <w:bookmarkEnd w:id="41"/>
      <w:r>
        <w:t>。统筹机关事业单位、国有企业、民营企业和政府购买服务岗位，拓宽高校毕业生就业渠道，分类提供职业指导、岗位推介、技能培训和就业见习。完善创业培训、贷款支持、场地保障等政策，依托特色农业、乡村旅游、农村电商拓展农村劳动力就业空间，支持返乡创业。加强退役军人等群体就业服务，推广“培训先行、岗位跟进”模式</w:t>
      </w:r>
      <w:r>
        <w:rPr>
          <w:rFonts w:hint="eastAsia"/>
        </w:rPr>
        <w:t>，落实创业补贴、贷款贴息等扶持政策。</w:t>
      </w:r>
    </w:p>
    <w:p>
      <w:pPr>
        <w:ind w:firstLine="640"/>
        <w:rPr>
          <w:rFonts w:hint="eastAsia"/>
        </w:rPr>
      </w:pPr>
      <w:bookmarkStart w:id="42" w:name="_Toc244613881"/>
      <w:r>
        <w:rPr>
          <w:rStyle w:val="21"/>
          <w:rFonts w:hint="eastAsia"/>
        </w:rPr>
        <w:t>（二十五）</w:t>
      </w:r>
      <w:r>
        <w:rPr>
          <w:rStyle w:val="21"/>
        </w:rPr>
        <w:t>完善就业公共服务体系</w:t>
      </w:r>
      <w:bookmarkEnd w:id="42"/>
      <w:r>
        <w:t>。制定就业服务事项清单，健全服务质量评价机制，加强就业服务队伍建设。合理布局“家门口”就业服务站，建设“15分钟就业服务圈”，推动资源向农村、偏远地区和就业困难群体倾斜。完善就业公共服务平台和信息资源库，推进事项集成办理、供需精准匹配、政策智能推送和服务动态监管。</w:t>
      </w:r>
    </w:p>
    <w:p>
      <w:pPr>
        <w:pStyle w:val="2"/>
        <w:ind w:firstLine="640"/>
        <w:rPr>
          <w:rFonts w:hint="eastAsia"/>
          <w:b/>
        </w:rPr>
      </w:pPr>
      <w:bookmarkStart w:id="43" w:name="_Toc244613882"/>
      <w:r>
        <w:rPr>
          <w:rFonts w:hint="eastAsia"/>
        </w:rPr>
        <w:t>九、</w:t>
      </w:r>
      <w:r>
        <w:t>完善残疾人服务保障体系，促进残疾人全面发展</w:t>
      </w:r>
      <w:bookmarkEnd w:id="43"/>
    </w:p>
    <w:p>
      <w:pPr>
        <w:ind w:firstLine="640"/>
        <w:rPr>
          <w:rFonts w:hint="eastAsia"/>
        </w:rPr>
      </w:pPr>
      <w:bookmarkStart w:id="44" w:name="_Toc244613883"/>
      <w:r>
        <w:rPr>
          <w:rStyle w:val="21"/>
        </w:rPr>
        <w:t>（</w:t>
      </w:r>
      <w:r>
        <w:rPr>
          <w:rStyle w:val="21"/>
          <w:rFonts w:hint="eastAsia"/>
        </w:rPr>
        <w:t>二十六</w:t>
      </w:r>
      <w:r>
        <w:rPr>
          <w:rStyle w:val="21"/>
        </w:rPr>
        <w:t>）完善康复服务体系</w:t>
      </w:r>
      <w:bookmarkEnd w:id="44"/>
      <w:r>
        <w:t>。</w:t>
      </w:r>
      <w:r>
        <w:rPr>
          <w:rFonts w:hint="eastAsia"/>
        </w:rPr>
        <w:t>健全区、街道（乡镇）、社区（村）三级残疾人康复服务网络，强化康复机构扶持，引导医疗机构和社会力量参与服务供给。落实残疾儿童康复救助，为符合条件的残疾儿童提供康复训练和辅助器具适配；加强成年残疾人社区康复、心理疏导和生活能力训练。持续推进公共空间、社区和家庭无障碍改造，提升出行和居家生活便利度。</w:t>
      </w:r>
    </w:p>
    <w:p>
      <w:pPr>
        <w:ind w:firstLine="640"/>
        <w:rPr>
          <w:rFonts w:hint="eastAsia"/>
        </w:rPr>
      </w:pPr>
      <w:bookmarkStart w:id="45" w:name="_Toc244613884"/>
      <w:r>
        <w:rPr>
          <w:rStyle w:val="21"/>
          <w:rFonts w:hint="eastAsia"/>
        </w:rPr>
        <w:t>（二十七）</w:t>
      </w:r>
      <w:r>
        <w:rPr>
          <w:rStyle w:val="21"/>
        </w:rPr>
        <w:t>提升公共服务能力</w:t>
      </w:r>
      <w:bookmarkEnd w:id="45"/>
      <w:r>
        <w:t>。</w:t>
      </w:r>
      <w:r>
        <w:rPr>
          <w:rFonts w:hint="eastAsia"/>
        </w:rPr>
        <w:t>组建由康复护理、心理辅导、手语翻译等专业人员构成的服务队伍，加强政策法规、服务规范和沟通技能培训。建设残疾人综合服务线上平台，整合政策查询、服务预约、补贴申请等功能，优化无障碍操作设计。设置线下帮办代办窗口，为使用智能设备困难的残疾人提供协助。</w:t>
      </w:r>
    </w:p>
    <w:p>
      <w:pPr>
        <w:ind w:firstLine="640"/>
        <w:rPr>
          <w:rFonts w:hint="eastAsia"/>
        </w:rPr>
      </w:pPr>
      <w:bookmarkStart w:id="46" w:name="_Toc244613885"/>
      <w:r>
        <w:rPr>
          <w:rStyle w:val="21"/>
          <w:rFonts w:hint="eastAsia"/>
        </w:rPr>
        <w:t>（二十八）</w:t>
      </w:r>
      <w:r>
        <w:rPr>
          <w:rStyle w:val="21"/>
        </w:rPr>
        <w:t>强化教育和托养照护</w:t>
      </w:r>
      <w:bookmarkEnd w:id="46"/>
      <w:r>
        <w:t>。</w:t>
      </w:r>
      <w:r>
        <w:rPr>
          <w:rFonts w:hint="eastAsia"/>
        </w:rPr>
        <w:t>落实特殊教育发展提升行动，改善特殊教育学校办学条件，完善普通学校随班就读支持机制，加强辅助器具配置、特教师资培训和困难残疾学生资助。健全居家照护、日间照料和集中托养相衔接的服务体系，重点保障重度残疾人、“老年父母+残疾子女”和一户多残家庭，完善服务补助政策，提升机构和家庭照护能力。</w:t>
      </w:r>
    </w:p>
    <w:p>
      <w:pPr>
        <w:pStyle w:val="2"/>
        <w:ind w:firstLine="640"/>
        <w:rPr>
          <w:rFonts w:hint="eastAsia"/>
          <w:b/>
        </w:rPr>
      </w:pPr>
      <w:bookmarkStart w:id="47" w:name="_Toc244613886"/>
      <w:r>
        <w:rPr>
          <w:rFonts w:hint="eastAsia"/>
        </w:rPr>
        <w:t>十、</w:t>
      </w:r>
      <w:r>
        <w:t>完善住房保障服务体系，满足群众多元居住需求</w:t>
      </w:r>
      <w:bookmarkEnd w:id="47"/>
    </w:p>
    <w:p>
      <w:pPr>
        <w:ind w:firstLine="640"/>
        <w:rPr>
          <w:rFonts w:hint="eastAsia"/>
          <w:b/>
          <w:bCs/>
        </w:rPr>
      </w:pPr>
      <w:bookmarkStart w:id="48" w:name="_Toc244613887"/>
      <w:r>
        <w:rPr>
          <w:rStyle w:val="21"/>
          <w:rFonts w:hint="eastAsia"/>
        </w:rPr>
        <w:t>（二十九）</w:t>
      </w:r>
      <w:r>
        <w:rPr>
          <w:rStyle w:val="21"/>
        </w:rPr>
        <w:t>健全多层次住房保障体系</w:t>
      </w:r>
      <w:bookmarkEnd w:id="48"/>
      <w:r>
        <w:t>。完善公租房、保障性租赁住房、共有产权住房和租赁补贴相结合的住房保障制度，逐步将符合条件的常住人口纳入保障范围。加强住房保障资格审核、轮候分配和动态退出管理，提高住房保障精准性和公平性。</w:t>
      </w:r>
    </w:p>
    <w:p>
      <w:pPr>
        <w:ind w:firstLine="640"/>
        <w:rPr>
          <w:rFonts w:hint="eastAsia"/>
        </w:rPr>
      </w:pPr>
      <w:bookmarkStart w:id="49" w:name="_Toc244613888"/>
      <w:r>
        <w:rPr>
          <w:rStyle w:val="21"/>
          <w:rFonts w:hint="eastAsia"/>
        </w:rPr>
        <w:t>（三十）</w:t>
      </w:r>
      <w:r>
        <w:rPr>
          <w:rStyle w:val="21"/>
        </w:rPr>
        <w:t>加强重点人群住房保障</w:t>
      </w:r>
      <w:bookmarkEnd w:id="49"/>
      <w:r>
        <w:t>。</w:t>
      </w:r>
      <w:r>
        <w:rPr>
          <w:rFonts w:hint="eastAsia"/>
        </w:rPr>
        <w:t>重点面向新市民、青年人、中等收入群体和重点产业从业人员，通过存量住房转化与适度新建相结合的方式扩大保障性租赁住房供给，优先在农业中关村、马坊工业园区、新城核心区等人口和产业集聚区域布局，推进贾各庄安置房建设。完善租金动态调整机制，定期评估保障对象需求和市场租金水平。</w:t>
      </w:r>
    </w:p>
    <w:p>
      <w:pPr>
        <w:ind w:firstLine="640"/>
        <w:rPr>
          <w:rFonts w:hint="eastAsia"/>
        </w:rPr>
      </w:pPr>
      <w:bookmarkStart w:id="50" w:name="_Toc244613889"/>
      <w:r>
        <w:rPr>
          <w:rStyle w:val="21"/>
          <w:rFonts w:hint="eastAsia"/>
        </w:rPr>
        <w:t>（三十一）</w:t>
      </w:r>
      <w:r>
        <w:rPr>
          <w:rStyle w:val="21"/>
        </w:rPr>
        <w:t>推进城乡居住条件改善</w:t>
      </w:r>
      <w:bookmarkEnd w:id="50"/>
      <w:r>
        <w:t>。</w:t>
      </w:r>
      <w:r>
        <w:rPr>
          <w:rFonts w:hint="eastAsia"/>
        </w:rPr>
        <w:t>有序推进老旧小区综合整治，分年度开展水、电、气、热、通信等基础设施更新和公共环境提升，推动达到使用年限的住宅电梯更新改造。完成平谷中心城区棚户区改造项目B地块建设和居民安置，</w:t>
      </w:r>
      <w:r>
        <w:t>同步完善物业服务、商业配套及市政管网设施</w:t>
      </w:r>
      <w:r>
        <w:rPr>
          <w:rFonts w:hint="eastAsia"/>
        </w:rPr>
        <w:t>。</w:t>
      </w:r>
      <w:r>
        <w:t>持续开展农村住房安全隐患排查，分类推进危房改造、抗震加固和灾后恢复重建。</w:t>
      </w:r>
    </w:p>
    <w:p>
      <w:pPr>
        <w:pStyle w:val="2"/>
        <w:ind w:firstLine="640"/>
        <w:rPr>
          <w:rFonts w:hint="eastAsia"/>
          <w:b/>
        </w:rPr>
      </w:pPr>
      <w:bookmarkStart w:id="51" w:name="_Toc244613890"/>
      <w:r>
        <w:rPr>
          <w:rFonts w:hint="eastAsia"/>
        </w:rPr>
        <w:t>十一、</w:t>
      </w:r>
      <w:r>
        <w:t>健全多层次社会保障体系，织密民生安全保障网络</w:t>
      </w:r>
      <w:bookmarkEnd w:id="51"/>
    </w:p>
    <w:bookmarkEnd w:id="5"/>
    <w:bookmarkEnd w:id="6"/>
    <w:p>
      <w:pPr>
        <w:ind w:firstLine="640"/>
        <w:rPr>
          <w:rFonts w:hint="eastAsia"/>
        </w:rPr>
      </w:pPr>
      <w:bookmarkStart w:id="52" w:name="_Toc244613891"/>
      <w:r>
        <w:rPr>
          <w:rStyle w:val="21"/>
          <w:rFonts w:hint="eastAsia"/>
        </w:rPr>
        <w:t>（三十二）</w:t>
      </w:r>
      <w:r>
        <w:rPr>
          <w:rStyle w:val="21"/>
        </w:rPr>
        <w:t>健全分层分类救助体系</w:t>
      </w:r>
      <w:bookmarkEnd w:id="52"/>
      <w:r>
        <w:t>。完善大数据监测、主动发现和入户核查相结合的困难群众识别机制，动态调整低保、特困人员保障标准，加强低保边缘家庭和支出型困难家庭监测预警，及时实施分类救助。落实孤儿、事实无人抚养儿童助学和关爱政策，依托平谷区阳光学校加强涉案未成年人教育矫治和心理辅导。</w:t>
      </w:r>
    </w:p>
    <w:p>
      <w:pPr>
        <w:ind w:firstLine="640"/>
        <w:rPr>
          <w:rFonts w:hint="eastAsia"/>
        </w:rPr>
      </w:pPr>
      <w:bookmarkStart w:id="53" w:name="_Toc244613892"/>
      <w:r>
        <w:rPr>
          <w:rStyle w:val="21"/>
          <w:rFonts w:hint="eastAsia"/>
        </w:rPr>
        <w:t>（三十三）</w:t>
      </w:r>
      <w:r>
        <w:rPr>
          <w:rStyle w:val="21"/>
        </w:rPr>
        <w:t>提升基层服务能力</w:t>
      </w:r>
      <w:bookmarkEnd w:id="53"/>
      <w:r>
        <w:t>。完善困难群体服务设施网络，在偏远农村探索设置流动服务站，提供上门体检、社保帮办、政策宣传等服务。加快平谷区市民中心建设，整合民政、社保等事项，提升“一站式”办理水平。加强社会工作、康复护理、心理疏导等专业人才培养，提高基层服务专业化水平。</w:t>
      </w:r>
    </w:p>
    <w:p>
      <w:pPr>
        <w:ind w:firstLine="640"/>
        <w:rPr>
          <w:rFonts w:hint="eastAsia"/>
        </w:rPr>
      </w:pPr>
      <w:bookmarkStart w:id="54" w:name="_Toc244613893"/>
      <w:r>
        <w:rPr>
          <w:rStyle w:val="21"/>
          <w:rFonts w:hint="eastAsia"/>
        </w:rPr>
        <w:t>（三十四）</w:t>
      </w:r>
      <w:r>
        <w:rPr>
          <w:rStyle w:val="21"/>
        </w:rPr>
        <w:t>提高公共安全保障水平</w:t>
      </w:r>
      <w:bookmarkEnd w:id="54"/>
      <w:r>
        <w:t>。健全立体化、智能化社会治安防控体系，优化城乡警务资源配置，整合网格治理、社区物业和志愿巡防力量。完善矛盾纠纷排查预警和多元化解机制，健全</w:t>
      </w:r>
      <w:r>
        <w:rPr>
          <w:rFonts w:hint="eastAsia"/>
        </w:rPr>
        <w:t>区、街道（乡镇）、社区（村）</w:t>
      </w:r>
      <w:r>
        <w:t>三级应急管理体系，加强防汛抗旱、森林防火、地质灾害和极端天气监测预警，完善避难场所和物资储备，提升突发事件防范应对能力。</w:t>
      </w:r>
    </w:p>
    <w:p>
      <w:pPr>
        <w:pStyle w:val="2"/>
        <w:ind w:firstLine="640"/>
        <w:rPr>
          <w:rFonts w:hint="eastAsia"/>
          <w:b/>
          <w:bCs w:val="0"/>
        </w:rPr>
      </w:pPr>
      <w:bookmarkStart w:id="55" w:name="_Toc206495013"/>
      <w:bookmarkStart w:id="56" w:name="_Toc244613894"/>
      <w:r>
        <w:rPr>
          <w:rFonts w:hint="eastAsia"/>
          <w:bCs w:val="0"/>
        </w:rPr>
        <w:t>十二</w:t>
      </w:r>
      <w:r>
        <w:rPr>
          <w:bCs w:val="0"/>
        </w:rPr>
        <w:t>、</w:t>
      </w:r>
      <w:bookmarkEnd w:id="55"/>
      <w:r>
        <w:rPr>
          <w:rFonts w:hint="eastAsia"/>
          <w:bCs w:val="0"/>
        </w:rPr>
        <w:t>加强实施保障</w:t>
      </w:r>
      <w:bookmarkEnd w:id="56"/>
    </w:p>
    <w:p>
      <w:pPr>
        <w:ind w:firstLine="640"/>
        <w:rPr>
          <w:rFonts w:hint="eastAsia"/>
        </w:rPr>
      </w:pPr>
      <w:r>
        <w:t>强化科技赋能和协同保障，推动大数据、人工智能等技术在公共服务领域应用，促进人口、设施和服务资源数据共享，提升服务精准化、智能化水平。健全区级统筹、部门协同、街道（乡镇）</w:t>
      </w:r>
      <w:r>
        <w:rPr>
          <w:rFonts w:hint="eastAsia"/>
        </w:rPr>
        <w:t>抓</w:t>
      </w:r>
      <w:r>
        <w:t>落实</w:t>
      </w:r>
      <w:r>
        <w:rPr>
          <w:rFonts w:hint="eastAsia"/>
        </w:rPr>
        <w:t>的工作</w:t>
      </w:r>
      <w:r>
        <w:t>机制，强化政策衔接和社会参与。完善年度监测、中期评估和终期评估机制，加强重点任务、重大项目和资金绩效跟踪，根据人口变化和实际需求动态优化规划实施。</w:t>
      </w:r>
    </w:p>
    <w:sectPr>
      <w:footerReference r:id="rId13" w:type="default"/>
      <w:type w:val="continuous"/>
      <w:pgSz w:w="11906" w:h="16838"/>
      <w:pgMar w:top="2098" w:right="1474" w:bottom="1985" w:left="1588" w:header="851" w:footer="992" w:gutter="0"/>
      <w:pgNumType w:fmt="numberInDash"/>
      <w:cols w:space="0" w:num="1"/>
      <w:docGrid w:type="lines" w:linePitch="43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libri Light">
    <w:altName w:val="DejaVu Sans"/>
    <w:panose1 w:val="020F0302020204030204"/>
    <w:charset w:val="00"/>
    <w:family w:val="swiss"/>
    <w:pitch w:val="default"/>
    <w:sig w:usb0="00000000" w:usb1="00000000" w:usb2="00000009" w:usb3="00000000" w:csb0="000001FF" w:csb1="00000000"/>
  </w:font>
  <w:font w:name="Verdana">
    <w:altName w:val="DejaVu Sans"/>
    <w:panose1 w:val="020B0604030504040204"/>
    <w:charset w:val="00"/>
    <w:family w:val="swiss"/>
    <w:pitch w:val="default"/>
    <w:sig w:usb0="00000000" w:usb1="00000000" w:usb2="00000010"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0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0056149"/>
      <w:docPartObj>
        <w:docPartGallery w:val="autotext"/>
      </w:docPartObj>
    </w:sdtPr>
    <w:sdtEndPr>
      <w:rPr>
        <w:rFonts w:ascii="宋体" w:hAnsi="宋体" w:eastAsia="宋体"/>
        <w:sz w:val="28"/>
        <w:szCs w:val="28"/>
      </w:rPr>
    </w:sdtEndPr>
    <w:sdtContent>
      <w:p>
        <w:pPr>
          <w:pStyle w:val="8"/>
          <w:ind w:firstLine="360"/>
          <w:jc w:val="center"/>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9580330"/>
      <w:docPartObj>
        <w:docPartGallery w:val="autotext"/>
      </w:docPartObj>
    </w:sdtPr>
    <w:sdtEndPr>
      <w:rPr>
        <w:rFonts w:ascii="宋体" w:hAnsi="宋体" w:eastAsia="宋体"/>
        <w:sz w:val="28"/>
        <w:szCs w:val="28"/>
      </w:rPr>
    </w:sdtEndPr>
    <w:sdtContent>
      <w:p>
        <w:pPr>
          <w:pStyle w:val="8"/>
          <w:ind w:firstLine="360"/>
          <w:jc w:val="right"/>
          <w:rPr>
            <w:rFonts w:hint="eastAsia"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4567973"/>
      <w:docPartObj>
        <w:docPartGallery w:val="autotext"/>
      </w:docPartObj>
    </w:sdtPr>
    <w:sdtEndPr>
      <w:rPr>
        <w:rFonts w:asciiTheme="minorEastAsia" w:hAnsiTheme="minorEastAsia" w:eastAsiaTheme="minorEastAsia"/>
        <w:sz w:val="28"/>
        <w:szCs w:val="28"/>
      </w:rPr>
    </w:sdtEndPr>
    <w:sdtContent>
      <w:p>
        <w:pPr>
          <w:pStyle w:val="8"/>
          <w:ind w:firstLine="0" w:firstLineChars="0"/>
          <w:rPr>
            <w:rFonts w:hint="eastAsia"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2</w:t>
        </w:r>
        <w:r>
          <w:rPr>
            <w:rFonts w:asciiTheme="minorEastAsia" w:hAnsiTheme="minorEastAsia" w:eastAsiaTheme="minorEastAsia"/>
            <w:sz w:val="28"/>
            <w:szCs w:val="28"/>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312294"/>
      <w:docPartObj>
        <w:docPartGallery w:val="autotext"/>
      </w:docPartObj>
    </w:sdtPr>
    <w:sdtEndPr>
      <w:rPr>
        <w:rFonts w:asciiTheme="minorEastAsia" w:hAnsiTheme="minorEastAsia" w:eastAsiaTheme="minorEastAsia"/>
        <w:sz w:val="28"/>
        <w:szCs w:val="28"/>
      </w:rPr>
    </w:sdtEndPr>
    <w:sdtContent>
      <w:p>
        <w:pPr>
          <w:pStyle w:val="8"/>
          <w:ind w:firstLine="360"/>
          <w:jc w:val="right"/>
          <w:rPr>
            <w:rFonts w:hint="eastAsia" w:asciiTheme="minorEastAsia" w:hAnsiTheme="minorEastAsia" w:eastAsiaTheme="minorEastAsia"/>
            <w:sz w:val="28"/>
            <w:szCs w:val="28"/>
          </w:rPr>
        </w:pPr>
        <w:r>
          <w:rPr>
            <w:rFonts w:asciiTheme="minorEastAsia" w:hAnsiTheme="minorEastAsia" w:eastAsiaTheme="minorEastAsia"/>
            <w:sz w:val="28"/>
            <w:szCs w:val="28"/>
          </w:rPr>
          <w:fldChar w:fldCharType="begin"/>
        </w:r>
        <w:r>
          <w:rPr>
            <w:rFonts w:asciiTheme="minorEastAsia" w:hAnsiTheme="minorEastAsia" w:eastAsiaTheme="minorEastAsia"/>
            <w:sz w:val="28"/>
            <w:szCs w:val="28"/>
          </w:rPr>
          <w:instrText xml:space="preserve">PAGE   \* MERGEFORMAT</w:instrText>
        </w:r>
        <w:r>
          <w:rPr>
            <w:rFonts w:asciiTheme="minorEastAsia" w:hAnsiTheme="minorEastAsia" w:eastAsiaTheme="minorEastAsia"/>
            <w:sz w:val="28"/>
            <w:szCs w:val="28"/>
          </w:rPr>
          <w:fldChar w:fldCharType="separate"/>
        </w:r>
        <w:r>
          <w:rPr>
            <w:rFonts w:asciiTheme="minorEastAsia" w:hAnsiTheme="minorEastAsia" w:eastAsiaTheme="minorEastAsia"/>
            <w:sz w:val="28"/>
            <w:szCs w:val="28"/>
            <w:lang w:val="zh-CN"/>
          </w:rPr>
          <w:t>2</w:t>
        </w:r>
        <w:r>
          <w:rPr>
            <w:rFonts w:asciiTheme="minorEastAsia" w:hAnsiTheme="minorEastAsia" w:eastAsiaTheme="minorEastAsia"/>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true"/>
  <w:embedTrueTypeFonts/>
  <w:embedSystemFonts/>
  <w:bordersDoNotSurroundHeader w:val="true"/>
  <w:bordersDoNotSurroundFooter w:val="true"/>
  <w:documentProtection w:enforcement="0"/>
  <w:defaultTabStop w:val="420"/>
  <w:evenAndOddHeaders w:val="true"/>
  <w:drawingGridHorizontalSpacing w:val="160"/>
  <w:drawingGridVerticalSpacing w:val="435"/>
  <w:displayHorizontalDrawingGridEvery w:val="2"/>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2F4"/>
    <w:rsid w:val="00001D20"/>
    <w:rsid w:val="00002556"/>
    <w:rsid w:val="000047C3"/>
    <w:rsid w:val="00005407"/>
    <w:rsid w:val="000054AC"/>
    <w:rsid w:val="00005EE9"/>
    <w:rsid w:val="00006D89"/>
    <w:rsid w:val="000070EB"/>
    <w:rsid w:val="00011A02"/>
    <w:rsid w:val="00013316"/>
    <w:rsid w:val="00013C1A"/>
    <w:rsid w:val="00014207"/>
    <w:rsid w:val="00014DF1"/>
    <w:rsid w:val="00016500"/>
    <w:rsid w:val="0001761A"/>
    <w:rsid w:val="0002094B"/>
    <w:rsid w:val="00026C41"/>
    <w:rsid w:val="0002708A"/>
    <w:rsid w:val="000277C4"/>
    <w:rsid w:val="00027C43"/>
    <w:rsid w:val="0003047D"/>
    <w:rsid w:val="00031AED"/>
    <w:rsid w:val="00034202"/>
    <w:rsid w:val="0003486D"/>
    <w:rsid w:val="00037B58"/>
    <w:rsid w:val="0004080F"/>
    <w:rsid w:val="00042274"/>
    <w:rsid w:val="00042A10"/>
    <w:rsid w:val="00045137"/>
    <w:rsid w:val="00045677"/>
    <w:rsid w:val="00046BA1"/>
    <w:rsid w:val="000500CB"/>
    <w:rsid w:val="000501F4"/>
    <w:rsid w:val="00051732"/>
    <w:rsid w:val="00055B29"/>
    <w:rsid w:val="000565FB"/>
    <w:rsid w:val="00056B17"/>
    <w:rsid w:val="00057204"/>
    <w:rsid w:val="000577F4"/>
    <w:rsid w:val="00057E23"/>
    <w:rsid w:val="00060283"/>
    <w:rsid w:val="00062086"/>
    <w:rsid w:val="00062902"/>
    <w:rsid w:val="00063365"/>
    <w:rsid w:val="0006629F"/>
    <w:rsid w:val="0006642D"/>
    <w:rsid w:val="00066D5A"/>
    <w:rsid w:val="00067152"/>
    <w:rsid w:val="00067160"/>
    <w:rsid w:val="00071054"/>
    <w:rsid w:val="00073C09"/>
    <w:rsid w:val="00077296"/>
    <w:rsid w:val="00080027"/>
    <w:rsid w:val="00081D64"/>
    <w:rsid w:val="00082354"/>
    <w:rsid w:val="0008237A"/>
    <w:rsid w:val="00086590"/>
    <w:rsid w:val="00086B04"/>
    <w:rsid w:val="00087214"/>
    <w:rsid w:val="00087B76"/>
    <w:rsid w:val="00090EF7"/>
    <w:rsid w:val="0009107E"/>
    <w:rsid w:val="00092DAD"/>
    <w:rsid w:val="00093214"/>
    <w:rsid w:val="00093FF5"/>
    <w:rsid w:val="00095865"/>
    <w:rsid w:val="00095DE1"/>
    <w:rsid w:val="00096573"/>
    <w:rsid w:val="000966C9"/>
    <w:rsid w:val="00097CF8"/>
    <w:rsid w:val="000A14A6"/>
    <w:rsid w:val="000A19B0"/>
    <w:rsid w:val="000A2095"/>
    <w:rsid w:val="000A3AEA"/>
    <w:rsid w:val="000A620A"/>
    <w:rsid w:val="000A6EFD"/>
    <w:rsid w:val="000A78B4"/>
    <w:rsid w:val="000B0730"/>
    <w:rsid w:val="000B0E8A"/>
    <w:rsid w:val="000B3143"/>
    <w:rsid w:val="000B40D0"/>
    <w:rsid w:val="000B4B35"/>
    <w:rsid w:val="000B53DC"/>
    <w:rsid w:val="000B5863"/>
    <w:rsid w:val="000B5C08"/>
    <w:rsid w:val="000B75B9"/>
    <w:rsid w:val="000C2352"/>
    <w:rsid w:val="000C241E"/>
    <w:rsid w:val="000C2D15"/>
    <w:rsid w:val="000C43C1"/>
    <w:rsid w:val="000C4B68"/>
    <w:rsid w:val="000C73C3"/>
    <w:rsid w:val="000D3573"/>
    <w:rsid w:val="000D3654"/>
    <w:rsid w:val="000D5CDB"/>
    <w:rsid w:val="000D6FF1"/>
    <w:rsid w:val="000D70C0"/>
    <w:rsid w:val="000D74BF"/>
    <w:rsid w:val="000E06AE"/>
    <w:rsid w:val="000E194C"/>
    <w:rsid w:val="000E2B19"/>
    <w:rsid w:val="000E35B1"/>
    <w:rsid w:val="000E39AF"/>
    <w:rsid w:val="000E3F46"/>
    <w:rsid w:val="000E4EA8"/>
    <w:rsid w:val="000E51E5"/>
    <w:rsid w:val="000E52EE"/>
    <w:rsid w:val="000E74AA"/>
    <w:rsid w:val="000E7EFE"/>
    <w:rsid w:val="000F1FAF"/>
    <w:rsid w:val="000F40FD"/>
    <w:rsid w:val="000F4EB9"/>
    <w:rsid w:val="000F53E2"/>
    <w:rsid w:val="000F61E8"/>
    <w:rsid w:val="000F7C63"/>
    <w:rsid w:val="00100757"/>
    <w:rsid w:val="001011FC"/>
    <w:rsid w:val="00101A23"/>
    <w:rsid w:val="00101B23"/>
    <w:rsid w:val="00101F4F"/>
    <w:rsid w:val="00104A05"/>
    <w:rsid w:val="001050FF"/>
    <w:rsid w:val="001055A7"/>
    <w:rsid w:val="00105D20"/>
    <w:rsid w:val="00107DE7"/>
    <w:rsid w:val="0011063C"/>
    <w:rsid w:val="00113119"/>
    <w:rsid w:val="0011351F"/>
    <w:rsid w:val="001139A5"/>
    <w:rsid w:val="0011569B"/>
    <w:rsid w:val="0011576B"/>
    <w:rsid w:val="00117E4F"/>
    <w:rsid w:val="001200BC"/>
    <w:rsid w:val="00120AA7"/>
    <w:rsid w:val="00123BAB"/>
    <w:rsid w:val="00124693"/>
    <w:rsid w:val="00124C99"/>
    <w:rsid w:val="001250DB"/>
    <w:rsid w:val="001269C7"/>
    <w:rsid w:val="00126F26"/>
    <w:rsid w:val="0012714C"/>
    <w:rsid w:val="001274BB"/>
    <w:rsid w:val="00130545"/>
    <w:rsid w:val="0013069B"/>
    <w:rsid w:val="00131785"/>
    <w:rsid w:val="00132851"/>
    <w:rsid w:val="00132D16"/>
    <w:rsid w:val="001363F2"/>
    <w:rsid w:val="00136BAA"/>
    <w:rsid w:val="00137819"/>
    <w:rsid w:val="00137AF3"/>
    <w:rsid w:val="00140082"/>
    <w:rsid w:val="00140821"/>
    <w:rsid w:val="001421C3"/>
    <w:rsid w:val="00142D78"/>
    <w:rsid w:val="00142FDD"/>
    <w:rsid w:val="001430E4"/>
    <w:rsid w:val="00143A96"/>
    <w:rsid w:val="00143C10"/>
    <w:rsid w:val="0014430A"/>
    <w:rsid w:val="00144B0F"/>
    <w:rsid w:val="001453D2"/>
    <w:rsid w:val="001503FA"/>
    <w:rsid w:val="0015162F"/>
    <w:rsid w:val="00151FD1"/>
    <w:rsid w:val="00154EA9"/>
    <w:rsid w:val="00155339"/>
    <w:rsid w:val="00155C0B"/>
    <w:rsid w:val="00155F36"/>
    <w:rsid w:val="00156FD0"/>
    <w:rsid w:val="00157F0D"/>
    <w:rsid w:val="00160181"/>
    <w:rsid w:val="001611E6"/>
    <w:rsid w:val="001633AB"/>
    <w:rsid w:val="00165245"/>
    <w:rsid w:val="00166977"/>
    <w:rsid w:val="001674E5"/>
    <w:rsid w:val="00175B5D"/>
    <w:rsid w:val="001761F3"/>
    <w:rsid w:val="00180A77"/>
    <w:rsid w:val="0018108B"/>
    <w:rsid w:val="00181BEE"/>
    <w:rsid w:val="00183179"/>
    <w:rsid w:val="001838FF"/>
    <w:rsid w:val="001854C7"/>
    <w:rsid w:val="0019020B"/>
    <w:rsid w:val="00190308"/>
    <w:rsid w:val="0019415E"/>
    <w:rsid w:val="0019445C"/>
    <w:rsid w:val="001948CF"/>
    <w:rsid w:val="00194B1F"/>
    <w:rsid w:val="00195C7E"/>
    <w:rsid w:val="00196C4A"/>
    <w:rsid w:val="00196EF4"/>
    <w:rsid w:val="00197499"/>
    <w:rsid w:val="001A03B6"/>
    <w:rsid w:val="001A0C25"/>
    <w:rsid w:val="001A1E06"/>
    <w:rsid w:val="001A603A"/>
    <w:rsid w:val="001B0EE0"/>
    <w:rsid w:val="001B3C93"/>
    <w:rsid w:val="001B445C"/>
    <w:rsid w:val="001B7242"/>
    <w:rsid w:val="001C2654"/>
    <w:rsid w:val="001C47B3"/>
    <w:rsid w:val="001C77E0"/>
    <w:rsid w:val="001C79BE"/>
    <w:rsid w:val="001D0856"/>
    <w:rsid w:val="001D2D3A"/>
    <w:rsid w:val="001D4473"/>
    <w:rsid w:val="001D6509"/>
    <w:rsid w:val="001D65BA"/>
    <w:rsid w:val="001D69E4"/>
    <w:rsid w:val="001E0901"/>
    <w:rsid w:val="001E0EC3"/>
    <w:rsid w:val="001E706F"/>
    <w:rsid w:val="001E73BC"/>
    <w:rsid w:val="001F02DE"/>
    <w:rsid w:val="001F21CC"/>
    <w:rsid w:val="001F5389"/>
    <w:rsid w:val="001F5C13"/>
    <w:rsid w:val="001F7F52"/>
    <w:rsid w:val="001F7FB4"/>
    <w:rsid w:val="002025EC"/>
    <w:rsid w:val="00202823"/>
    <w:rsid w:val="00204D4B"/>
    <w:rsid w:val="00205E8F"/>
    <w:rsid w:val="00205F87"/>
    <w:rsid w:val="00206993"/>
    <w:rsid w:val="00207158"/>
    <w:rsid w:val="00210B99"/>
    <w:rsid w:val="002118A6"/>
    <w:rsid w:val="002128A0"/>
    <w:rsid w:val="00213255"/>
    <w:rsid w:val="00214D8B"/>
    <w:rsid w:val="0021663F"/>
    <w:rsid w:val="00220257"/>
    <w:rsid w:val="002226B4"/>
    <w:rsid w:val="00222D05"/>
    <w:rsid w:val="00223282"/>
    <w:rsid w:val="00225023"/>
    <w:rsid w:val="002325EF"/>
    <w:rsid w:val="00232908"/>
    <w:rsid w:val="00236D7E"/>
    <w:rsid w:val="00241CAB"/>
    <w:rsid w:val="0024386B"/>
    <w:rsid w:val="00246A94"/>
    <w:rsid w:val="002478E2"/>
    <w:rsid w:val="00251405"/>
    <w:rsid w:val="002520E8"/>
    <w:rsid w:val="002529C6"/>
    <w:rsid w:val="00252CDA"/>
    <w:rsid w:val="00253E32"/>
    <w:rsid w:val="00256066"/>
    <w:rsid w:val="0025627F"/>
    <w:rsid w:val="00256320"/>
    <w:rsid w:val="00256554"/>
    <w:rsid w:val="0025773A"/>
    <w:rsid w:val="00262AFB"/>
    <w:rsid w:val="00262CAA"/>
    <w:rsid w:val="002636F1"/>
    <w:rsid w:val="00263911"/>
    <w:rsid w:val="00263EE2"/>
    <w:rsid w:val="00264580"/>
    <w:rsid w:val="0026479A"/>
    <w:rsid w:val="002647D3"/>
    <w:rsid w:val="00264DB4"/>
    <w:rsid w:val="002653DE"/>
    <w:rsid w:val="002657B7"/>
    <w:rsid w:val="00266B24"/>
    <w:rsid w:val="00270709"/>
    <w:rsid w:val="00270DB7"/>
    <w:rsid w:val="002717EA"/>
    <w:rsid w:val="002724A6"/>
    <w:rsid w:val="00275237"/>
    <w:rsid w:val="00280C85"/>
    <w:rsid w:val="00281DCB"/>
    <w:rsid w:val="00282129"/>
    <w:rsid w:val="002826EF"/>
    <w:rsid w:val="0028302E"/>
    <w:rsid w:val="00284209"/>
    <w:rsid w:val="002855CA"/>
    <w:rsid w:val="00285A22"/>
    <w:rsid w:val="00285BAA"/>
    <w:rsid w:val="00287792"/>
    <w:rsid w:val="00290691"/>
    <w:rsid w:val="00290CB3"/>
    <w:rsid w:val="00291638"/>
    <w:rsid w:val="002947B7"/>
    <w:rsid w:val="002953F2"/>
    <w:rsid w:val="00295901"/>
    <w:rsid w:val="00295E48"/>
    <w:rsid w:val="00297A65"/>
    <w:rsid w:val="00297CF8"/>
    <w:rsid w:val="002A05F6"/>
    <w:rsid w:val="002A0A1B"/>
    <w:rsid w:val="002A0A7A"/>
    <w:rsid w:val="002A2593"/>
    <w:rsid w:val="002A4887"/>
    <w:rsid w:val="002A5212"/>
    <w:rsid w:val="002A6659"/>
    <w:rsid w:val="002B1288"/>
    <w:rsid w:val="002B2566"/>
    <w:rsid w:val="002B2901"/>
    <w:rsid w:val="002B308A"/>
    <w:rsid w:val="002B3450"/>
    <w:rsid w:val="002B35B4"/>
    <w:rsid w:val="002B7137"/>
    <w:rsid w:val="002B77E3"/>
    <w:rsid w:val="002C346C"/>
    <w:rsid w:val="002C469E"/>
    <w:rsid w:val="002C5814"/>
    <w:rsid w:val="002C6B1E"/>
    <w:rsid w:val="002D171A"/>
    <w:rsid w:val="002D268D"/>
    <w:rsid w:val="002D2DAA"/>
    <w:rsid w:val="002D3398"/>
    <w:rsid w:val="002D3501"/>
    <w:rsid w:val="002D76DD"/>
    <w:rsid w:val="002E0FF6"/>
    <w:rsid w:val="002E27A2"/>
    <w:rsid w:val="002E6510"/>
    <w:rsid w:val="002E67C2"/>
    <w:rsid w:val="002E768C"/>
    <w:rsid w:val="002F1F0C"/>
    <w:rsid w:val="002F2D47"/>
    <w:rsid w:val="002F32D3"/>
    <w:rsid w:val="002F3B88"/>
    <w:rsid w:val="002F433A"/>
    <w:rsid w:val="002F44B2"/>
    <w:rsid w:val="002F51F6"/>
    <w:rsid w:val="002F5373"/>
    <w:rsid w:val="002F5B16"/>
    <w:rsid w:val="002F5B91"/>
    <w:rsid w:val="002F5BBB"/>
    <w:rsid w:val="002F75A8"/>
    <w:rsid w:val="002F76C9"/>
    <w:rsid w:val="00301C0A"/>
    <w:rsid w:val="003026DD"/>
    <w:rsid w:val="00303E36"/>
    <w:rsid w:val="0030491B"/>
    <w:rsid w:val="00310E2C"/>
    <w:rsid w:val="00312D1D"/>
    <w:rsid w:val="00313777"/>
    <w:rsid w:val="003142F4"/>
    <w:rsid w:val="0031490F"/>
    <w:rsid w:val="003155D8"/>
    <w:rsid w:val="00316C22"/>
    <w:rsid w:val="00316DDE"/>
    <w:rsid w:val="003206EB"/>
    <w:rsid w:val="00320704"/>
    <w:rsid w:val="003211FB"/>
    <w:rsid w:val="003216BA"/>
    <w:rsid w:val="00321B50"/>
    <w:rsid w:val="003235EF"/>
    <w:rsid w:val="0032499A"/>
    <w:rsid w:val="00324BAB"/>
    <w:rsid w:val="003261B5"/>
    <w:rsid w:val="00326FAD"/>
    <w:rsid w:val="00333AA6"/>
    <w:rsid w:val="00334111"/>
    <w:rsid w:val="00334AD1"/>
    <w:rsid w:val="00334AEA"/>
    <w:rsid w:val="00336670"/>
    <w:rsid w:val="00336AC7"/>
    <w:rsid w:val="00337EC7"/>
    <w:rsid w:val="00342893"/>
    <w:rsid w:val="00343738"/>
    <w:rsid w:val="003449E4"/>
    <w:rsid w:val="00344D2F"/>
    <w:rsid w:val="003450B5"/>
    <w:rsid w:val="003464E6"/>
    <w:rsid w:val="0034698D"/>
    <w:rsid w:val="003473E8"/>
    <w:rsid w:val="00350F57"/>
    <w:rsid w:val="00351095"/>
    <w:rsid w:val="003513E1"/>
    <w:rsid w:val="00351BB7"/>
    <w:rsid w:val="00352869"/>
    <w:rsid w:val="00357098"/>
    <w:rsid w:val="003649F1"/>
    <w:rsid w:val="00364B89"/>
    <w:rsid w:val="00365297"/>
    <w:rsid w:val="003655BA"/>
    <w:rsid w:val="00365EE1"/>
    <w:rsid w:val="00366365"/>
    <w:rsid w:val="003667B0"/>
    <w:rsid w:val="0036703C"/>
    <w:rsid w:val="003676D6"/>
    <w:rsid w:val="003729C1"/>
    <w:rsid w:val="00372EEF"/>
    <w:rsid w:val="00374B51"/>
    <w:rsid w:val="00375E73"/>
    <w:rsid w:val="0038007B"/>
    <w:rsid w:val="00380F0E"/>
    <w:rsid w:val="00381362"/>
    <w:rsid w:val="003813FD"/>
    <w:rsid w:val="00385AE0"/>
    <w:rsid w:val="003863ED"/>
    <w:rsid w:val="00392093"/>
    <w:rsid w:val="0039309F"/>
    <w:rsid w:val="00393F64"/>
    <w:rsid w:val="00394AD1"/>
    <w:rsid w:val="00395CFB"/>
    <w:rsid w:val="00396044"/>
    <w:rsid w:val="003A230F"/>
    <w:rsid w:val="003A54F9"/>
    <w:rsid w:val="003A5B0C"/>
    <w:rsid w:val="003A783C"/>
    <w:rsid w:val="003A7B28"/>
    <w:rsid w:val="003A7B9C"/>
    <w:rsid w:val="003B0625"/>
    <w:rsid w:val="003B0DE0"/>
    <w:rsid w:val="003B16B6"/>
    <w:rsid w:val="003B2D77"/>
    <w:rsid w:val="003B37CC"/>
    <w:rsid w:val="003B7537"/>
    <w:rsid w:val="003C031C"/>
    <w:rsid w:val="003C062C"/>
    <w:rsid w:val="003C0EF6"/>
    <w:rsid w:val="003C111E"/>
    <w:rsid w:val="003C3290"/>
    <w:rsid w:val="003C39ED"/>
    <w:rsid w:val="003C48F8"/>
    <w:rsid w:val="003C6E2A"/>
    <w:rsid w:val="003C75AE"/>
    <w:rsid w:val="003C7C7D"/>
    <w:rsid w:val="003D05D3"/>
    <w:rsid w:val="003D0D77"/>
    <w:rsid w:val="003D0E17"/>
    <w:rsid w:val="003D2C27"/>
    <w:rsid w:val="003D3991"/>
    <w:rsid w:val="003D3D13"/>
    <w:rsid w:val="003D3E7B"/>
    <w:rsid w:val="003D4842"/>
    <w:rsid w:val="003D6774"/>
    <w:rsid w:val="003D6C04"/>
    <w:rsid w:val="003D7BF4"/>
    <w:rsid w:val="003E37DD"/>
    <w:rsid w:val="003E3A46"/>
    <w:rsid w:val="003E5FB6"/>
    <w:rsid w:val="003E76EF"/>
    <w:rsid w:val="003F093C"/>
    <w:rsid w:val="003F1E8F"/>
    <w:rsid w:val="003F6DB6"/>
    <w:rsid w:val="003F7D97"/>
    <w:rsid w:val="003F7E28"/>
    <w:rsid w:val="004019B4"/>
    <w:rsid w:val="004029C4"/>
    <w:rsid w:val="00406319"/>
    <w:rsid w:val="00407A5D"/>
    <w:rsid w:val="004102F6"/>
    <w:rsid w:val="004121D6"/>
    <w:rsid w:val="00412B0A"/>
    <w:rsid w:val="00412C21"/>
    <w:rsid w:val="00414061"/>
    <w:rsid w:val="004154B3"/>
    <w:rsid w:val="004163AF"/>
    <w:rsid w:val="00417D8E"/>
    <w:rsid w:val="004212BB"/>
    <w:rsid w:val="0042633E"/>
    <w:rsid w:val="004273BE"/>
    <w:rsid w:val="00431B10"/>
    <w:rsid w:val="00433721"/>
    <w:rsid w:val="00433A10"/>
    <w:rsid w:val="00433BCE"/>
    <w:rsid w:val="00434179"/>
    <w:rsid w:val="0043474D"/>
    <w:rsid w:val="00435F16"/>
    <w:rsid w:val="00440155"/>
    <w:rsid w:val="004405B3"/>
    <w:rsid w:val="004407D3"/>
    <w:rsid w:val="00441E52"/>
    <w:rsid w:val="00444330"/>
    <w:rsid w:val="00444658"/>
    <w:rsid w:val="00446E22"/>
    <w:rsid w:val="0044749E"/>
    <w:rsid w:val="0045027B"/>
    <w:rsid w:val="004503D4"/>
    <w:rsid w:val="00450506"/>
    <w:rsid w:val="004516F2"/>
    <w:rsid w:val="00451BF9"/>
    <w:rsid w:val="00454E12"/>
    <w:rsid w:val="004556A7"/>
    <w:rsid w:val="004562D5"/>
    <w:rsid w:val="00457C7B"/>
    <w:rsid w:val="004604F9"/>
    <w:rsid w:val="00461472"/>
    <w:rsid w:val="00462D6B"/>
    <w:rsid w:val="00463D40"/>
    <w:rsid w:val="00465F9F"/>
    <w:rsid w:val="004672AB"/>
    <w:rsid w:val="004679D9"/>
    <w:rsid w:val="004717E4"/>
    <w:rsid w:val="00472029"/>
    <w:rsid w:val="004725CA"/>
    <w:rsid w:val="00473774"/>
    <w:rsid w:val="00475598"/>
    <w:rsid w:val="00475C34"/>
    <w:rsid w:val="00476E90"/>
    <w:rsid w:val="004770FB"/>
    <w:rsid w:val="00477A3C"/>
    <w:rsid w:val="00477A44"/>
    <w:rsid w:val="00482B4E"/>
    <w:rsid w:val="00482C2A"/>
    <w:rsid w:val="00483071"/>
    <w:rsid w:val="00483C40"/>
    <w:rsid w:val="00484181"/>
    <w:rsid w:val="0048440D"/>
    <w:rsid w:val="004874A2"/>
    <w:rsid w:val="00487F77"/>
    <w:rsid w:val="004944C9"/>
    <w:rsid w:val="004952FD"/>
    <w:rsid w:val="00495754"/>
    <w:rsid w:val="00495B04"/>
    <w:rsid w:val="00495E02"/>
    <w:rsid w:val="00496DCC"/>
    <w:rsid w:val="00497051"/>
    <w:rsid w:val="00497817"/>
    <w:rsid w:val="004A0833"/>
    <w:rsid w:val="004A1347"/>
    <w:rsid w:val="004A1A82"/>
    <w:rsid w:val="004A1D2D"/>
    <w:rsid w:val="004A227E"/>
    <w:rsid w:val="004A563A"/>
    <w:rsid w:val="004B0767"/>
    <w:rsid w:val="004B2BA7"/>
    <w:rsid w:val="004B3DD6"/>
    <w:rsid w:val="004B3E1E"/>
    <w:rsid w:val="004B77E2"/>
    <w:rsid w:val="004C190D"/>
    <w:rsid w:val="004C39F4"/>
    <w:rsid w:val="004C58B1"/>
    <w:rsid w:val="004C58E6"/>
    <w:rsid w:val="004C6A78"/>
    <w:rsid w:val="004C7278"/>
    <w:rsid w:val="004C7D97"/>
    <w:rsid w:val="004D0531"/>
    <w:rsid w:val="004D1281"/>
    <w:rsid w:val="004D14CD"/>
    <w:rsid w:val="004D16AE"/>
    <w:rsid w:val="004D2943"/>
    <w:rsid w:val="004D2F91"/>
    <w:rsid w:val="004D34A9"/>
    <w:rsid w:val="004D372F"/>
    <w:rsid w:val="004D3B23"/>
    <w:rsid w:val="004D53C4"/>
    <w:rsid w:val="004D6B10"/>
    <w:rsid w:val="004D6F02"/>
    <w:rsid w:val="004D7ACF"/>
    <w:rsid w:val="004E028C"/>
    <w:rsid w:val="004E052A"/>
    <w:rsid w:val="004E22AD"/>
    <w:rsid w:val="004E3556"/>
    <w:rsid w:val="004E3DEB"/>
    <w:rsid w:val="004E44ED"/>
    <w:rsid w:val="004E4CDE"/>
    <w:rsid w:val="004E514D"/>
    <w:rsid w:val="004F02BE"/>
    <w:rsid w:val="004F1AC6"/>
    <w:rsid w:val="004F24D5"/>
    <w:rsid w:val="004F3B66"/>
    <w:rsid w:val="004F5CFB"/>
    <w:rsid w:val="0050030E"/>
    <w:rsid w:val="005013E3"/>
    <w:rsid w:val="00502713"/>
    <w:rsid w:val="00502878"/>
    <w:rsid w:val="005044D8"/>
    <w:rsid w:val="0050574E"/>
    <w:rsid w:val="005063A3"/>
    <w:rsid w:val="00507ABC"/>
    <w:rsid w:val="00510A59"/>
    <w:rsid w:val="00512A73"/>
    <w:rsid w:val="005131C1"/>
    <w:rsid w:val="00514DFA"/>
    <w:rsid w:val="0051537F"/>
    <w:rsid w:val="00517D7D"/>
    <w:rsid w:val="005225CC"/>
    <w:rsid w:val="0052298D"/>
    <w:rsid w:val="00524168"/>
    <w:rsid w:val="00525614"/>
    <w:rsid w:val="00525B13"/>
    <w:rsid w:val="00525DFB"/>
    <w:rsid w:val="0053189D"/>
    <w:rsid w:val="00532ACA"/>
    <w:rsid w:val="00535D7D"/>
    <w:rsid w:val="00535E38"/>
    <w:rsid w:val="0054042E"/>
    <w:rsid w:val="00540D66"/>
    <w:rsid w:val="005423BF"/>
    <w:rsid w:val="005424F5"/>
    <w:rsid w:val="005441B6"/>
    <w:rsid w:val="00544236"/>
    <w:rsid w:val="00544A80"/>
    <w:rsid w:val="00546ACE"/>
    <w:rsid w:val="00546C38"/>
    <w:rsid w:val="00546DB0"/>
    <w:rsid w:val="00550F3C"/>
    <w:rsid w:val="005513D2"/>
    <w:rsid w:val="0055192C"/>
    <w:rsid w:val="00551AD4"/>
    <w:rsid w:val="00551B05"/>
    <w:rsid w:val="0055406C"/>
    <w:rsid w:val="0055508C"/>
    <w:rsid w:val="005637EB"/>
    <w:rsid w:val="00563843"/>
    <w:rsid w:val="00564480"/>
    <w:rsid w:val="00564E2E"/>
    <w:rsid w:val="00565A97"/>
    <w:rsid w:val="00565F00"/>
    <w:rsid w:val="00566885"/>
    <w:rsid w:val="005674F6"/>
    <w:rsid w:val="005718B7"/>
    <w:rsid w:val="00572D70"/>
    <w:rsid w:val="0057386E"/>
    <w:rsid w:val="00575F4F"/>
    <w:rsid w:val="0057704F"/>
    <w:rsid w:val="00577372"/>
    <w:rsid w:val="0057740A"/>
    <w:rsid w:val="00580F87"/>
    <w:rsid w:val="005812E9"/>
    <w:rsid w:val="005819CE"/>
    <w:rsid w:val="005824AF"/>
    <w:rsid w:val="0058261E"/>
    <w:rsid w:val="00585BFE"/>
    <w:rsid w:val="0058636C"/>
    <w:rsid w:val="005911CE"/>
    <w:rsid w:val="00591B5A"/>
    <w:rsid w:val="00593A33"/>
    <w:rsid w:val="00595235"/>
    <w:rsid w:val="00597997"/>
    <w:rsid w:val="005A1A6E"/>
    <w:rsid w:val="005A2808"/>
    <w:rsid w:val="005A6391"/>
    <w:rsid w:val="005A6952"/>
    <w:rsid w:val="005A6C9D"/>
    <w:rsid w:val="005B0F5B"/>
    <w:rsid w:val="005B1289"/>
    <w:rsid w:val="005B24AD"/>
    <w:rsid w:val="005B4632"/>
    <w:rsid w:val="005B4886"/>
    <w:rsid w:val="005B4DD4"/>
    <w:rsid w:val="005B646F"/>
    <w:rsid w:val="005C01AE"/>
    <w:rsid w:val="005C314E"/>
    <w:rsid w:val="005C339A"/>
    <w:rsid w:val="005C51AD"/>
    <w:rsid w:val="005C5F58"/>
    <w:rsid w:val="005C64DB"/>
    <w:rsid w:val="005C756E"/>
    <w:rsid w:val="005D005B"/>
    <w:rsid w:val="005D159A"/>
    <w:rsid w:val="005D2AE3"/>
    <w:rsid w:val="005D2FE9"/>
    <w:rsid w:val="005D35B3"/>
    <w:rsid w:val="005D3B58"/>
    <w:rsid w:val="005D41FE"/>
    <w:rsid w:val="005D4CAD"/>
    <w:rsid w:val="005D5A12"/>
    <w:rsid w:val="005D6093"/>
    <w:rsid w:val="005D6B86"/>
    <w:rsid w:val="005D6EDD"/>
    <w:rsid w:val="005D7537"/>
    <w:rsid w:val="005E2EB0"/>
    <w:rsid w:val="005E41C9"/>
    <w:rsid w:val="005E5519"/>
    <w:rsid w:val="005E752A"/>
    <w:rsid w:val="005E7BFB"/>
    <w:rsid w:val="005E7E8B"/>
    <w:rsid w:val="005F05CC"/>
    <w:rsid w:val="005F0EC2"/>
    <w:rsid w:val="005F18EF"/>
    <w:rsid w:val="005F1904"/>
    <w:rsid w:val="005F2361"/>
    <w:rsid w:val="005F2714"/>
    <w:rsid w:val="005F2C12"/>
    <w:rsid w:val="005F2CEF"/>
    <w:rsid w:val="005F521E"/>
    <w:rsid w:val="00600034"/>
    <w:rsid w:val="006004A1"/>
    <w:rsid w:val="00600529"/>
    <w:rsid w:val="006013E9"/>
    <w:rsid w:val="0060318E"/>
    <w:rsid w:val="00603C13"/>
    <w:rsid w:val="006044CE"/>
    <w:rsid w:val="00604E18"/>
    <w:rsid w:val="00605BD2"/>
    <w:rsid w:val="00607212"/>
    <w:rsid w:val="00607B4E"/>
    <w:rsid w:val="00607C05"/>
    <w:rsid w:val="00610042"/>
    <w:rsid w:val="006105DB"/>
    <w:rsid w:val="0061076A"/>
    <w:rsid w:val="00611C4F"/>
    <w:rsid w:val="0061470B"/>
    <w:rsid w:val="00615173"/>
    <w:rsid w:val="0062090A"/>
    <w:rsid w:val="00621ED7"/>
    <w:rsid w:val="0062497D"/>
    <w:rsid w:val="00625881"/>
    <w:rsid w:val="00630B5A"/>
    <w:rsid w:val="006312A0"/>
    <w:rsid w:val="006316EF"/>
    <w:rsid w:val="00634BF5"/>
    <w:rsid w:val="00635544"/>
    <w:rsid w:val="00637B49"/>
    <w:rsid w:val="00640A65"/>
    <w:rsid w:val="00641ADD"/>
    <w:rsid w:val="0064294F"/>
    <w:rsid w:val="00642D48"/>
    <w:rsid w:val="00643CE6"/>
    <w:rsid w:val="00643E37"/>
    <w:rsid w:val="0064401D"/>
    <w:rsid w:val="00645636"/>
    <w:rsid w:val="00645743"/>
    <w:rsid w:val="006463A2"/>
    <w:rsid w:val="006531AE"/>
    <w:rsid w:val="0065410E"/>
    <w:rsid w:val="006557D6"/>
    <w:rsid w:val="00656807"/>
    <w:rsid w:val="00657A6D"/>
    <w:rsid w:val="0066047E"/>
    <w:rsid w:val="00661B1A"/>
    <w:rsid w:val="00662E20"/>
    <w:rsid w:val="006645B9"/>
    <w:rsid w:val="00665B63"/>
    <w:rsid w:val="0066698D"/>
    <w:rsid w:val="0066790F"/>
    <w:rsid w:val="00667F59"/>
    <w:rsid w:val="006770E9"/>
    <w:rsid w:val="006823EF"/>
    <w:rsid w:val="006850A7"/>
    <w:rsid w:val="00685829"/>
    <w:rsid w:val="0069061E"/>
    <w:rsid w:val="006910A0"/>
    <w:rsid w:val="006A094E"/>
    <w:rsid w:val="006A3786"/>
    <w:rsid w:val="006A3964"/>
    <w:rsid w:val="006A4218"/>
    <w:rsid w:val="006A42B5"/>
    <w:rsid w:val="006A53C0"/>
    <w:rsid w:val="006A7798"/>
    <w:rsid w:val="006B177B"/>
    <w:rsid w:val="006B1DA5"/>
    <w:rsid w:val="006B368C"/>
    <w:rsid w:val="006B44EA"/>
    <w:rsid w:val="006B52F2"/>
    <w:rsid w:val="006C005D"/>
    <w:rsid w:val="006C4DF3"/>
    <w:rsid w:val="006C78D5"/>
    <w:rsid w:val="006D03E4"/>
    <w:rsid w:val="006D38EE"/>
    <w:rsid w:val="006D439D"/>
    <w:rsid w:val="006D7037"/>
    <w:rsid w:val="006E0D22"/>
    <w:rsid w:val="006E3107"/>
    <w:rsid w:val="006E3B2F"/>
    <w:rsid w:val="006E4491"/>
    <w:rsid w:val="006E6A49"/>
    <w:rsid w:val="006F2A7F"/>
    <w:rsid w:val="006F337D"/>
    <w:rsid w:val="006F3A38"/>
    <w:rsid w:val="006F40C7"/>
    <w:rsid w:val="006F64A2"/>
    <w:rsid w:val="006F79EC"/>
    <w:rsid w:val="006F7E9F"/>
    <w:rsid w:val="007007E9"/>
    <w:rsid w:val="00701B0A"/>
    <w:rsid w:val="00701CE4"/>
    <w:rsid w:val="00703D35"/>
    <w:rsid w:val="00703D81"/>
    <w:rsid w:val="007049A0"/>
    <w:rsid w:val="00706085"/>
    <w:rsid w:val="00706725"/>
    <w:rsid w:val="00710429"/>
    <w:rsid w:val="00710E52"/>
    <w:rsid w:val="007114C7"/>
    <w:rsid w:val="00711A6B"/>
    <w:rsid w:val="00711A73"/>
    <w:rsid w:val="007138DB"/>
    <w:rsid w:val="00713E73"/>
    <w:rsid w:val="007150DA"/>
    <w:rsid w:val="0071641D"/>
    <w:rsid w:val="00716926"/>
    <w:rsid w:val="00720CD6"/>
    <w:rsid w:val="0072228E"/>
    <w:rsid w:val="007238BC"/>
    <w:rsid w:val="00723D9B"/>
    <w:rsid w:val="00724528"/>
    <w:rsid w:val="00730D9C"/>
    <w:rsid w:val="0073165A"/>
    <w:rsid w:val="0073440F"/>
    <w:rsid w:val="00734C64"/>
    <w:rsid w:val="00743439"/>
    <w:rsid w:val="00746F2B"/>
    <w:rsid w:val="00750DCF"/>
    <w:rsid w:val="00751853"/>
    <w:rsid w:val="00754314"/>
    <w:rsid w:val="007604B2"/>
    <w:rsid w:val="0076073F"/>
    <w:rsid w:val="00762746"/>
    <w:rsid w:val="0076347F"/>
    <w:rsid w:val="0076372C"/>
    <w:rsid w:val="00763FA6"/>
    <w:rsid w:val="00764941"/>
    <w:rsid w:val="00764C73"/>
    <w:rsid w:val="00764D58"/>
    <w:rsid w:val="00774A0D"/>
    <w:rsid w:val="00774AE1"/>
    <w:rsid w:val="00774DF5"/>
    <w:rsid w:val="0077653C"/>
    <w:rsid w:val="00777E53"/>
    <w:rsid w:val="007825C9"/>
    <w:rsid w:val="007850DD"/>
    <w:rsid w:val="0079062D"/>
    <w:rsid w:val="00790C1B"/>
    <w:rsid w:val="00793893"/>
    <w:rsid w:val="00793B53"/>
    <w:rsid w:val="007949D0"/>
    <w:rsid w:val="0079530A"/>
    <w:rsid w:val="00795861"/>
    <w:rsid w:val="00797032"/>
    <w:rsid w:val="007A07D0"/>
    <w:rsid w:val="007A4DDC"/>
    <w:rsid w:val="007A6537"/>
    <w:rsid w:val="007A6C3E"/>
    <w:rsid w:val="007A7398"/>
    <w:rsid w:val="007B097B"/>
    <w:rsid w:val="007B15B8"/>
    <w:rsid w:val="007B179C"/>
    <w:rsid w:val="007B2A77"/>
    <w:rsid w:val="007B2B64"/>
    <w:rsid w:val="007B3408"/>
    <w:rsid w:val="007B5569"/>
    <w:rsid w:val="007B56A1"/>
    <w:rsid w:val="007B5E6B"/>
    <w:rsid w:val="007B766B"/>
    <w:rsid w:val="007C0574"/>
    <w:rsid w:val="007C1E1A"/>
    <w:rsid w:val="007C33A4"/>
    <w:rsid w:val="007C5097"/>
    <w:rsid w:val="007C5931"/>
    <w:rsid w:val="007C73D6"/>
    <w:rsid w:val="007C783E"/>
    <w:rsid w:val="007D01D9"/>
    <w:rsid w:val="007D1E92"/>
    <w:rsid w:val="007D339D"/>
    <w:rsid w:val="007D4156"/>
    <w:rsid w:val="007D5410"/>
    <w:rsid w:val="007D549E"/>
    <w:rsid w:val="007D74D2"/>
    <w:rsid w:val="007E1391"/>
    <w:rsid w:val="007E4E66"/>
    <w:rsid w:val="007E64C3"/>
    <w:rsid w:val="007E66E0"/>
    <w:rsid w:val="007F27BA"/>
    <w:rsid w:val="007F29DE"/>
    <w:rsid w:val="007F40E4"/>
    <w:rsid w:val="007F53C1"/>
    <w:rsid w:val="007F6BF9"/>
    <w:rsid w:val="007F6D06"/>
    <w:rsid w:val="008007B4"/>
    <w:rsid w:val="008018DB"/>
    <w:rsid w:val="00801C9C"/>
    <w:rsid w:val="00804082"/>
    <w:rsid w:val="0080457F"/>
    <w:rsid w:val="00804973"/>
    <w:rsid w:val="00805501"/>
    <w:rsid w:val="00805AA0"/>
    <w:rsid w:val="00805FB9"/>
    <w:rsid w:val="00807E55"/>
    <w:rsid w:val="00810111"/>
    <w:rsid w:val="008121D3"/>
    <w:rsid w:val="0081270D"/>
    <w:rsid w:val="00812AF5"/>
    <w:rsid w:val="008146BC"/>
    <w:rsid w:val="00814909"/>
    <w:rsid w:val="008153A9"/>
    <w:rsid w:val="008156BB"/>
    <w:rsid w:val="00815D2C"/>
    <w:rsid w:val="00817AC6"/>
    <w:rsid w:val="0082127E"/>
    <w:rsid w:val="00822774"/>
    <w:rsid w:val="00824F30"/>
    <w:rsid w:val="008265AE"/>
    <w:rsid w:val="00826D6F"/>
    <w:rsid w:val="00827046"/>
    <w:rsid w:val="008270D7"/>
    <w:rsid w:val="00827A07"/>
    <w:rsid w:val="00830080"/>
    <w:rsid w:val="008343B5"/>
    <w:rsid w:val="00835539"/>
    <w:rsid w:val="00835D71"/>
    <w:rsid w:val="00836ED6"/>
    <w:rsid w:val="00837025"/>
    <w:rsid w:val="0084008A"/>
    <w:rsid w:val="008421FD"/>
    <w:rsid w:val="0084385E"/>
    <w:rsid w:val="00843AEF"/>
    <w:rsid w:val="00844A41"/>
    <w:rsid w:val="00844CD6"/>
    <w:rsid w:val="00845ABB"/>
    <w:rsid w:val="00845F7B"/>
    <w:rsid w:val="00846E39"/>
    <w:rsid w:val="008479D6"/>
    <w:rsid w:val="00847B90"/>
    <w:rsid w:val="00850173"/>
    <w:rsid w:val="00850718"/>
    <w:rsid w:val="0085212F"/>
    <w:rsid w:val="008527FD"/>
    <w:rsid w:val="00852E82"/>
    <w:rsid w:val="00855638"/>
    <w:rsid w:val="00860AFA"/>
    <w:rsid w:val="00862AC6"/>
    <w:rsid w:val="00863B41"/>
    <w:rsid w:val="008640A4"/>
    <w:rsid w:val="00864574"/>
    <w:rsid w:val="00865294"/>
    <w:rsid w:val="00865EC6"/>
    <w:rsid w:val="00866D39"/>
    <w:rsid w:val="00867A35"/>
    <w:rsid w:val="00870C80"/>
    <w:rsid w:val="00870CE8"/>
    <w:rsid w:val="00871DB4"/>
    <w:rsid w:val="00871F31"/>
    <w:rsid w:val="008733D5"/>
    <w:rsid w:val="0087423B"/>
    <w:rsid w:val="0087507E"/>
    <w:rsid w:val="00875801"/>
    <w:rsid w:val="00881B6F"/>
    <w:rsid w:val="00882D2E"/>
    <w:rsid w:val="00886473"/>
    <w:rsid w:val="00887DC1"/>
    <w:rsid w:val="008900AC"/>
    <w:rsid w:val="00891241"/>
    <w:rsid w:val="00891CE3"/>
    <w:rsid w:val="0089322B"/>
    <w:rsid w:val="008934F8"/>
    <w:rsid w:val="008935CC"/>
    <w:rsid w:val="00896AC9"/>
    <w:rsid w:val="008A0C3F"/>
    <w:rsid w:val="008B0CF0"/>
    <w:rsid w:val="008B268E"/>
    <w:rsid w:val="008B3FAA"/>
    <w:rsid w:val="008B57B6"/>
    <w:rsid w:val="008B5C85"/>
    <w:rsid w:val="008B5D4E"/>
    <w:rsid w:val="008B63BB"/>
    <w:rsid w:val="008C10DD"/>
    <w:rsid w:val="008C2DEA"/>
    <w:rsid w:val="008C3DA8"/>
    <w:rsid w:val="008D0403"/>
    <w:rsid w:val="008D435D"/>
    <w:rsid w:val="008D51B2"/>
    <w:rsid w:val="008D57B0"/>
    <w:rsid w:val="008D64AF"/>
    <w:rsid w:val="008D6D57"/>
    <w:rsid w:val="008E0134"/>
    <w:rsid w:val="008E098F"/>
    <w:rsid w:val="008E1563"/>
    <w:rsid w:val="008E16FE"/>
    <w:rsid w:val="008E1C09"/>
    <w:rsid w:val="008E2E9A"/>
    <w:rsid w:val="008E33FD"/>
    <w:rsid w:val="008E4B83"/>
    <w:rsid w:val="008E52F4"/>
    <w:rsid w:val="008E5B5A"/>
    <w:rsid w:val="008E6DB7"/>
    <w:rsid w:val="008F15CC"/>
    <w:rsid w:val="008F2871"/>
    <w:rsid w:val="008F2AA2"/>
    <w:rsid w:val="008F3F50"/>
    <w:rsid w:val="008F43BB"/>
    <w:rsid w:val="008F558A"/>
    <w:rsid w:val="009000D3"/>
    <w:rsid w:val="00901B9C"/>
    <w:rsid w:val="00903F46"/>
    <w:rsid w:val="0090463C"/>
    <w:rsid w:val="00904924"/>
    <w:rsid w:val="00904A60"/>
    <w:rsid w:val="00905318"/>
    <w:rsid w:val="00906BDF"/>
    <w:rsid w:val="0091110A"/>
    <w:rsid w:val="00911470"/>
    <w:rsid w:val="0091188A"/>
    <w:rsid w:val="00913E42"/>
    <w:rsid w:val="00914DC9"/>
    <w:rsid w:val="00916516"/>
    <w:rsid w:val="0092064A"/>
    <w:rsid w:val="009228B7"/>
    <w:rsid w:val="009237D3"/>
    <w:rsid w:val="00924D19"/>
    <w:rsid w:val="00925241"/>
    <w:rsid w:val="00925339"/>
    <w:rsid w:val="00925BB5"/>
    <w:rsid w:val="00925E3C"/>
    <w:rsid w:val="0092601E"/>
    <w:rsid w:val="009277F0"/>
    <w:rsid w:val="00930014"/>
    <w:rsid w:val="00931647"/>
    <w:rsid w:val="00933AC6"/>
    <w:rsid w:val="00934429"/>
    <w:rsid w:val="00935524"/>
    <w:rsid w:val="00935B73"/>
    <w:rsid w:val="009360DF"/>
    <w:rsid w:val="00940644"/>
    <w:rsid w:val="00941A4E"/>
    <w:rsid w:val="00942290"/>
    <w:rsid w:val="009448B0"/>
    <w:rsid w:val="00945285"/>
    <w:rsid w:val="0094576F"/>
    <w:rsid w:val="00945EBB"/>
    <w:rsid w:val="00946475"/>
    <w:rsid w:val="00947505"/>
    <w:rsid w:val="009475BE"/>
    <w:rsid w:val="00947921"/>
    <w:rsid w:val="0094796F"/>
    <w:rsid w:val="00950BC5"/>
    <w:rsid w:val="00952C55"/>
    <w:rsid w:val="00952DE2"/>
    <w:rsid w:val="00953A14"/>
    <w:rsid w:val="00953DC9"/>
    <w:rsid w:val="00954255"/>
    <w:rsid w:val="009545D1"/>
    <w:rsid w:val="00960599"/>
    <w:rsid w:val="00961A7F"/>
    <w:rsid w:val="00962174"/>
    <w:rsid w:val="00962EB4"/>
    <w:rsid w:val="00963209"/>
    <w:rsid w:val="0096400A"/>
    <w:rsid w:val="00965B9E"/>
    <w:rsid w:val="009671E8"/>
    <w:rsid w:val="00967708"/>
    <w:rsid w:val="009704BA"/>
    <w:rsid w:val="009712D0"/>
    <w:rsid w:val="00973B37"/>
    <w:rsid w:val="00974FCE"/>
    <w:rsid w:val="009769B7"/>
    <w:rsid w:val="00977181"/>
    <w:rsid w:val="00977CFC"/>
    <w:rsid w:val="00977FF1"/>
    <w:rsid w:val="0098336A"/>
    <w:rsid w:val="00984B0E"/>
    <w:rsid w:val="00985549"/>
    <w:rsid w:val="00987030"/>
    <w:rsid w:val="009873BE"/>
    <w:rsid w:val="00987692"/>
    <w:rsid w:val="00987A8A"/>
    <w:rsid w:val="00990991"/>
    <w:rsid w:val="009A0A49"/>
    <w:rsid w:val="009A2050"/>
    <w:rsid w:val="009A2B2D"/>
    <w:rsid w:val="009A41CC"/>
    <w:rsid w:val="009A4435"/>
    <w:rsid w:val="009A649C"/>
    <w:rsid w:val="009A7FC7"/>
    <w:rsid w:val="009B00F9"/>
    <w:rsid w:val="009B0760"/>
    <w:rsid w:val="009B07EF"/>
    <w:rsid w:val="009B2DDF"/>
    <w:rsid w:val="009B356F"/>
    <w:rsid w:val="009B3575"/>
    <w:rsid w:val="009B35F5"/>
    <w:rsid w:val="009B445D"/>
    <w:rsid w:val="009B488B"/>
    <w:rsid w:val="009B48C0"/>
    <w:rsid w:val="009B5035"/>
    <w:rsid w:val="009C0B4E"/>
    <w:rsid w:val="009C1400"/>
    <w:rsid w:val="009C14C3"/>
    <w:rsid w:val="009C3B10"/>
    <w:rsid w:val="009C46A2"/>
    <w:rsid w:val="009D056D"/>
    <w:rsid w:val="009D0D39"/>
    <w:rsid w:val="009D0ED1"/>
    <w:rsid w:val="009D1841"/>
    <w:rsid w:val="009D18B0"/>
    <w:rsid w:val="009D1FD2"/>
    <w:rsid w:val="009D3FBC"/>
    <w:rsid w:val="009D5715"/>
    <w:rsid w:val="009D649E"/>
    <w:rsid w:val="009D7C14"/>
    <w:rsid w:val="009E1307"/>
    <w:rsid w:val="009E5733"/>
    <w:rsid w:val="009E761A"/>
    <w:rsid w:val="009F1607"/>
    <w:rsid w:val="009F2BBE"/>
    <w:rsid w:val="009F4655"/>
    <w:rsid w:val="009F54A1"/>
    <w:rsid w:val="009F6E9C"/>
    <w:rsid w:val="009F6EAB"/>
    <w:rsid w:val="00A0006D"/>
    <w:rsid w:val="00A00A36"/>
    <w:rsid w:val="00A02B6F"/>
    <w:rsid w:val="00A0432A"/>
    <w:rsid w:val="00A07221"/>
    <w:rsid w:val="00A07BF5"/>
    <w:rsid w:val="00A106EF"/>
    <w:rsid w:val="00A11A46"/>
    <w:rsid w:val="00A11E8A"/>
    <w:rsid w:val="00A121D3"/>
    <w:rsid w:val="00A16B51"/>
    <w:rsid w:val="00A17861"/>
    <w:rsid w:val="00A17DA9"/>
    <w:rsid w:val="00A22A62"/>
    <w:rsid w:val="00A23EF8"/>
    <w:rsid w:val="00A2474B"/>
    <w:rsid w:val="00A255C6"/>
    <w:rsid w:val="00A27D3F"/>
    <w:rsid w:val="00A30D10"/>
    <w:rsid w:val="00A31345"/>
    <w:rsid w:val="00A33109"/>
    <w:rsid w:val="00A331FE"/>
    <w:rsid w:val="00A33350"/>
    <w:rsid w:val="00A35A19"/>
    <w:rsid w:val="00A36996"/>
    <w:rsid w:val="00A36A27"/>
    <w:rsid w:val="00A373AC"/>
    <w:rsid w:val="00A37776"/>
    <w:rsid w:val="00A407DF"/>
    <w:rsid w:val="00A40AC9"/>
    <w:rsid w:val="00A4126B"/>
    <w:rsid w:val="00A4255D"/>
    <w:rsid w:val="00A43766"/>
    <w:rsid w:val="00A43F41"/>
    <w:rsid w:val="00A444EF"/>
    <w:rsid w:val="00A4468C"/>
    <w:rsid w:val="00A44CC4"/>
    <w:rsid w:val="00A4588A"/>
    <w:rsid w:val="00A462FB"/>
    <w:rsid w:val="00A46B04"/>
    <w:rsid w:val="00A50A86"/>
    <w:rsid w:val="00A50C7D"/>
    <w:rsid w:val="00A50F73"/>
    <w:rsid w:val="00A51FEB"/>
    <w:rsid w:val="00A52D4A"/>
    <w:rsid w:val="00A565F1"/>
    <w:rsid w:val="00A60712"/>
    <w:rsid w:val="00A60E95"/>
    <w:rsid w:val="00A61141"/>
    <w:rsid w:val="00A62815"/>
    <w:rsid w:val="00A62A0D"/>
    <w:rsid w:val="00A631E9"/>
    <w:rsid w:val="00A63BD3"/>
    <w:rsid w:val="00A65EAC"/>
    <w:rsid w:val="00A669CE"/>
    <w:rsid w:val="00A67303"/>
    <w:rsid w:val="00A708F9"/>
    <w:rsid w:val="00A70A2B"/>
    <w:rsid w:val="00A71386"/>
    <w:rsid w:val="00A72B01"/>
    <w:rsid w:val="00A74745"/>
    <w:rsid w:val="00A74855"/>
    <w:rsid w:val="00A75AD9"/>
    <w:rsid w:val="00A75D7F"/>
    <w:rsid w:val="00A775D1"/>
    <w:rsid w:val="00A819F1"/>
    <w:rsid w:val="00A81D73"/>
    <w:rsid w:val="00A8390C"/>
    <w:rsid w:val="00A8402A"/>
    <w:rsid w:val="00A85957"/>
    <w:rsid w:val="00A87BB7"/>
    <w:rsid w:val="00A9034B"/>
    <w:rsid w:val="00A90C54"/>
    <w:rsid w:val="00A92CC6"/>
    <w:rsid w:val="00A92FBC"/>
    <w:rsid w:val="00A93C28"/>
    <w:rsid w:val="00A93E9B"/>
    <w:rsid w:val="00A9459B"/>
    <w:rsid w:val="00A94D88"/>
    <w:rsid w:val="00A94D98"/>
    <w:rsid w:val="00A96057"/>
    <w:rsid w:val="00A96CDF"/>
    <w:rsid w:val="00AA33B3"/>
    <w:rsid w:val="00AA3F87"/>
    <w:rsid w:val="00AA5156"/>
    <w:rsid w:val="00AA5ED1"/>
    <w:rsid w:val="00AB0060"/>
    <w:rsid w:val="00AB0229"/>
    <w:rsid w:val="00AB338D"/>
    <w:rsid w:val="00AB3E6F"/>
    <w:rsid w:val="00AB4CB9"/>
    <w:rsid w:val="00AB77EA"/>
    <w:rsid w:val="00AB7E18"/>
    <w:rsid w:val="00AC04DE"/>
    <w:rsid w:val="00AC07F7"/>
    <w:rsid w:val="00AC0B8D"/>
    <w:rsid w:val="00AC52D3"/>
    <w:rsid w:val="00AC6DB7"/>
    <w:rsid w:val="00AC77EF"/>
    <w:rsid w:val="00AD133E"/>
    <w:rsid w:val="00AD1DD7"/>
    <w:rsid w:val="00AD3B2B"/>
    <w:rsid w:val="00AD5197"/>
    <w:rsid w:val="00AD62AD"/>
    <w:rsid w:val="00AE02CB"/>
    <w:rsid w:val="00AE1AE9"/>
    <w:rsid w:val="00AE22BB"/>
    <w:rsid w:val="00AE2DA7"/>
    <w:rsid w:val="00AE4948"/>
    <w:rsid w:val="00AE5BD6"/>
    <w:rsid w:val="00AE6625"/>
    <w:rsid w:val="00AE76B0"/>
    <w:rsid w:val="00AF1520"/>
    <w:rsid w:val="00AF1577"/>
    <w:rsid w:val="00AF3F7B"/>
    <w:rsid w:val="00AF6DF9"/>
    <w:rsid w:val="00B01560"/>
    <w:rsid w:val="00B018D9"/>
    <w:rsid w:val="00B038F2"/>
    <w:rsid w:val="00B051BE"/>
    <w:rsid w:val="00B06C8C"/>
    <w:rsid w:val="00B10C7B"/>
    <w:rsid w:val="00B11029"/>
    <w:rsid w:val="00B1178E"/>
    <w:rsid w:val="00B11A59"/>
    <w:rsid w:val="00B11BCD"/>
    <w:rsid w:val="00B1221A"/>
    <w:rsid w:val="00B128AA"/>
    <w:rsid w:val="00B129E6"/>
    <w:rsid w:val="00B13A09"/>
    <w:rsid w:val="00B155D5"/>
    <w:rsid w:val="00B159FE"/>
    <w:rsid w:val="00B15D7F"/>
    <w:rsid w:val="00B161FA"/>
    <w:rsid w:val="00B16F16"/>
    <w:rsid w:val="00B16F65"/>
    <w:rsid w:val="00B20823"/>
    <w:rsid w:val="00B20D6D"/>
    <w:rsid w:val="00B21293"/>
    <w:rsid w:val="00B21B76"/>
    <w:rsid w:val="00B22A60"/>
    <w:rsid w:val="00B22B77"/>
    <w:rsid w:val="00B23AB9"/>
    <w:rsid w:val="00B2412F"/>
    <w:rsid w:val="00B26498"/>
    <w:rsid w:val="00B2770F"/>
    <w:rsid w:val="00B32C2C"/>
    <w:rsid w:val="00B3309C"/>
    <w:rsid w:val="00B33198"/>
    <w:rsid w:val="00B35149"/>
    <w:rsid w:val="00B35E76"/>
    <w:rsid w:val="00B37882"/>
    <w:rsid w:val="00B421DE"/>
    <w:rsid w:val="00B42336"/>
    <w:rsid w:val="00B424B1"/>
    <w:rsid w:val="00B42E88"/>
    <w:rsid w:val="00B4302E"/>
    <w:rsid w:val="00B4522A"/>
    <w:rsid w:val="00B4660B"/>
    <w:rsid w:val="00B46801"/>
    <w:rsid w:val="00B51F42"/>
    <w:rsid w:val="00B52FAC"/>
    <w:rsid w:val="00B53453"/>
    <w:rsid w:val="00B552A8"/>
    <w:rsid w:val="00B576E3"/>
    <w:rsid w:val="00B57E56"/>
    <w:rsid w:val="00B6061C"/>
    <w:rsid w:val="00B613BE"/>
    <w:rsid w:val="00B61642"/>
    <w:rsid w:val="00B61F93"/>
    <w:rsid w:val="00B6244E"/>
    <w:rsid w:val="00B65B76"/>
    <w:rsid w:val="00B65F67"/>
    <w:rsid w:val="00B66880"/>
    <w:rsid w:val="00B66E9B"/>
    <w:rsid w:val="00B70165"/>
    <w:rsid w:val="00B70C7D"/>
    <w:rsid w:val="00B72003"/>
    <w:rsid w:val="00B72326"/>
    <w:rsid w:val="00B72581"/>
    <w:rsid w:val="00B7302D"/>
    <w:rsid w:val="00B74856"/>
    <w:rsid w:val="00B759C6"/>
    <w:rsid w:val="00B76856"/>
    <w:rsid w:val="00B76865"/>
    <w:rsid w:val="00B777BE"/>
    <w:rsid w:val="00B77B5D"/>
    <w:rsid w:val="00B84462"/>
    <w:rsid w:val="00B846EB"/>
    <w:rsid w:val="00B857FD"/>
    <w:rsid w:val="00B873E1"/>
    <w:rsid w:val="00B905BA"/>
    <w:rsid w:val="00B92801"/>
    <w:rsid w:val="00B92E32"/>
    <w:rsid w:val="00B95AC3"/>
    <w:rsid w:val="00B95E15"/>
    <w:rsid w:val="00B96659"/>
    <w:rsid w:val="00B9740B"/>
    <w:rsid w:val="00BA221D"/>
    <w:rsid w:val="00BA24A1"/>
    <w:rsid w:val="00BA26B2"/>
    <w:rsid w:val="00BA3599"/>
    <w:rsid w:val="00BA463B"/>
    <w:rsid w:val="00BA48B3"/>
    <w:rsid w:val="00BA4EB8"/>
    <w:rsid w:val="00BA51A9"/>
    <w:rsid w:val="00BB23A1"/>
    <w:rsid w:val="00BB27BC"/>
    <w:rsid w:val="00BB29D0"/>
    <w:rsid w:val="00BB3320"/>
    <w:rsid w:val="00BB3708"/>
    <w:rsid w:val="00BB3709"/>
    <w:rsid w:val="00BB414A"/>
    <w:rsid w:val="00BB4A8D"/>
    <w:rsid w:val="00BB60A6"/>
    <w:rsid w:val="00BB781D"/>
    <w:rsid w:val="00BB7A59"/>
    <w:rsid w:val="00BB7EDE"/>
    <w:rsid w:val="00BC0216"/>
    <w:rsid w:val="00BC04F8"/>
    <w:rsid w:val="00BC13C0"/>
    <w:rsid w:val="00BC17BC"/>
    <w:rsid w:val="00BC42A1"/>
    <w:rsid w:val="00BC5002"/>
    <w:rsid w:val="00BC7940"/>
    <w:rsid w:val="00BD07B3"/>
    <w:rsid w:val="00BD406E"/>
    <w:rsid w:val="00BD40FE"/>
    <w:rsid w:val="00BD4A5E"/>
    <w:rsid w:val="00BD4C20"/>
    <w:rsid w:val="00BD5991"/>
    <w:rsid w:val="00BD5DDF"/>
    <w:rsid w:val="00BD66FB"/>
    <w:rsid w:val="00BE3371"/>
    <w:rsid w:val="00BE3AE9"/>
    <w:rsid w:val="00BE4B54"/>
    <w:rsid w:val="00BE5520"/>
    <w:rsid w:val="00BE5F40"/>
    <w:rsid w:val="00BE61F0"/>
    <w:rsid w:val="00BE6ED7"/>
    <w:rsid w:val="00BF250A"/>
    <w:rsid w:val="00BF299D"/>
    <w:rsid w:val="00BF31F9"/>
    <w:rsid w:val="00BF3BB1"/>
    <w:rsid w:val="00BF53B3"/>
    <w:rsid w:val="00BF5829"/>
    <w:rsid w:val="00BF5E7D"/>
    <w:rsid w:val="00BF64A8"/>
    <w:rsid w:val="00BF78E0"/>
    <w:rsid w:val="00BF7EF8"/>
    <w:rsid w:val="00C01864"/>
    <w:rsid w:val="00C01FC1"/>
    <w:rsid w:val="00C02FD5"/>
    <w:rsid w:val="00C04078"/>
    <w:rsid w:val="00C057C2"/>
    <w:rsid w:val="00C06320"/>
    <w:rsid w:val="00C065BD"/>
    <w:rsid w:val="00C06F4A"/>
    <w:rsid w:val="00C078EF"/>
    <w:rsid w:val="00C13700"/>
    <w:rsid w:val="00C139B5"/>
    <w:rsid w:val="00C13BE5"/>
    <w:rsid w:val="00C13D14"/>
    <w:rsid w:val="00C13F63"/>
    <w:rsid w:val="00C14AD1"/>
    <w:rsid w:val="00C14FCE"/>
    <w:rsid w:val="00C206E8"/>
    <w:rsid w:val="00C21A75"/>
    <w:rsid w:val="00C22597"/>
    <w:rsid w:val="00C305F0"/>
    <w:rsid w:val="00C31FBF"/>
    <w:rsid w:val="00C33EE8"/>
    <w:rsid w:val="00C35356"/>
    <w:rsid w:val="00C35A49"/>
    <w:rsid w:val="00C36CED"/>
    <w:rsid w:val="00C36D1A"/>
    <w:rsid w:val="00C37C7B"/>
    <w:rsid w:val="00C41E33"/>
    <w:rsid w:val="00C42FDB"/>
    <w:rsid w:val="00C43ECD"/>
    <w:rsid w:val="00C44013"/>
    <w:rsid w:val="00C44A38"/>
    <w:rsid w:val="00C4573A"/>
    <w:rsid w:val="00C46A66"/>
    <w:rsid w:val="00C4775D"/>
    <w:rsid w:val="00C5179E"/>
    <w:rsid w:val="00C548D6"/>
    <w:rsid w:val="00C54EDD"/>
    <w:rsid w:val="00C6219F"/>
    <w:rsid w:val="00C63D8D"/>
    <w:rsid w:val="00C6613A"/>
    <w:rsid w:val="00C667B7"/>
    <w:rsid w:val="00C66ABE"/>
    <w:rsid w:val="00C71914"/>
    <w:rsid w:val="00C71D1B"/>
    <w:rsid w:val="00C71EC0"/>
    <w:rsid w:val="00C727D5"/>
    <w:rsid w:val="00C72F69"/>
    <w:rsid w:val="00C74B2E"/>
    <w:rsid w:val="00C74B6A"/>
    <w:rsid w:val="00C762B5"/>
    <w:rsid w:val="00C768D5"/>
    <w:rsid w:val="00C77C58"/>
    <w:rsid w:val="00C81608"/>
    <w:rsid w:val="00C82B0C"/>
    <w:rsid w:val="00C83251"/>
    <w:rsid w:val="00C85458"/>
    <w:rsid w:val="00C87627"/>
    <w:rsid w:val="00C87640"/>
    <w:rsid w:val="00C876EF"/>
    <w:rsid w:val="00C904BE"/>
    <w:rsid w:val="00C90B55"/>
    <w:rsid w:val="00C920AA"/>
    <w:rsid w:val="00C92978"/>
    <w:rsid w:val="00CA0B13"/>
    <w:rsid w:val="00CA118D"/>
    <w:rsid w:val="00CA1238"/>
    <w:rsid w:val="00CA19A3"/>
    <w:rsid w:val="00CA2038"/>
    <w:rsid w:val="00CA3B06"/>
    <w:rsid w:val="00CA5AF0"/>
    <w:rsid w:val="00CA7E71"/>
    <w:rsid w:val="00CB10AC"/>
    <w:rsid w:val="00CB3474"/>
    <w:rsid w:val="00CC2978"/>
    <w:rsid w:val="00CC3A6F"/>
    <w:rsid w:val="00CC440C"/>
    <w:rsid w:val="00CC4D42"/>
    <w:rsid w:val="00CC4F94"/>
    <w:rsid w:val="00CC7E34"/>
    <w:rsid w:val="00CD0C16"/>
    <w:rsid w:val="00CD0D21"/>
    <w:rsid w:val="00CD38CC"/>
    <w:rsid w:val="00CD3BDC"/>
    <w:rsid w:val="00CD4FEF"/>
    <w:rsid w:val="00CD52BD"/>
    <w:rsid w:val="00CE0951"/>
    <w:rsid w:val="00CE1A47"/>
    <w:rsid w:val="00CE22B5"/>
    <w:rsid w:val="00CE3992"/>
    <w:rsid w:val="00CE4882"/>
    <w:rsid w:val="00CE48F6"/>
    <w:rsid w:val="00CE58EB"/>
    <w:rsid w:val="00CF5DA5"/>
    <w:rsid w:val="00CF6544"/>
    <w:rsid w:val="00CF731B"/>
    <w:rsid w:val="00D02341"/>
    <w:rsid w:val="00D03657"/>
    <w:rsid w:val="00D0584C"/>
    <w:rsid w:val="00D062E6"/>
    <w:rsid w:val="00D0728C"/>
    <w:rsid w:val="00D077DF"/>
    <w:rsid w:val="00D100FB"/>
    <w:rsid w:val="00D12EC0"/>
    <w:rsid w:val="00D1332F"/>
    <w:rsid w:val="00D15125"/>
    <w:rsid w:val="00D20491"/>
    <w:rsid w:val="00D227D6"/>
    <w:rsid w:val="00D2385B"/>
    <w:rsid w:val="00D259F9"/>
    <w:rsid w:val="00D26193"/>
    <w:rsid w:val="00D26434"/>
    <w:rsid w:val="00D31A58"/>
    <w:rsid w:val="00D31BC3"/>
    <w:rsid w:val="00D328BF"/>
    <w:rsid w:val="00D33839"/>
    <w:rsid w:val="00D345F7"/>
    <w:rsid w:val="00D34FB4"/>
    <w:rsid w:val="00D366E5"/>
    <w:rsid w:val="00D372D8"/>
    <w:rsid w:val="00D37892"/>
    <w:rsid w:val="00D4067C"/>
    <w:rsid w:val="00D412CF"/>
    <w:rsid w:val="00D42B76"/>
    <w:rsid w:val="00D44153"/>
    <w:rsid w:val="00D44E11"/>
    <w:rsid w:val="00D45368"/>
    <w:rsid w:val="00D45AF6"/>
    <w:rsid w:val="00D4719A"/>
    <w:rsid w:val="00D47C66"/>
    <w:rsid w:val="00D5094E"/>
    <w:rsid w:val="00D5272F"/>
    <w:rsid w:val="00D56728"/>
    <w:rsid w:val="00D6003F"/>
    <w:rsid w:val="00D6029D"/>
    <w:rsid w:val="00D60485"/>
    <w:rsid w:val="00D615D7"/>
    <w:rsid w:val="00D61A3E"/>
    <w:rsid w:val="00D624E5"/>
    <w:rsid w:val="00D63129"/>
    <w:rsid w:val="00D6401F"/>
    <w:rsid w:val="00D6535C"/>
    <w:rsid w:val="00D707E5"/>
    <w:rsid w:val="00D71631"/>
    <w:rsid w:val="00D716B6"/>
    <w:rsid w:val="00D733DA"/>
    <w:rsid w:val="00D74126"/>
    <w:rsid w:val="00D748B0"/>
    <w:rsid w:val="00D75F16"/>
    <w:rsid w:val="00D75F50"/>
    <w:rsid w:val="00D7618A"/>
    <w:rsid w:val="00D7728F"/>
    <w:rsid w:val="00D80647"/>
    <w:rsid w:val="00D80C35"/>
    <w:rsid w:val="00D8144E"/>
    <w:rsid w:val="00D81809"/>
    <w:rsid w:val="00D81CFF"/>
    <w:rsid w:val="00D823CA"/>
    <w:rsid w:val="00D845F3"/>
    <w:rsid w:val="00D84C75"/>
    <w:rsid w:val="00D84D76"/>
    <w:rsid w:val="00D84DEE"/>
    <w:rsid w:val="00D84F44"/>
    <w:rsid w:val="00D85360"/>
    <w:rsid w:val="00D85805"/>
    <w:rsid w:val="00D93B42"/>
    <w:rsid w:val="00D93D82"/>
    <w:rsid w:val="00D94327"/>
    <w:rsid w:val="00D962DD"/>
    <w:rsid w:val="00D965E6"/>
    <w:rsid w:val="00D97494"/>
    <w:rsid w:val="00DA0622"/>
    <w:rsid w:val="00DA1A5C"/>
    <w:rsid w:val="00DA20DB"/>
    <w:rsid w:val="00DA2255"/>
    <w:rsid w:val="00DA32AD"/>
    <w:rsid w:val="00DA5B40"/>
    <w:rsid w:val="00DA698D"/>
    <w:rsid w:val="00DA7494"/>
    <w:rsid w:val="00DB18D7"/>
    <w:rsid w:val="00DB256B"/>
    <w:rsid w:val="00DB3359"/>
    <w:rsid w:val="00DB3BA1"/>
    <w:rsid w:val="00DB5F0A"/>
    <w:rsid w:val="00DB66FD"/>
    <w:rsid w:val="00DB6D81"/>
    <w:rsid w:val="00DB70AA"/>
    <w:rsid w:val="00DB7F95"/>
    <w:rsid w:val="00DC0477"/>
    <w:rsid w:val="00DC0DAD"/>
    <w:rsid w:val="00DC140F"/>
    <w:rsid w:val="00DC26AD"/>
    <w:rsid w:val="00DC670D"/>
    <w:rsid w:val="00DD0DA1"/>
    <w:rsid w:val="00DD108F"/>
    <w:rsid w:val="00DD2806"/>
    <w:rsid w:val="00DD3C59"/>
    <w:rsid w:val="00DE0062"/>
    <w:rsid w:val="00DE0D82"/>
    <w:rsid w:val="00DE1860"/>
    <w:rsid w:val="00DE26DC"/>
    <w:rsid w:val="00DE47D3"/>
    <w:rsid w:val="00DE6A70"/>
    <w:rsid w:val="00DE794B"/>
    <w:rsid w:val="00DF0F25"/>
    <w:rsid w:val="00DF117C"/>
    <w:rsid w:val="00DF3593"/>
    <w:rsid w:val="00DF4794"/>
    <w:rsid w:val="00DF4B7F"/>
    <w:rsid w:val="00DF7384"/>
    <w:rsid w:val="00DF7C08"/>
    <w:rsid w:val="00DF7D56"/>
    <w:rsid w:val="00E023FA"/>
    <w:rsid w:val="00E02FA8"/>
    <w:rsid w:val="00E037C3"/>
    <w:rsid w:val="00E059D9"/>
    <w:rsid w:val="00E05FC1"/>
    <w:rsid w:val="00E11ECB"/>
    <w:rsid w:val="00E12496"/>
    <w:rsid w:val="00E1283F"/>
    <w:rsid w:val="00E12993"/>
    <w:rsid w:val="00E13B58"/>
    <w:rsid w:val="00E13BCF"/>
    <w:rsid w:val="00E1442F"/>
    <w:rsid w:val="00E151D2"/>
    <w:rsid w:val="00E1783E"/>
    <w:rsid w:val="00E222D8"/>
    <w:rsid w:val="00E2240D"/>
    <w:rsid w:val="00E235A9"/>
    <w:rsid w:val="00E23D4D"/>
    <w:rsid w:val="00E25522"/>
    <w:rsid w:val="00E30AF6"/>
    <w:rsid w:val="00E374D7"/>
    <w:rsid w:val="00E4323B"/>
    <w:rsid w:val="00E4336F"/>
    <w:rsid w:val="00E43872"/>
    <w:rsid w:val="00E459F9"/>
    <w:rsid w:val="00E472FA"/>
    <w:rsid w:val="00E50346"/>
    <w:rsid w:val="00E51A60"/>
    <w:rsid w:val="00E51E9F"/>
    <w:rsid w:val="00E5356C"/>
    <w:rsid w:val="00E53F91"/>
    <w:rsid w:val="00E5667D"/>
    <w:rsid w:val="00E56FB7"/>
    <w:rsid w:val="00E57902"/>
    <w:rsid w:val="00E57A5D"/>
    <w:rsid w:val="00E60402"/>
    <w:rsid w:val="00E605C1"/>
    <w:rsid w:val="00E62609"/>
    <w:rsid w:val="00E65A7E"/>
    <w:rsid w:val="00E65B3F"/>
    <w:rsid w:val="00E70937"/>
    <w:rsid w:val="00E70B54"/>
    <w:rsid w:val="00E70BCE"/>
    <w:rsid w:val="00E7174C"/>
    <w:rsid w:val="00E71E8F"/>
    <w:rsid w:val="00E724E1"/>
    <w:rsid w:val="00E74733"/>
    <w:rsid w:val="00E754CF"/>
    <w:rsid w:val="00E76E37"/>
    <w:rsid w:val="00E80A8E"/>
    <w:rsid w:val="00E80E11"/>
    <w:rsid w:val="00E841FC"/>
    <w:rsid w:val="00E84AFA"/>
    <w:rsid w:val="00E850C4"/>
    <w:rsid w:val="00E85C0C"/>
    <w:rsid w:val="00E85C25"/>
    <w:rsid w:val="00E860D7"/>
    <w:rsid w:val="00E86132"/>
    <w:rsid w:val="00E863CE"/>
    <w:rsid w:val="00E91309"/>
    <w:rsid w:val="00E91E23"/>
    <w:rsid w:val="00E92BAF"/>
    <w:rsid w:val="00E92FFC"/>
    <w:rsid w:val="00E9505E"/>
    <w:rsid w:val="00E954A1"/>
    <w:rsid w:val="00E95DBB"/>
    <w:rsid w:val="00E978CF"/>
    <w:rsid w:val="00E97C9D"/>
    <w:rsid w:val="00EA1135"/>
    <w:rsid w:val="00EA1CA5"/>
    <w:rsid w:val="00EA2524"/>
    <w:rsid w:val="00EA4B9B"/>
    <w:rsid w:val="00EA6B79"/>
    <w:rsid w:val="00EA75D1"/>
    <w:rsid w:val="00EA7A57"/>
    <w:rsid w:val="00EA7DB2"/>
    <w:rsid w:val="00EB06B6"/>
    <w:rsid w:val="00EB0EB7"/>
    <w:rsid w:val="00EB1EB3"/>
    <w:rsid w:val="00EB1EFD"/>
    <w:rsid w:val="00EB2009"/>
    <w:rsid w:val="00EB45C8"/>
    <w:rsid w:val="00EB47A7"/>
    <w:rsid w:val="00EB66AE"/>
    <w:rsid w:val="00EB7029"/>
    <w:rsid w:val="00EB7593"/>
    <w:rsid w:val="00EC27C8"/>
    <w:rsid w:val="00EC3298"/>
    <w:rsid w:val="00EC54CD"/>
    <w:rsid w:val="00EC5924"/>
    <w:rsid w:val="00EC6FC4"/>
    <w:rsid w:val="00EC7E87"/>
    <w:rsid w:val="00ED00ED"/>
    <w:rsid w:val="00ED034A"/>
    <w:rsid w:val="00ED225B"/>
    <w:rsid w:val="00ED39E7"/>
    <w:rsid w:val="00ED3A8B"/>
    <w:rsid w:val="00ED56C1"/>
    <w:rsid w:val="00ED683A"/>
    <w:rsid w:val="00ED6D16"/>
    <w:rsid w:val="00ED7672"/>
    <w:rsid w:val="00EE2E96"/>
    <w:rsid w:val="00EE3A96"/>
    <w:rsid w:val="00EE4502"/>
    <w:rsid w:val="00EE61EF"/>
    <w:rsid w:val="00EE6A52"/>
    <w:rsid w:val="00EF0A3F"/>
    <w:rsid w:val="00EF22F6"/>
    <w:rsid w:val="00EF276D"/>
    <w:rsid w:val="00EF2A46"/>
    <w:rsid w:val="00EF3479"/>
    <w:rsid w:val="00EF5043"/>
    <w:rsid w:val="00EF506C"/>
    <w:rsid w:val="00EF7084"/>
    <w:rsid w:val="00F002D1"/>
    <w:rsid w:val="00F00CD3"/>
    <w:rsid w:val="00F00FB8"/>
    <w:rsid w:val="00F028FB"/>
    <w:rsid w:val="00F05813"/>
    <w:rsid w:val="00F05FD0"/>
    <w:rsid w:val="00F115E2"/>
    <w:rsid w:val="00F11DED"/>
    <w:rsid w:val="00F128CC"/>
    <w:rsid w:val="00F12DB2"/>
    <w:rsid w:val="00F14EFB"/>
    <w:rsid w:val="00F172F4"/>
    <w:rsid w:val="00F17FA3"/>
    <w:rsid w:val="00F205C7"/>
    <w:rsid w:val="00F22227"/>
    <w:rsid w:val="00F2258E"/>
    <w:rsid w:val="00F2500B"/>
    <w:rsid w:val="00F25333"/>
    <w:rsid w:val="00F257DF"/>
    <w:rsid w:val="00F30952"/>
    <w:rsid w:val="00F32C49"/>
    <w:rsid w:val="00F361F2"/>
    <w:rsid w:val="00F3624E"/>
    <w:rsid w:val="00F3789B"/>
    <w:rsid w:val="00F40227"/>
    <w:rsid w:val="00F40EC8"/>
    <w:rsid w:val="00F41063"/>
    <w:rsid w:val="00F4111F"/>
    <w:rsid w:val="00F416E1"/>
    <w:rsid w:val="00F4190B"/>
    <w:rsid w:val="00F4294C"/>
    <w:rsid w:val="00F42DA0"/>
    <w:rsid w:val="00F438E2"/>
    <w:rsid w:val="00F4422F"/>
    <w:rsid w:val="00F46A20"/>
    <w:rsid w:val="00F51D7E"/>
    <w:rsid w:val="00F52A36"/>
    <w:rsid w:val="00F53372"/>
    <w:rsid w:val="00F5450F"/>
    <w:rsid w:val="00F5682D"/>
    <w:rsid w:val="00F61CB3"/>
    <w:rsid w:val="00F64580"/>
    <w:rsid w:val="00F65A83"/>
    <w:rsid w:val="00F672EA"/>
    <w:rsid w:val="00F720A0"/>
    <w:rsid w:val="00F7248F"/>
    <w:rsid w:val="00F74147"/>
    <w:rsid w:val="00F77E51"/>
    <w:rsid w:val="00F80E4C"/>
    <w:rsid w:val="00F81E11"/>
    <w:rsid w:val="00F83733"/>
    <w:rsid w:val="00F84132"/>
    <w:rsid w:val="00F847B0"/>
    <w:rsid w:val="00F85072"/>
    <w:rsid w:val="00F8526E"/>
    <w:rsid w:val="00F85AB4"/>
    <w:rsid w:val="00F85FD9"/>
    <w:rsid w:val="00F90319"/>
    <w:rsid w:val="00F90AAC"/>
    <w:rsid w:val="00F91274"/>
    <w:rsid w:val="00F95C76"/>
    <w:rsid w:val="00FA14E4"/>
    <w:rsid w:val="00FA1BE4"/>
    <w:rsid w:val="00FA20A6"/>
    <w:rsid w:val="00FB00B0"/>
    <w:rsid w:val="00FB0811"/>
    <w:rsid w:val="00FB61E9"/>
    <w:rsid w:val="00FC1823"/>
    <w:rsid w:val="00FC189E"/>
    <w:rsid w:val="00FC2A2D"/>
    <w:rsid w:val="00FC2C53"/>
    <w:rsid w:val="00FC3A06"/>
    <w:rsid w:val="00FC53D9"/>
    <w:rsid w:val="00FC65B1"/>
    <w:rsid w:val="00FC6749"/>
    <w:rsid w:val="00FD07A8"/>
    <w:rsid w:val="00FD1F2A"/>
    <w:rsid w:val="00FD2698"/>
    <w:rsid w:val="00FD2AAE"/>
    <w:rsid w:val="00FD3666"/>
    <w:rsid w:val="00FD5138"/>
    <w:rsid w:val="00FD54AF"/>
    <w:rsid w:val="00FD7839"/>
    <w:rsid w:val="00FE27FB"/>
    <w:rsid w:val="00FE2A37"/>
    <w:rsid w:val="00FE3182"/>
    <w:rsid w:val="00FE3524"/>
    <w:rsid w:val="00FE7257"/>
    <w:rsid w:val="00FE73EE"/>
    <w:rsid w:val="00FF1E94"/>
    <w:rsid w:val="00FF21B5"/>
    <w:rsid w:val="00FF2443"/>
    <w:rsid w:val="00FF254B"/>
    <w:rsid w:val="00FF2686"/>
    <w:rsid w:val="00FF2794"/>
    <w:rsid w:val="00FF2A08"/>
    <w:rsid w:val="00FF5B26"/>
    <w:rsid w:val="00FF6A59"/>
    <w:rsid w:val="07E6312F"/>
    <w:rsid w:val="09E4567F"/>
    <w:rsid w:val="0C084899"/>
    <w:rsid w:val="0D2E1801"/>
    <w:rsid w:val="0E26072A"/>
    <w:rsid w:val="0E7E55A9"/>
    <w:rsid w:val="0E8C4A31"/>
    <w:rsid w:val="14FF0AEC"/>
    <w:rsid w:val="178A3AD7"/>
    <w:rsid w:val="18A85F03"/>
    <w:rsid w:val="18DE323B"/>
    <w:rsid w:val="1AD44E0C"/>
    <w:rsid w:val="1D0453B6"/>
    <w:rsid w:val="1F0B19A2"/>
    <w:rsid w:val="20DB16BB"/>
    <w:rsid w:val="28722A91"/>
    <w:rsid w:val="290317B9"/>
    <w:rsid w:val="296F5223"/>
    <w:rsid w:val="2AA902C1"/>
    <w:rsid w:val="2DB31B82"/>
    <w:rsid w:val="2E2E6511"/>
    <w:rsid w:val="2F1877C3"/>
    <w:rsid w:val="2F882568"/>
    <w:rsid w:val="2FC40098"/>
    <w:rsid w:val="343B4069"/>
    <w:rsid w:val="34BB2D82"/>
    <w:rsid w:val="399A0320"/>
    <w:rsid w:val="3A267238"/>
    <w:rsid w:val="3A4638FD"/>
    <w:rsid w:val="3E933CB6"/>
    <w:rsid w:val="3EBC4B81"/>
    <w:rsid w:val="400B34E1"/>
    <w:rsid w:val="40880C4C"/>
    <w:rsid w:val="43C058D0"/>
    <w:rsid w:val="44F75A62"/>
    <w:rsid w:val="46351682"/>
    <w:rsid w:val="46386C71"/>
    <w:rsid w:val="468668A0"/>
    <w:rsid w:val="4A24103D"/>
    <w:rsid w:val="4A971571"/>
    <w:rsid w:val="4AFB665F"/>
    <w:rsid w:val="55BF1142"/>
    <w:rsid w:val="56230B18"/>
    <w:rsid w:val="5E924FC0"/>
    <w:rsid w:val="60BB888A"/>
    <w:rsid w:val="60E94998"/>
    <w:rsid w:val="63A4104A"/>
    <w:rsid w:val="63CA60BA"/>
    <w:rsid w:val="654F3237"/>
    <w:rsid w:val="659A0BDD"/>
    <w:rsid w:val="65E46075"/>
    <w:rsid w:val="6683346F"/>
    <w:rsid w:val="6FBC64C2"/>
    <w:rsid w:val="703379DD"/>
    <w:rsid w:val="703D6AAE"/>
    <w:rsid w:val="728E1843"/>
    <w:rsid w:val="73341713"/>
    <w:rsid w:val="735F057D"/>
    <w:rsid w:val="743550B5"/>
    <w:rsid w:val="74EE65C9"/>
    <w:rsid w:val="753C5586"/>
    <w:rsid w:val="7A9D0800"/>
    <w:rsid w:val="7BF72207"/>
    <w:rsid w:val="7BFE56AD"/>
    <w:rsid w:val="7DE5145C"/>
    <w:rsid w:val="7EC58D7C"/>
    <w:rsid w:val="7F800765"/>
    <w:rsid w:val="EAF7BE70"/>
    <w:rsid w:val="FBFF669D"/>
    <w:rsid w:val="FEFF49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仿宋_GB2312" w:hAnsi="仿宋_GB2312" w:eastAsia="仿宋_GB2312" w:cstheme="minorBidi"/>
      <w:kern w:val="2"/>
      <w:sz w:val="32"/>
      <w:szCs w:val="24"/>
      <w:lang w:val="en-US" w:eastAsia="zh-CN" w:bidi="ar-SA"/>
    </w:rPr>
  </w:style>
  <w:style w:type="paragraph" w:styleId="2">
    <w:name w:val="heading 1"/>
    <w:basedOn w:val="1"/>
    <w:next w:val="1"/>
    <w:link w:val="20"/>
    <w:qFormat/>
    <w:uiPriority w:val="0"/>
    <w:pPr>
      <w:keepNext/>
      <w:keepLines/>
      <w:spacing w:line="560" w:lineRule="exact"/>
      <w:outlineLvl w:val="0"/>
    </w:pPr>
    <w:rPr>
      <w:rFonts w:ascii="黑体" w:hAnsi="黑体" w:eastAsia="黑体"/>
      <w:bCs/>
      <w:kern w:val="44"/>
      <w:szCs w:val="44"/>
    </w:rPr>
  </w:style>
  <w:style w:type="paragraph" w:styleId="3">
    <w:name w:val="heading 2"/>
    <w:basedOn w:val="1"/>
    <w:next w:val="1"/>
    <w:link w:val="21"/>
    <w:unhideWhenUsed/>
    <w:qFormat/>
    <w:uiPriority w:val="0"/>
    <w:pPr>
      <w:keepNext/>
      <w:keepLines/>
      <w:spacing w:line="560" w:lineRule="exact"/>
      <w:outlineLvl w:val="1"/>
    </w:pPr>
    <w:rPr>
      <w:rFonts w:ascii="楷体_GB2312" w:hAnsi="楷体_GB2312" w:eastAsia="楷体_GB2312" w:cstheme="majorBidi"/>
      <w:bCs/>
      <w:szCs w:val="32"/>
    </w:rPr>
  </w:style>
  <w:style w:type="paragraph" w:styleId="4">
    <w:name w:val="heading 3"/>
    <w:basedOn w:val="1"/>
    <w:next w:val="1"/>
    <w:link w:val="22"/>
    <w:unhideWhenUsed/>
    <w:qFormat/>
    <w:uiPriority w:val="0"/>
    <w:pPr>
      <w:keepNext/>
      <w:keepLines/>
      <w:outlineLvl w:val="2"/>
    </w:pPr>
    <w:rPr>
      <w:rFonts w:ascii="Times New Roman" w:hAnsi="Times New Roman"/>
      <w:b/>
      <w:bCs/>
      <w:szCs w:val="32"/>
    </w:rPr>
  </w:style>
  <w:style w:type="paragraph" w:styleId="5">
    <w:name w:val="heading 4"/>
    <w:basedOn w:val="1"/>
    <w:next w:val="1"/>
    <w:link w:val="23"/>
    <w:unhideWhenUsed/>
    <w:qFormat/>
    <w:uiPriority w:val="0"/>
    <w:pPr>
      <w:keepNext/>
      <w:keepLines/>
      <w:spacing w:before="120" w:after="120" w:line="560" w:lineRule="exact"/>
      <w:outlineLvl w:val="3"/>
    </w:pPr>
    <w:rPr>
      <w:rFonts w:asciiTheme="majorHAnsi" w:hAnsiTheme="majorHAnsi" w:cstheme="majorBidi"/>
      <w:bCs/>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8"/>
    <w:qFormat/>
    <w:uiPriority w:val="0"/>
    <w:pPr>
      <w:jc w:val="left"/>
    </w:pPr>
  </w:style>
  <w:style w:type="paragraph" w:styleId="7">
    <w:name w:val="toc 3"/>
    <w:basedOn w:val="1"/>
    <w:next w:val="1"/>
    <w:qFormat/>
    <w:uiPriority w:val="39"/>
    <w:pPr>
      <w:tabs>
        <w:tab w:val="right" w:leader="dot" w:pos="8296"/>
      </w:tabs>
      <w:ind w:left="1280" w:leftChars="400" w:firstLine="0" w:firstLineChars="0"/>
    </w:pPr>
  </w:style>
  <w:style w:type="paragraph" w:styleId="8">
    <w:name w:val="footer"/>
    <w:basedOn w:val="1"/>
    <w:link w:val="25"/>
    <w:qFormat/>
    <w:uiPriority w:val="99"/>
    <w:pPr>
      <w:tabs>
        <w:tab w:val="center" w:pos="4153"/>
        <w:tab w:val="right" w:pos="8306"/>
      </w:tabs>
      <w:snapToGrid w:val="0"/>
      <w:jc w:val="left"/>
    </w:pPr>
    <w:rPr>
      <w:sz w:val="18"/>
      <w:szCs w:val="18"/>
    </w:rPr>
  </w:style>
  <w:style w:type="paragraph" w:styleId="9">
    <w:name w:val="header"/>
    <w:basedOn w:val="1"/>
    <w:link w:val="24"/>
    <w:qFormat/>
    <w:uiPriority w:val="0"/>
    <w:pPr>
      <w:tabs>
        <w:tab w:val="center" w:pos="4153"/>
        <w:tab w:val="right" w:pos="8306"/>
      </w:tabs>
      <w:snapToGrid w:val="0"/>
      <w:jc w:val="center"/>
    </w:pPr>
    <w:rPr>
      <w:sz w:val="18"/>
      <w:szCs w:val="18"/>
    </w:rPr>
  </w:style>
  <w:style w:type="paragraph" w:styleId="10">
    <w:name w:val="toc 1"/>
    <w:basedOn w:val="1"/>
    <w:next w:val="1"/>
    <w:qFormat/>
    <w:uiPriority w:val="39"/>
    <w:pPr>
      <w:tabs>
        <w:tab w:val="right" w:leader="dot" w:pos="8296"/>
      </w:tabs>
    </w:pPr>
    <w:rPr>
      <w:rFonts w:ascii="黑体" w:hAnsi="黑体" w:eastAsia="黑体" w:cs="Times New Roman"/>
      <w:sz w:val="28"/>
      <w:szCs w:val="28"/>
    </w:rPr>
  </w:style>
  <w:style w:type="paragraph" w:styleId="11">
    <w:name w:val="footnote text"/>
    <w:basedOn w:val="1"/>
    <w:link w:val="30"/>
    <w:qFormat/>
    <w:uiPriority w:val="0"/>
    <w:pPr>
      <w:snapToGrid w:val="0"/>
      <w:jc w:val="left"/>
    </w:pPr>
    <w:rPr>
      <w:sz w:val="18"/>
      <w:szCs w:val="18"/>
    </w:rPr>
  </w:style>
  <w:style w:type="paragraph" w:styleId="12">
    <w:name w:val="toc 2"/>
    <w:basedOn w:val="1"/>
    <w:next w:val="1"/>
    <w:qFormat/>
    <w:uiPriority w:val="39"/>
    <w:pPr>
      <w:tabs>
        <w:tab w:val="right" w:leader="dot" w:pos="8296"/>
      </w:tabs>
      <w:spacing w:line="276" w:lineRule="auto"/>
      <w:ind w:left="420" w:leftChars="200"/>
    </w:pPr>
    <w:rPr>
      <w:rFonts w:ascii="楷体_GB2312" w:hAnsi="Times New Roman" w:eastAsia="楷体_GB2312" w:cs="Times New Roman"/>
      <w:sz w:val="28"/>
      <w:szCs w:val="28"/>
    </w:rPr>
  </w:style>
  <w:style w:type="paragraph" w:styleId="13">
    <w:name w:val="annotation subject"/>
    <w:basedOn w:val="6"/>
    <w:next w:val="6"/>
    <w:link w:val="29"/>
    <w:qFormat/>
    <w:uiPriority w:val="0"/>
    <w:rPr>
      <w:b/>
      <w:bCs/>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Hyperlink"/>
    <w:basedOn w:val="16"/>
    <w:unhideWhenUsed/>
    <w:qFormat/>
    <w:uiPriority w:val="99"/>
    <w:rPr>
      <w:color w:val="0026E5" w:themeColor="hyperlink"/>
      <w:u w:val="single"/>
      <w14:textFill>
        <w14:solidFill>
          <w14:schemeClr w14:val="hlink"/>
        </w14:solidFill>
      </w14:textFill>
    </w:rPr>
  </w:style>
  <w:style w:type="character" w:styleId="18">
    <w:name w:val="annotation reference"/>
    <w:basedOn w:val="16"/>
    <w:qFormat/>
    <w:uiPriority w:val="0"/>
    <w:rPr>
      <w:sz w:val="21"/>
      <w:szCs w:val="21"/>
    </w:rPr>
  </w:style>
  <w:style w:type="character" w:styleId="19">
    <w:name w:val="footnote reference"/>
    <w:basedOn w:val="16"/>
    <w:qFormat/>
    <w:uiPriority w:val="0"/>
    <w:rPr>
      <w:vertAlign w:val="superscript"/>
    </w:rPr>
  </w:style>
  <w:style w:type="character" w:customStyle="1" w:styleId="20">
    <w:name w:val="标题 1 字符"/>
    <w:basedOn w:val="16"/>
    <w:link w:val="2"/>
    <w:qFormat/>
    <w:uiPriority w:val="0"/>
    <w:rPr>
      <w:rFonts w:ascii="黑体" w:hAnsi="黑体" w:eastAsia="黑体" w:cstheme="minorBidi"/>
      <w:bCs/>
      <w:kern w:val="44"/>
      <w:sz w:val="32"/>
      <w:szCs w:val="44"/>
    </w:rPr>
  </w:style>
  <w:style w:type="character" w:customStyle="1" w:styleId="21">
    <w:name w:val="标题 2 字符"/>
    <w:basedOn w:val="16"/>
    <w:link w:val="3"/>
    <w:qFormat/>
    <w:uiPriority w:val="0"/>
    <w:rPr>
      <w:rFonts w:ascii="楷体_GB2312" w:hAnsi="楷体_GB2312" w:eastAsia="楷体_GB2312" w:cstheme="majorBidi"/>
      <w:bCs/>
      <w:kern w:val="2"/>
      <w:sz w:val="32"/>
      <w:szCs w:val="32"/>
    </w:rPr>
  </w:style>
  <w:style w:type="character" w:customStyle="1" w:styleId="22">
    <w:name w:val="标题 3 字符"/>
    <w:basedOn w:val="16"/>
    <w:link w:val="4"/>
    <w:qFormat/>
    <w:uiPriority w:val="0"/>
    <w:rPr>
      <w:rFonts w:ascii="Times New Roman" w:hAnsi="Times New Roman" w:eastAsia="仿宋_GB2312"/>
      <w:b/>
      <w:bCs/>
      <w:kern w:val="2"/>
      <w:sz w:val="32"/>
      <w:szCs w:val="32"/>
    </w:rPr>
  </w:style>
  <w:style w:type="character" w:customStyle="1" w:styleId="23">
    <w:name w:val="标题 4 字符"/>
    <w:basedOn w:val="16"/>
    <w:link w:val="5"/>
    <w:qFormat/>
    <w:uiPriority w:val="0"/>
    <w:rPr>
      <w:rFonts w:eastAsia="仿宋_GB2312" w:asciiTheme="majorHAnsi" w:hAnsiTheme="majorHAnsi" w:cstheme="majorBidi"/>
      <w:bCs/>
      <w:kern w:val="2"/>
      <w:sz w:val="32"/>
      <w:szCs w:val="28"/>
    </w:rPr>
  </w:style>
  <w:style w:type="character" w:customStyle="1" w:styleId="24">
    <w:name w:val="页眉 字符"/>
    <w:basedOn w:val="16"/>
    <w:link w:val="9"/>
    <w:qFormat/>
    <w:uiPriority w:val="0"/>
    <w:rPr>
      <w:kern w:val="2"/>
      <w:sz w:val="18"/>
      <w:szCs w:val="18"/>
    </w:rPr>
  </w:style>
  <w:style w:type="character" w:customStyle="1" w:styleId="25">
    <w:name w:val="页脚 字符"/>
    <w:basedOn w:val="16"/>
    <w:link w:val="8"/>
    <w:qFormat/>
    <w:uiPriority w:val="99"/>
    <w:rPr>
      <w:kern w:val="2"/>
      <w:sz w:val="18"/>
      <w:szCs w:val="18"/>
    </w:rPr>
  </w:style>
  <w:style w:type="paragraph" w:customStyle="1" w:styleId="26">
    <w:name w:val="TOC 标题1"/>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
      <w:bCs w:val="0"/>
      <w:color w:val="2E54A1" w:themeColor="accent1" w:themeShade="BF"/>
      <w:kern w:val="0"/>
      <w:szCs w:val="32"/>
    </w:rPr>
  </w:style>
  <w:style w:type="paragraph" w:customStyle="1" w:styleId="27">
    <w:name w:val="修订1"/>
    <w:hidden/>
    <w:unhideWhenUsed/>
    <w:qFormat/>
    <w:uiPriority w:val="99"/>
    <w:rPr>
      <w:rFonts w:eastAsia="仿宋_GB2312" w:asciiTheme="minorHAnsi" w:hAnsiTheme="minorHAnsi" w:cstheme="minorBidi"/>
      <w:kern w:val="2"/>
      <w:sz w:val="32"/>
      <w:szCs w:val="24"/>
      <w:lang w:val="en-US" w:eastAsia="zh-CN" w:bidi="ar-SA"/>
    </w:rPr>
  </w:style>
  <w:style w:type="character" w:customStyle="1" w:styleId="28">
    <w:name w:val="批注文字 字符"/>
    <w:basedOn w:val="16"/>
    <w:link w:val="6"/>
    <w:qFormat/>
    <w:uiPriority w:val="0"/>
    <w:rPr>
      <w:rFonts w:eastAsia="仿宋_GB2312"/>
      <w:kern w:val="2"/>
      <w:sz w:val="32"/>
      <w:szCs w:val="24"/>
    </w:rPr>
  </w:style>
  <w:style w:type="character" w:customStyle="1" w:styleId="29">
    <w:name w:val="批注主题 字符"/>
    <w:basedOn w:val="28"/>
    <w:link w:val="13"/>
    <w:qFormat/>
    <w:uiPriority w:val="0"/>
    <w:rPr>
      <w:rFonts w:eastAsia="仿宋_GB2312"/>
      <w:b/>
      <w:bCs/>
      <w:kern w:val="2"/>
      <w:sz w:val="32"/>
      <w:szCs w:val="24"/>
    </w:rPr>
  </w:style>
  <w:style w:type="character" w:customStyle="1" w:styleId="30">
    <w:name w:val="脚注文本 字符"/>
    <w:basedOn w:val="16"/>
    <w:link w:val="11"/>
    <w:qFormat/>
    <w:uiPriority w:val="0"/>
    <w:rPr>
      <w:rFonts w:eastAsia="仿宋_GB2312"/>
      <w:kern w:val="2"/>
      <w:sz w:val="18"/>
      <w:szCs w:val="18"/>
    </w:rPr>
  </w:style>
  <w:style w:type="paragraph" w:customStyle="1" w:styleId="31">
    <w:name w:val="修订2"/>
    <w:hidden/>
    <w:unhideWhenUsed/>
    <w:qFormat/>
    <w:uiPriority w:val="99"/>
    <w:rPr>
      <w:rFonts w:eastAsia="仿宋_GB2312" w:asciiTheme="minorHAnsi" w:hAnsiTheme="minorHAnsi" w:cstheme="minorBidi"/>
      <w:kern w:val="2"/>
      <w:sz w:val="32"/>
      <w:szCs w:val="24"/>
      <w:lang w:val="en-US" w:eastAsia="zh-CN" w:bidi="ar-SA"/>
    </w:rPr>
  </w:style>
  <w:style w:type="paragraph" w:customStyle="1" w:styleId="32">
    <w:name w:val="BodyText"/>
    <w:basedOn w:val="1"/>
    <w:next w:val="33"/>
    <w:qFormat/>
    <w:uiPriority w:val="0"/>
    <w:pPr>
      <w:textAlignment w:val="baseline"/>
    </w:pPr>
    <w:rPr>
      <w:rFonts w:ascii="Verdana" w:hAnsi="Verdana" w:eastAsia="Verdana"/>
      <w:sz w:val="16"/>
      <w:szCs w:val="16"/>
      <w:lang w:eastAsia="en-US" w:bidi="en-US"/>
    </w:rPr>
  </w:style>
  <w:style w:type="paragraph" w:customStyle="1" w:styleId="33">
    <w:name w:val="UserStyle_2"/>
    <w:next w:val="1"/>
    <w:qFormat/>
    <w:uiPriority w:val="0"/>
    <w:pPr>
      <w:jc w:val="both"/>
      <w:textAlignment w:val="baseline"/>
    </w:pPr>
    <w:rPr>
      <w:rFonts w:ascii="Calibri" w:hAnsi="Calibri" w:eastAsia="宋体" w:cs="Times New Roman"/>
      <w:sz w:val="21"/>
      <w:szCs w:val="22"/>
      <w:lang w:val="en-US" w:eastAsia="zh-CN" w:bidi="ar-SA"/>
    </w:rPr>
  </w:style>
  <w:style w:type="paragraph" w:customStyle="1" w:styleId="34">
    <w:name w:val="修订3"/>
    <w:hidden/>
    <w:unhideWhenUsed/>
    <w:qFormat/>
    <w:uiPriority w:val="99"/>
    <w:rPr>
      <w:rFonts w:eastAsia="仿宋_GB2312" w:asciiTheme="minorHAnsi" w:hAnsiTheme="minorHAnsi" w:cstheme="minorBidi"/>
      <w:kern w:val="2"/>
      <w:sz w:val="32"/>
      <w:szCs w:val="24"/>
      <w:lang w:val="en-US" w:eastAsia="zh-CN" w:bidi="ar-SA"/>
    </w:rPr>
  </w:style>
  <w:style w:type="character" w:customStyle="1" w:styleId="35">
    <w:name w:val="font61"/>
    <w:basedOn w:val="16"/>
    <w:qFormat/>
    <w:uiPriority w:val="0"/>
    <w:rPr>
      <w:rFonts w:hint="eastAsia" w:ascii="仿宋" w:hAnsi="仿宋" w:eastAsia="仿宋" w:cs="仿宋"/>
      <w:color w:val="FF0000"/>
      <w:sz w:val="28"/>
      <w:szCs w:val="28"/>
      <w:u w:val="none"/>
    </w:rPr>
  </w:style>
  <w:style w:type="character" w:customStyle="1" w:styleId="36">
    <w:name w:val="font51"/>
    <w:basedOn w:val="16"/>
    <w:qFormat/>
    <w:uiPriority w:val="0"/>
    <w:rPr>
      <w:rFonts w:hint="eastAsia" w:ascii="仿宋" w:hAnsi="仿宋" w:eastAsia="仿宋" w:cs="仿宋"/>
      <w:color w:val="000000"/>
      <w:sz w:val="28"/>
      <w:szCs w:val="28"/>
      <w:u w:val="none"/>
    </w:rPr>
  </w:style>
  <w:style w:type="character" w:customStyle="1" w:styleId="37">
    <w:name w:val="font41"/>
    <w:basedOn w:val="16"/>
    <w:qFormat/>
    <w:uiPriority w:val="0"/>
    <w:rPr>
      <w:rFonts w:hint="eastAsia" w:ascii="仿宋" w:hAnsi="仿宋" w:eastAsia="仿宋" w:cs="仿宋"/>
      <w:color w:val="000000"/>
      <w:sz w:val="28"/>
      <w:szCs w:val="28"/>
      <w:u w:val="none"/>
    </w:rPr>
  </w:style>
  <w:style w:type="paragraph" w:customStyle="1" w:styleId="38">
    <w:name w:val="TOC 标题2"/>
    <w:basedOn w:val="2"/>
    <w:next w:val="1"/>
    <w:unhideWhenUsed/>
    <w:qFormat/>
    <w:uiPriority w:val="39"/>
    <w:pPr>
      <w:widowControl/>
      <w:spacing w:before="240" w:line="259" w:lineRule="auto"/>
      <w:ind w:firstLine="0" w:firstLineChars="0"/>
      <w:jc w:val="left"/>
      <w:outlineLvl w:val="9"/>
    </w:pPr>
    <w:rPr>
      <w:rFonts w:asciiTheme="majorHAnsi" w:hAnsiTheme="majorHAnsi" w:eastAsiaTheme="majorEastAsia" w:cstheme="majorBidi"/>
      <w:b/>
      <w:bCs w:val="0"/>
      <w:color w:val="2E54A1" w:themeColor="accent1" w:themeShade="BF"/>
      <w:kern w:val="0"/>
      <w:szCs w:val="32"/>
    </w:rPr>
  </w:style>
  <w:style w:type="character" w:customStyle="1" w:styleId="39">
    <w:name w:val="font31"/>
    <w:basedOn w:val="16"/>
    <w:qFormat/>
    <w:uiPriority w:val="0"/>
    <w:rPr>
      <w:rFonts w:hint="eastAsia" w:ascii="仿宋" w:hAnsi="仿宋" w:eastAsia="仿宋" w:cs="仿宋"/>
      <w:color w:val="000000"/>
      <w:sz w:val="24"/>
      <w:szCs w:val="24"/>
      <w:u w:val="none"/>
    </w:rPr>
  </w:style>
  <w:style w:type="paragraph" w:customStyle="1" w:styleId="40">
    <w:name w:val="修订4"/>
    <w:hidden/>
    <w:unhideWhenUsed/>
    <w:qFormat/>
    <w:uiPriority w:val="99"/>
    <w:rPr>
      <w:rFonts w:eastAsia="仿宋_GB2312" w:asciiTheme="minorHAnsi" w:hAnsiTheme="minorHAnsi" w:cstheme="minorBidi"/>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1678</Words>
  <Characters>9566</Characters>
  <Lines>79</Lines>
  <Paragraphs>22</Paragraphs>
  <TotalTime>15</TotalTime>
  <ScaleCrop>false</ScaleCrop>
  <LinksUpToDate>false</LinksUpToDate>
  <CharactersWithSpaces>11222</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2025-08-20T03:33:00Z</dcterms:created>
  <dc:creator>mahua</dc:creator>
  <cp:lastModifiedBy>owner</cp:lastModifiedBy>
  <cp:lastPrinted>2026-11-03T19:03:00Z</cp:lastPrinted>
  <dcterms:modified xsi:type="dcterms:W3CDTF">2026-11-03T16:28:39Z</dcterms:modified>
  <cp:revision>742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y fmtid="{D5CDD505-2E9C-101B-9397-08002B2CF9AE}" pid="3" name="KSOTemplateDocerSaveRecord">
    <vt:lpwstr>eyJoZGlkIjoiYWVhYTkwYjdkY2QwYjBmZjc1NGFjN2FhMTYyOGQ0YWEiLCJ1c2VySWQiOiI0MDEzODcwNTAifQ==</vt:lpwstr>
  </property>
  <property fmtid="{D5CDD505-2E9C-101B-9397-08002B2CF9AE}" pid="4" name="ICV">
    <vt:lpwstr>2F703BEAD1B448528BFF3F6CB1718601_13</vt:lpwstr>
  </property>
</Properties>
</file>