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jc w:val="center"/>
        <w:textAlignment w:val="auto"/>
        <w:rPr>
          <w:rFonts w:hint="eastAsia" w:ascii="方正小标宋简体" w:hAnsi="方正小标宋简体" w:eastAsia="方正小标宋简体" w:cs="方正小标宋简体"/>
          <w:b w:val="0"/>
          <w:sz w:val="44"/>
          <w:szCs w:val="44"/>
          <w:highlight w:val="none"/>
          <w:lang w:eastAsia="zh-CN"/>
        </w:rPr>
      </w:pPr>
      <w:r>
        <w:rPr>
          <w:rFonts w:hint="eastAsia" w:ascii="方正小标宋简体" w:hAnsi="方正小标宋简体" w:eastAsia="方正小标宋简体" w:cs="方正小标宋简体"/>
          <w:b w:val="0"/>
          <w:sz w:val="44"/>
          <w:szCs w:val="44"/>
          <w:highlight w:val="none"/>
          <w:lang w:eastAsia="zh-CN"/>
        </w:rPr>
        <w:t>《</w:t>
      </w:r>
      <w:r>
        <w:rPr>
          <w:rFonts w:hint="eastAsia" w:ascii="方正小标宋简体" w:hAnsi="方正小标宋简体" w:eastAsia="方正小标宋简体" w:cs="方正小标宋简体"/>
          <w:b w:val="0"/>
          <w:sz w:val="44"/>
          <w:szCs w:val="44"/>
          <w:highlight w:val="none"/>
        </w:rPr>
        <w:t>怀柔区关于支持人工智能OPC创新发展的若干措施（</w:t>
      </w:r>
      <w:r>
        <w:rPr>
          <w:rFonts w:hint="eastAsia" w:ascii="方正小标宋简体" w:hAnsi="方正小标宋简体" w:eastAsia="方正小标宋简体" w:cs="方正小标宋简体"/>
          <w:b w:val="0"/>
          <w:sz w:val="44"/>
          <w:szCs w:val="44"/>
          <w:highlight w:val="none"/>
          <w:lang w:eastAsia="zh-CN"/>
        </w:rPr>
        <w:t>征求意见</w:t>
      </w:r>
      <w:r>
        <w:rPr>
          <w:rFonts w:hint="eastAsia" w:ascii="方正小标宋简体" w:hAnsi="方正小标宋简体" w:eastAsia="方正小标宋简体" w:cs="方正小标宋简体"/>
          <w:b w:val="0"/>
          <w:sz w:val="44"/>
          <w:szCs w:val="44"/>
          <w:highlight w:val="none"/>
        </w:rPr>
        <w:t>稿）</w:t>
      </w:r>
      <w:r>
        <w:rPr>
          <w:rFonts w:hint="eastAsia" w:ascii="方正小标宋简体" w:hAnsi="方正小标宋简体" w:eastAsia="方正小标宋简体" w:cs="方正小标宋简体"/>
          <w:b w:val="0"/>
          <w:sz w:val="44"/>
          <w:szCs w:val="44"/>
          <w:highlight w:val="none"/>
          <w:lang w:eastAsia="zh-CN"/>
        </w:rPr>
        <w:t>》</w:t>
      </w:r>
      <w:bookmarkStart w:id="1" w:name="_GoBack"/>
      <w:bookmarkEnd w:id="1"/>
    </w:p>
    <w:p>
      <w:pPr>
        <w:pStyle w:val="2"/>
        <w:keepNext w:val="0"/>
        <w:keepLines w:val="0"/>
        <w:pageBreakBefore w:val="0"/>
        <w:kinsoku/>
        <w:wordWrap/>
        <w:topLinePunct w:val="0"/>
        <w:autoSpaceDE/>
        <w:autoSpaceDN/>
        <w:bidi w:val="0"/>
        <w:spacing w:line="540" w:lineRule="exact"/>
        <w:ind w:left="0" w:leftChars="0" w:right="0" w:rightChars="0"/>
        <w:jc w:val="both"/>
        <w:textAlignment w:val="auto"/>
        <w:rPr>
          <w:rFonts w:hint="default" w:ascii="Times New Roman" w:hAnsi="Times New Roman" w:eastAsia="仿宋_GB2312" w:cs="Times New Roman"/>
          <w:b w:val="0"/>
          <w:sz w:val="32"/>
          <w:szCs w:val="32"/>
          <w:highlight w:val="none"/>
        </w:rPr>
      </w:pPr>
    </w:p>
    <w:p>
      <w:pPr>
        <w:pStyle w:val="2"/>
        <w:keepNext w:val="0"/>
        <w:keepLines w:val="0"/>
        <w:pageBreakBefore w:val="0"/>
        <w:widowControl/>
        <w:kinsoku/>
        <w:wordWrap/>
        <w:overflowPunct w:val="0"/>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仿宋_GB2312" w:hAnsi="仿宋_GB2312" w:eastAsia="仿宋_GB2312" w:cs="仿宋_GB2312"/>
          <w:b w:val="0"/>
          <w:sz w:val="32"/>
          <w:szCs w:val="32"/>
          <w:highlight w:val="none"/>
        </w:rPr>
      </w:pPr>
      <w:r>
        <w:rPr>
          <w:rFonts w:hint="eastAsia" w:ascii="仿宋_GB2312" w:hAnsi="仿宋_GB2312" w:eastAsia="仿宋_GB2312" w:cs="仿宋_GB2312"/>
          <w:b w:val="0"/>
          <w:sz w:val="32"/>
          <w:szCs w:val="32"/>
          <w:highlight w:val="none"/>
        </w:rPr>
        <w:t>为深入贯彻落实国家</w:t>
      </w:r>
      <w:r>
        <w:rPr>
          <w:rFonts w:hint="eastAsia" w:ascii="仿宋_GB2312" w:hAnsi="仿宋_GB2312" w:eastAsia="仿宋_GB2312" w:cs="仿宋_GB2312"/>
          <w:b w:val="0"/>
          <w:sz w:val="32"/>
          <w:szCs w:val="32"/>
          <w:highlight w:val="none"/>
          <w:lang w:val="en-US" w:eastAsia="zh-CN"/>
        </w:rPr>
        <w:t>和北京市关于</w:t>
      </w:r>
      <w:r>
        <w:rPr>
          <w:rFonts w:hint="eastAsia" w:ascii="仿宋_GB2312" w:hAnsi="仿宋_GB2312" w:eastAsia="仿宋_GB2312" w:cs="仿宋_GB2312"/>
          <w:b w:val="0"/>
          <w:sz w:val="32"/>
          <w:szCs w:val="32"/>
          <w:highlight w:val="none"/>
        </w:rPr>
        <w:t>“人工智能＋”</w:t>
      </w:r>
      <w:r>
        <w:rPr>
          <w:rFonts w:hint="eastAsia" w:ascii="仿宋_GB2312" w:hAnsi="仿宋_GB2312" w:eastAsia="仿宋_GB2312" w:cs="仿宋_GB2312"/>
          <w:b w:val="0"/>
          <w:sz w:val="32"/>
          <w:szCs w:val="32"/>
          <w:highlight w:val="none"/>
          <w:lang w:eastAsia="zh-CN"/>
        </w:rPr>
        <w:t>的</w:t>
      </w:r>
      <w:r>
        <w:rPr>
          <w:rFonts w:hint="eastAsia" w:ascii="仿宋_GB2312" w:hAnsi="仿宋_GB2312" w:eastAsia="仿宋_GB2312" w:cs="仿宋_GB2312"/>
          <w:b w:val="0"/>
          <w:sz w:val="32"/>
          <w:szCs w:val="32"/>
          <w:highlight w:val="none"/>
        </w:rPr>
        <w:t>战略部署，充分发挥“山水怀柔”和“一城两都”资源禀赋优势，健全社区承载、要素供给、场景牵引、金融赋能、品牌塑造相协同的支持体系，</w:t>
      </w:r>
      <w:r>
        <w:rPr>
          <w:rFonts w:hint="eastAsia" w:ascii="仿宋_GB2312" w:hAnsi="仿宋_GB2312" w:eastAsia="仿宋_GB2312" w:cs="仿宋_GB2312"/>
          <w:b w:val="0"/>
          <w:sz w:val="32"/>
          <w:szCs w:val="32"/>
          <w:highlight w:val="none"/>
          <w:lang w:eastAsia="zh-CN"/>
        </w:rPr>
        <w:t>推动“雁栖十条”政策迭代升级，</w:t>
      </w:r>
      <w:r>
        <w:rPr>
          <w:rFonts w:hint="eastAsia" w:ascii="仿宋_GB2312" w:hAnsi="仿宋_GB2312" w:eastAsia="仿宋_GB2312" w:cs="仿宋_GB2312"/>
          <w:b w:val="0"/>
          <w:sz w:val="32"/>
          <w:szCs w:val="32"/>
          <w:highlight w:val="none"/>
        </w:rPr>
        <w:t>打响“雁栖智创”OPC品牌，特制定本措施。</w:t>
      </w:r>
    </w:p>
    <w:p>
      <w:pPr>
        <w:keepNext w:val="0"/>
        <w:keepLines w:val="0"/>
        <w:pageBreakBefore w:val="0"/>
        <w:widowControl/>
        <w:kinsoku/>
        <w:wordWrap/>
        <w:overflowPunct w:val="0"/>
        <w:topLinePunct w:val="0"/>
        <w:autoSpaceDE/>
        <w:autoSpaceDN/>
        <w:bidi w:val="0"/>
        <w:adjustRightInd/>
        <w:snapToGrid/>
        <w:spacing w:line="540" w:lineRule="exact"/>
        <w:ind w:left="0" w:leftChars="0" w:right="0" w:rightChars="0" w:firstLine="643" w:firstLineChars="200"/>
        <w:jc w:val="both"/>
        <w:textAlignment w:val="auto"/>
        <w:outlineLvl w:val="9"/>
        <w:rPr>
          <w:rFonts w:hint="eastAsia" w:ascii="仿宋_GB2312" w:hAnsi="仿宋_GB2312" w:eastAsia="仿宋_GB2312" w:cs="仿宋_GB2312"/>
          <w:b w:val="0"/>
          <w:sz w:val="32"/>
          <w:szCs w:val="32"/>
          <w:highlight w:val="none"/>
        </w:rPr>
      </w:pPr>
      <w:bookmarkStart w:id="0" w:name="OLE_LINK1"/>
      <w:r>
        <w:rPr>
          <w:rFonts w:hint="eastAsia" w:ascii="仿宋_GB2312" w:hAnsi="仿宋_GB2312" w:eastAsia="仿宋_GB2312" w:cs="仿宋_GB2312"/>
          <w:b/>
          <w:bCs w:val="0"/>
          <w:sz w:val="32"/>
          <w:szCs w:val="32"/>
          <w:highlight w:val="none"/>
          <w:lang w:val="en-US" w:eastAsia="zh-CN"/>
        </w:rPr>
        <w:t>1.支持建设OPC成长社区。</w:t>
      </w:r>
      <w:r>
        <w:rPr>
          <w:rFonts w:hint="eastAsia" w:ascii="仿宋_GB2312" w:hAnsi="仿宋_GB2312" w:eastAsia="仿宋_GB2312" w:cs="仿宋_GB2312"/>
          <w:b w:val="0"/>
          <w:bCs w:val="0"/>
          <w:sz w:val="32"/>
          <w:szCs w:val="32"/>
          <w:highlight w:val="none"/>
        </w:rPr>
        <w:t>鼓励优质特色园区、高质量孵化器、专业服务平台等主体打造OPC成长社区，对经认定的OPC成长社区，按照其产业集聚规模、运营服务成效给予每年最高200万元资金支持。</w:t>
      </w:r>
    </w:p>
    <w:p>
      <w:pPr>
        <w:keepNext w:val="0"/>
        <w:keepLines w:val="0"/>
        <w:pageBreakBefore w:val="0"/>
        <w:widowControl/>
        <w:numPr>
          <w:ilvl w:val="0"/>
          <w:numId w:val="0"/>
        </w:numPr>
        <w:kinsoku/>
        <w:wordWrap/>
        <w:overflowPunct w:val="0"/>
        <w:topLinePunct w:val="0"/>
        <w:autoSpaceDE/>
        <w:autoSpaceDN/>
        <w:bidi w:val="0"/>
        <w:adjustRightInd/>
        <w:snapToGrid/>
        <w:spacing w:line="540" w:lineRule="exact"/>
        <w:ind w:left="0" w:leftChars="0" w:right="0" w:rightChars="0" w:firstLine="643" w:firstLineChars="200"/>
        <w:jc w:val="both"/>
        <w:textAlignment w:val="auto"/>
        <w:outlineLvl w:val="9"/>
        <w:rPr>
          <w:rFonts w:hint="eastAsia" w:ascii="仿宋_GB2312" w:hAnsi="仿宋_GB2312" w:eastAsia="仿宋_GB2312" w:cs="仿宋_GB2312"/>
          <w:b w:val="0"/>
          <w:sz w:val="32"/>
          <w:szCs w:val="32"/>
          <w:highlight w:val="none"/>
        </w:rPr>
      </w:pPr>
      <w:r>
        <w:rPr>
          <w:rFonts w:hint="eastAsia" w:ascii="仿宋_GB2312" w:hAnsi="仿宋_GB2312" w:eastAsia="仿宋_GB2312" w:cs="仿宋_GB2312"/>
          <w:b/>
          <w:bCs w:val="0"/>
          <w:sz w:val="32"/>
          <w:szCs w:val="32"/>
          <w:highlight w:val="none"/>
          <w:lang w:val="en-US" w:eastAsia="zh-CN"/>
        </w:rPr>
        <w:t>2.支持优质人才创办OPC企业。</w:t>
      </w:r>
      <w:r>
        <w:rPr>
          <w:rFonts w:hint="eastAsia" w:ascii="仿宋_GB2312" w:hAnsi="仿宋_GB2312" w:eastAsia="仿宋_GB2312" w:cs="仿宋_GB2312"/>
          <w:b w:val="0"/>
          <w:sz w:val="32"/>
          <w:szCs w:val="32"/>
          <w:highlight w:val="none"/>
        </w:rPr>
        <w:t>聚焦科技创新、影视视听、文旅创意或其他符合怀柔区功能定位和重点产业方向的领域，重点支持高校院所的在读学生、科研人员、毕业五年内的校友以及重点企业人才等创办OPC企业，经认定一次性给予10万元创业启动支持。</w:t>
      </w:r>
    </w:p>
    <w:p>
      <w:pPr>
        <w:keepNext w:val="0"/>
        <w:keepLines w:val="0"/>
        <w:pageBreakBefore w:val="0"/>
        <w:widowControl/>
        <w:numPr>
          <w:ilvl w:val="0"/>
          <w:numId w:val="0"/>
        </w:numPr>
        <w:kinsoku/>
        <w:wordWrap/>
        <w:overflowPunct w:val="0"/>
        <w:topLinePunct w:val="0"/>
        <w:autoSpaceDE/>
        <w:autoSpaceDN/>
        <w:bidi w:val="0"/>
        <w:adjustRightInd/>
        <w:snapToGrid/>
        <w:spacing w:line="540" w:lineRule="exact"/>
        <w:ind w:left="0" w:leftChars="0" w:right="0" w:rightChars="0" w:firstLine="643" w:firstLineChars="200"/>
        <w:jc w:val="both"/>
        <w:textAlignment w:val="auto"/>
        <w:outlineLvl w:val="9"/>
        <w:rPr>
          <w:rFonts w:hint="eastAsia" w:ascii="仿宋_GB2312" w:hAnsi="仿宋_GB2312" w:eastAsia="仿宋_GB2312" w:cs="仿宋_GB2312"/>
          <w:b w:val="0"/>
          <w:sz w:val="32"/>
          <w:szCs w:val="32"/>
          <w:highlight w:val="none"/>
        </w:rPr>
      </w:pPr>
      <w:r>
        <w:rPr>
          <w:rFonts w:hint="eastAsia" w:ascii="仿宋_GB2312" w:hAnsi="仿宋_GB2312" w:eastAsia="仿宋_GB2312" w:cs="仿宋_GB2312"/>
          <w:b/>
          <w:bCs w:val="0"/>
          <w:sz w:val="32"/>
          <w:szCs w:val="32"/>
          <w:highlight w:val="none"/>
          <w:lang w:val="en-US" w:eastAsia="zh-CN"/>
        </w:rPr>
        <w:t>3.强化OPC创业人才服务保障。</w:t>
      </w:r>
      <w:r>
        <w:rPr>
          <w:rFonts w:hint="eastAsia" w:ascii="仿宋_GB2312" w:hAnsi="仿宋_GB2312" w:eastAsia="仿宋_GB2312" w:cs="仿宋_GB2312"/>
          <w:b w:val="0"/>
          <w:sz w:val="32"/>
          <w:szCs w:val="32"/>
          <w:highlight w:val="none"/>
          <w:lang w:val="en-US" w:eastAsia="zh-CN"/>
        </w:rPr>
        <w:t>对符合条件的OPC创业人才，纳入“雁栖十条”人才服务保障体系，统筹提供创业辅导、政策咨询、资源对接和生活服务。加强人才安居保障，按规定提供就业创业3个月免费周转住房+长租6年补贴支持。</w:t>
      </w:r>
    </w:p>
    <w:p>
      <w:pPr>
        <w:keepNext w:val="0"/>
        <w:keepLines w:val="0"/>
        <w:pageBreakBefore w:val="0"/>
        <w:widowControl/>
        <w:kinsoku/>
        <w:wordWrap/>
        <w:overflowPunct w:val="0"/>
        <w:topLinePunct w:val="0"/>
        <w:autoSpaceDE/>
        <w:autoSpaceDN/>
        <w:bidi w:val="0"/>
        <w:adjustRightInd/>
        <w:snapToGrid/>
        <w:spacing w:line="540" w:lineRule="exact"/>
        <w:ind w:left="0" w:leftChars="0" w:right="0" w:rightChars="0" w:firstLine="643" w:firstLineChars="200"/>
        <w:jc w:val="both"/>
        <w:textAlignment w:val="auto"/>
        <w:outlineLvl w:val="9"/>
        <w:rPr>
          <w:rFonts w:hint="eastAsia" w:ascii="仿宋_GB2312" w:hAnsi="仿宋_GB2312" w:eastAsia="仿宋_GB2312" w:cs="仿宋_GB2312"/>
          <w:b w:val="0"/>
          <w:sz w:val="32"/>
          <w:szCs w:val="32"/>
          <w:highlight w:val="none"/>
          <w:lang w:eastAsia="zh-CN"/>
        </w:rPr>
      </w:pPr>
      <w:r>
        <w:rPr>
          <w:rFonts w:hint="eastAsia" w:ascii="仿宋_GB2312" w:hAnsi="仿宋_GB2312" w:eastAsia="仿宋_GB2312" w:cs="仿宋_GB2312"/>
          <w:b/>
          <w:bCs w:val="0"/>
          <w:sz w:val="32"/>
          <w:szCs w:val="32"/>
          <w:highlight w:val="none"/>
          <w:lang w:val="en-US" w:eastAsia="zh-CN"/>
        </w:rPr>
        <w:t>4.强化多元金融服务供给。</w:t>
      </w:r>
      <w:r>
        <w:rPr>
          <w:rFonts w:hint="eastAsia" w:ascii="仿宋_GB2312" w:hAnsi="仿宋_GB2312" w:eastAsia="仿宋_GB2312" w:cs="仿宋_GB2312"/>
          <w:b w:val="0"/>
          <w:sz w:val="32"/>
          <w:szCs w:val="32"/>
          <w:highlight w:val="none"/>
          <w:lang w:val="en-US" w:eastAsia="zh-CN"/>
        </w:rPr>
        <w:t>积极对接国家和北京市相关基金，统筹用好区政府投资基金、青年人才发展基金等区级基金资源，常态化组织OPC专场投资路演活动，支持符合条件的OPC企业和项目获得股权投资。鼓励金融机构提供“OPC贷”、科技研发贷、知识产权质押贷款和科技保险等适配性产品。对获得符合条件贷款的OPC企业，按照实际支付利息的50%给予贴息，每家企业每年最高50万元。</w:t>
      </w:r>
    </w:p>
    <w:p>
      <w:pPr>
        <w:keepNext w:val="0"/>
        <w:keepLines w:val="0"/>
        <w:pageBreakBefore w:val="0"/>
        <w:widowControl/>
        <w:kinsoku/>
        <w:wordWrap/>
        <w:overflowPunct w:val="0"/>
        <w:topLinePunct w:val="0"/>
        <w:autoSpaceDE/>
        <w:autoSpaceDN/>
        <w:bidi w:val="0"/>
        <w:adjustRightInd/>
        <w:snapToGrid/>
        <w:spacing w:line="540" w:lineRule="exact"/>
        <w:ind w:left="0" w:leftChars="0" w:right="0" w:rightChars="0" w:firstLine="643" w:firstLineChars="200"/>
        <w:jc w:val="both"/>
        <w:textAlignment w:val="auto"/>
        <w:outlineLvl w:val="9"/>
        <w:rPr>
          <w:rFonts w:hint="eastAsia" w:ascii="仿宋_GB2312" w:hAnsi="仿宋_GB2312" w:eastAsia="仿宋_GB2312" w:cs="仿宋_GB2312"/>
          <w:b w:val="0"/>
          <w:sz w:val="32"/>
          <w:szCs w:val="32"/>
          <w:highlight w:val="none"/>
          <w:lang w:eastAsia="zh-CN"/>
        </w:rPr>
      </w:pPr>
      <w:r>
        <w:rPr>
          <w:rFonts w:hint="eastAsia" w:ascii="仿宋_GB2312" w:hAnsi="仿宋_GB2312" w:eastAsia="仿宋_GB2312" w:cs="仿宋_GB2312"/>
          <w:b/>
          <w:bCs w:val="0"/>
          <w:sz w:val="32"/>
          <w:szCs w:val="32"/>
          <w:highlight w:val="none"/>
          <w:lang w:val="en-US" w:eastAsia="zh-CN" w:bidi="ar-SA"/>
        </w:rPr>
        <w:t>5.支持人工智能工具创新应用。</w:t>
      </w:r>
      <w:r>
        <w:rPr>
          <w:rFonts w:hint="eastAsia" w:ascii="仿宋_GB2312" w:hAnsi="仿宋_GB2312" w:eastAsia="仿宋_GB2312" w:cs="仿宋_GB2312"/>
          <w:b w:val="0"/>
          <w:sz w:val="32"/>
          <w:szCs w:val="32"/>
          <w:highlight w:val="none"/>
          <w:lang w:val="en-US" w:eastAsia="zh-CN"/>
        </w:rPr>
        <w:t>鼓励OPC企业运用大模型、智能体等开展科学数据分析、科研工具开发、视听内容创制、文旅产品开发和创意设计。对相关算力、模型调用和AI工具使用费用，按照实际支出的50%给予支持，每家企业每年最高50万元。</w:t>
      </w:r>
    </w:p>
    <w:p>
      <w:pPr>
        <w:pStyle w:val="2"/>
        <w:keepNext w:val="0"/>
        <w:keepLines w:val="0"/>
        <w:pageBreakBefore w:val="0"/>
        <w:widowControl/>
        <w:kinsoku/>
        <w:wordWrap/>
        <w:overflowPunct w:val="0"/>
        <w:topLinePunct w:val="0"/>
        <w:autoSpaceDE/>
        <w:autoSpaceDN/>
        <w:bidi w:val="0"/>
        <w:adjustRightInd/>
        <w:snapToGrid/>
        <w:spacing w:line="540" w:lineRule="exact"/>
        <w:ind w:left="0" w:leftChars="0" w:right="0" w:rightChars="0" w:firstLine="643" w:firstLineChars="200"/>
        <w:jc w:val="both"/>
        <w:textAlignment w:val="auto"/>
        <w:outlineLvl w:val="9"/>
        <w:rPr>
          <w:rFonts w:hint="eastAsia" w:ascii="仿宋_GB2312" w:hAnsi="仿宋_GB2312" w:eastAsia="仿宋_GB2312" w:cs="仿宋_GB2312"/>
          <w:b w:val="0"/>
          <w:sz w:val="32"/>
          <w:szCs w:val="32"/>
          <w:highlight w:val="none"/>
          <w:lang w:val="en-US" w:eastAsia="zh-CN"/>
        </w:rPr>
      </w:pPr>
      <w:r>
        <w:rPr>
          <w:rFonts w:hint="eastAsia" w:ascii="仿宋_GB2312" w:hAnsi="仿宋_GB2312" w:eastAsia="仿宋_GB2312" w:cs="仿宋_GB2312"/>
          <w:b/>
          <w:bCs w:val="0"/>
          <w:sz w:val="32"/>
          <w:szCs w:val="32"/>
          <w:highlight w:val="none"/>
          <w:lang w:val="en-US" w:eastAsia="zh-CN" w:bidi="ar-SA"/>
        </w:rPr>
        <w:t>6.促进高价值数据开放利用。</w:t>
      </w:r>
      <w:r>
        <w:rPr>
          <w:rFonts w:hint="eastAsia" w:ascii="仿宋_GB2312" w:hAnsi="仿宋_GB2312" w:eastAsia="仿宋_GB2312" w:cs="仿宋_GB2312"/>
          <w:b w:val="0"/>
          <w:sz w:val="32"/>
          <w:szCs w:val="32"/>
          <w:highlight w:val="none"/>
        </w:rPr>
        <w:t>支持OPC企业围绕模型训练、智能体开发、内容生成和应用验证，依法依规购买使用数据、素材、语料及相关服务，按照实际支出的50%给予支持，每家企业每年最高20万元。支持怀柔区内影视制作机构、科研院所、文旅单位和平台企业等开放权属清晰、安全可控的数据资源；对形成实际调用的，按照经核定的数据治理和开放服务相关支出的50%给予数据开放主体支持，每个主体每年最高50万元。</w:t>
      </w:r>
    </w:p>
    <w:p>
      <w:pPr>
        <w:pStyle w:val="2"/>
        <w:keepNext w:val="0"/>
        <w:keepLines w:val="0"/>
        <w:pageBreakBefore w:val="0"/>
        <w:widowControl/>
        <w:numPr>
          <w:ilvl w:val="0"/>
          <w:numId w:val="0"/>
        </w:numPr>
        <w:kinsoku/>
        <w:wordWrap/>
        <w:overflowPunct w:val="0"/>
        <w:topLinePunct w:val="0"/>
        <w:autoSpaceDE/>
        <w:autoSpaceDN/>
        <w:bidi w:val="0"/>
        <w:adjustRightInd/>
        <w:snapToGrid/>
        <w:spacing w:line="540" w:lineRule="exact"/>
        <w:ind w:left="0" w:leftChars="0" w:right="0" w:rightChars="0" w:firstLine="643" w:firstLineChars="200"/>
        <w:jc w:val="both"/>
        <w:textAlignment w:val="auto"/>
        <w:outlineLvl w:val="9"/>
        <w:rPr>
          <w:rFonts w:hint="eastAsia" w:ascii="仿宋_GB2312" w:hAnsi="仿宋_GB2312" w:eastAsia="仿宋_GB2312" w:cs="仿宋_GB2312"/>
          <w:b w:val="0"/>
          <w:bCs w:val="0"/>
          <w:sz w:val="32"/>
          <w:szCs w:val="32"/>
          <w:highlight w:val="none"/>
          <w:lang w:val="en-US" w:eastAsia="zh-CN" w:bidi="ar-SA"/>
        </w:rPr>
      </w:pPr>
      <w:r>
        <w:rPr>
          <w:rFonts w:hint="eastAsia" w:ascii="仿宋_GB2312" w:hAnsi="仿宋_GB2312" w:eastAsia="仿宋_GB2312" w:cs="仿宋_GB2312"/>
          <w:b/>
          <w:bCs w:val="0"/>
          <w:sz w:val="32"/>
          <w:szCs w:val="32"/>
          <w:highlight w:val="none"/>
          <w:lang w:val="en-US" w:eastAsia="zh-CN" w:bidi="ar-SA"/>
        </w:rPr>
        <w:t>7.支持特色应用场景首试首用。</w:t>
      </w:r>
      <w:r>
        <w:rPr>
          <w:rFonts w:hint="eastAsia" w:ascii="仿宋_GB2312" w:hAnsi="仿宋_GB2312" w:eastAsia="仿宋_GB2312" w:cs="仿宋_GB2312"/>
          <w:b w:val="0"/>
          <w:bCs w:val="0"/>
          <w:sz w:val="32"/>
          <w:szCs w:val="32"/>
          <w:highlight w:val="none"/>
          <w:lang w:val="en-US" w:eastAsia="zh-CN" w:bidi="ar-SA"/>
        </w:rPr>
        <w:t>聚焦科学智能、智能视听、智慧文旅等重点方向，推动大科学装置运行单位、科研院所、国有企业、影视机构和文旅单位等开放场景，支持OPC通过联合攻关、试点验证等方式开展场景开发和示范应用。每年择优支持一批首试首用项目，对场景开放方采购OPC企业产品或服务并形成实际支付和应用成果的，按照经核定的项目合同实际支付额及必要场景建设投入的30%给予场景开放方支持，单个项目最高200万元。</w:t>
      </w:r>
    </w:p>
    <w:p>
      <w:pPr>
        <w:pStyle w:val="2"/>
        <w:keepNext w:val="0"/>
        <w:keepLines w:val="0"/>
        <w:pageBreakBefore w:val="0"/>
        <w:widowControl/>
        <w:numPr>
          <w:ilvl w:val="0"/>
          <w:numId w:val="0"/>
        </w:numPr>
        <w:kinsoku/>
        <w:wordWrap/>
        <w:overflowPunct w:val="0"/>
        <w:topLinePunct w:val="0"/>
        <w:autoSpaceDE/>
        <w:autoSpaceDN/>
        <w:bidi w:val="0"/>
        <w:adjustRightInd/>
        <w:snapToGrid/>
        <w:spacing w:line="540" w:lineRule="exact"/>
        <w:ind w:left="0" w:leftChars="0" w:right="0" w:rightChars="0" w:firstLine="643" w:firstLineChars="200"/>
        <w:jc w:val="both"/>
        <w:textAlignment w:val="auto"/>
        <w:outlineLvl w:val="9"/>
        <w:rPr>
          <w:rFonts w:hint="eastAsia" w:ascii="仿宋_GB2312" w:hAnsi="仿宋_GB2312" w:eastAsia="仿宋_GB2312" w:cs="仿宋_GB2312"/>
          <w:b w:val="0"/>
          <w:sz w:val="32"/>
          <w:szCs w:val="32"/>
          <w:highlight w:val="none"/>
        </w:rPr>
      </w:pPr>
      <w:r>
        <w:rPr>
          <w:rFonts w:hint="eastAsia" w:ascii="仿宋_GB2312" w:hAnsi="仿宋_GB2312" w:eastAsia="仿宋_GB2312" w:cs="仿宋_GB2312"/>
          <w:b/>
          <w:bCs w:val="0"/>
          <w:sz w:val="32"/>
          <w:szCs w:val="32"/>
          <w:highlight w:val="none"/>
          <w:lang w:val="en-US" w:eastAsia="zh-CN" w:bidi="ar-SA"/>
        </w:rPr>
        <w:t>8.支持举办OPC生态活动。</w:t>
      </w:r>
      <w:r>
        <w:rPr>
          <w:rFonts w:hint="eastAsia" w:ascii="仿宋_GB2312" w:hAnsi="仿宋_GB2312" w:eastAsia="仿宋_GB2312" w:cs="仿宋_GB2312"/>
          <w:b w:val="0"/>
          <w:sz w:val="32"/>
          <w:szCs w:val="32"/>
          <w:highlight w:val="none"/>
        </w:rPr>
        <w:t>围绕产业赛道，开展OPC大赛、OPC路演沙龙、OPC主题会展等常态化生态活动，对经事前备案、在怀柔区举办并取得实际成效的活动，根据活动级别、规模和实际影响力，经认定，按照核定支出30%给予活动组织方资金支持，单场活动最高20万元，同一主办主体每年最高50万元。</w:t>
      </w:r>
    </w:p>
    <w:p>
      <w:pPr>
        <w:pStyle w:val="2"/>
        <w:keepNext w:val="0"/>
        <w:keepLines w:val="0"/>
        <w:pageBreakBefore w:val="0"/>
        <w:widowControl/>
        <w:numPr>
          <w:ilvl w:val="0"/>
          <w:numId w:val="0"/>
        </w:numPr>
        <w:kinsoku/>
        <w:wordWrap/>
        <w:overflowPunct w:val="0"/>
        <w:topLinePunct w:val="0"/>
        <w:autoSpaceDE/>
        <w:autoSpaceDN/>
        <w:bidi w:val="0"/>
        <w:adjustRightInd/>
        <w:snapToGrid/>
        <w:spacing w:after="0" w:line="540" w:lineRule="exact"/>
        <w:ind w:left="0" w:leftChars="0" w:right="0" w:rightChars="0" w:firstLine="643" w:firstLineChars="200"/>
        <w:jc w:val="both"/>
        <w:textAlignment w:val="auto"/>
        <w:rPr>
          <w:rFonts w:hint="eastAsia" w:ascii="仿宋_GB2312" w:hAnsi="仿宋_GB2312" w:eastAsia="仿宋_GB2312" w:cs="仿宋_GB2312"/>
          <w:b/>
          <w:bCs w:val="0"/>
          <w:sz w:val="32"/>
          <w:szCs w:val="32"/>
          <w:highlight w:val="none"/>
          <w:lang w:val="en-US" w:eastAsia="zh-CN" w:bidi="ar-SA"/>
        </w:rPr>
      </w:pPr>
      <w:r>
        <w:rPr>
          <w:rFonts w:hint="eastAsia" w:ascii="仿宋_GB2312" w:hAnsi="仿宋_GB2312" w:eastAsia="仿宋_GB2312" w:cs="仿宋_GB2312"/>
          <w:b/>
          <w:bCs/>
          <w:sz w:val="32"/>
          <w:szCs w:val="32"/>
          <w:highlight w:val="none"/>
        </w:rPr>
        <w:t>9.支持赛事获奖项目落地转化。</w:t>
      </w:r>
      <w:r>
        <w:rPr>
          <w:rFonts w:hint="eastAsia" w:ascii="仿宋_GB2312" w:hAnsi="仿宋_GB2312" w:eastAsia="仿宋_GB2312" w:cs="仿宋_GB2312"/>
          <w:b w:val="0"/>
          <w:sz w:val="32"/>
          <w:szCs w:val="32"/>
          <w:highlight w:val="none"/>
          <w:lang w:eastAsia="zh-CN"/>
        </w:rPr>
        <w:t>培育和支持在怀创办的</w:t>
      </w:r>
      <w:r>
        <w:rPr>
          <w:rFonts w:hint="eastAsia" w:ascii="仿宋_GB2312" w:hAnsi="仿宋_GB2312" w:eastAsia="仿宋_GB2312" w:cs="仿宋_GB2312"/>
          <w:b w:val="0"/>
          <w:sz w:val="32"/>
          <w:szCs w:val="32"/>
          <w:highlight w:val="none"/>
        </w:rPr>
        <w:t>OPC企业</w:t>
      </w:r>
      <w:r>
        <w:rPr>
          <w:rFonts w:hint="eastAsia" w:ascii="仿宋_GB2312" w:hAnsi="仿宋_GB2312" w:eastAsia="仿宋_GB2312" w:cs="仿宋_GB2312"/>
          <w:b w:val="0"/>
          <w:sz w:val="32"/>
          <w:szCs w:val="32"/>
          <w:highlight w:val="none"/>
          <w:lang w:eastAsia="zh-CN"/>
        </w:rPr>
        <w:t>参加</w:t>
      </w:r>
      <w:r>
        <w:rPr>
          <w:rFonts w:hint="eastAsia" w:ascii="仿宋_GB2312" w:hAnsi="仿宋_GB2312" w:eastAsia="仿宋_GB2312" w:cs="仿宋_GB2312"/>
          <w:b w:val="0"/>
          <w:sz w:val="32"/>
          <w:szCs w:val="32"/>
          <w:highlight w:val="none"/>
          <w:lang w:val="en-US" w:eastAsia="zh-CN"/>
        </w:rPr>
        <w:t>HICOOL全球创业大赛、雁栖杯前沿技术创新大赛等</w:t>
      </w:r>
      <w:r>
        <w:rPr>
          <w:rFonts w:hint="eastAsia" w:ascii="仿宋_GB2312" w:hAnsi="仿宋_GB2312" w:eastAsia="仿宋_GB2312" w:cs="仿宋_GB2312"/>
          <w:b w:val="0"/>
          <w:sz w:val="32"/>
          <w:szCs w:val="32"/>
          <w:highlight w:val="none"/>
        </w:rPr>
        <w:t>国家级、北京市级、怀柔区级创新创业</w:t>
      </w:r>
      <w:r>
        <w:rPr>
          <w:rFonts w:hint="eastAsia" w:ascii="仿宋_GB2312" w:hAnsi="仿宋_GB2312" w:eastAsia="仿宋_GB2312" w:cs="仿宋_GB2312"/>
          <w:b w:val="0"/>
          <w:sz w:val="32"/>
          <w:szCs w:val="32"/>
          <w:highlight w:val="none"/>
          <w:lang w:eastAsia="zh-CN"/>
        </w:rPr>
        <w:t>赛事，并加强参加相关创新创业赛事项目的落地跟踪，对于获奖项目，</w:t>
      </w:r>
      <w:r>
        <w:rPr>
          <w:rFonts w:hint="eastAsia" w:ascii="仿宋_GB2312" w:hAnsi="仿宋_GB2312" w:eastAsia="仿宋_GB2312" w:cs="仿宋_GB2312"/>
          <w:b w:val="0"/>
          <w:sz w:val="32"/>
          <w:szCs w:val="32"/>
          <w:highlight w:val="none"/>
        </w:rPr>
        <w:t>按照赛事奖金1</w:t>
      </w:r>
      <w:r>
        <w:rPr>
          <w:rFonts w:hint="eastAsia" w:ascii="仿宋_GB2312" w:hAnsi="仿宋_GB2312" w:eastAsia="仿宋_GB2312" w:cs="仿宋_GB2312"/>
          <w:b w:val="0"/>
          <w:sz w:val="32"/>
          <w:szCs w:val="32"/>
          <w:highlight w:val="none"/>
          <w:lang w:val="en-US" w:eastAsia="zh-CN"/>
        </w:rPr>
        <w:t>:</w:t>
      </w:r>
      <w:r>
        <w:rPr>
          <w:rFonts w:hint="eastAsia" w:ascii="仿宋_GB2312" w:hAnsi="仿宋_GB2312" w:eastAsia="仿宋_GB2312" w:cs="仿宋_GB2312"/>
          <w:b w:val="0"/>
          <w:sz w:val="32"/>
          <w:szCs w:val="32"/>
          <w:highlight w:val="none"/>
        </w:rPr>
        <w:t>1比例给予资金支持，最高50万元。符合条件的项目</w:t>
      </w:r>
      <w:r>
        <w:rPr>
          <w:rFonts w:hint="eastAsia" w:ascii="仿宋_GB2312" w:hAnsi="仿宋_GB2312" w:eastAsia="仿宋_GB2312" w:cs="仿宋_GB2312"/>
          <w:b w:val="0"/>
          <w:sz w:val="32"/>
          <w:szCs w:val="32"/>
          <w:highlight w:val="none"/>
          <w:lang w:eastAsia="zh-CN"/>
        </w:rPr>
        <w:t>，</w:t>
      </w:r>
      <w:r>
        <w:rPr>
          <w:rFonts w:hint="eastAsia" w:ascii="仿宋_GB2312" w:hAnsi="仿宋_GB2312" w:eastAsia="仿宋_GB2312" w:cs="仿宋_GB2312"/>
          <w:b w:val="0"/>
          <w:sz w:val="32"/>
          <w:szCs w:val="32"/>
          <w:highlight w:val="none"/>
        </w:rPr>
        <w:t>优先纳入OPC企业储备库，依托OPC成长社区提供注册落地、创业辅导、投融资对接、应用场景验证等服务，加快推动获奖项目由参赛成果转化为产品和企业。</w:t>
      </w:r>
    </w:p>
    <w:p>
      <w:pPr>
        <w:pStyle w:val="2"/>
        <w:keepNext w:val="0"/>
        <w:keepLines w:val="0"/>
        <w:pageBreakBefore w:val="0"/>
        <w:widowControl/>
        <w:numPr>
          <w:ilvl w:val="0"/>
          <w:numId w:val="0"/>
        </w:numPr>
        <w:kinsoku/>
        <w:wordWrap/>
        <w:overflowPunct w:val="0"/>
        <w:topLinePunct w:val="0"/>
        <w:autoSpaceDE/>
        <w:autoSpaceDN/>
        <w:bidi w:val="0"/>
        <w:adjustRightInd/>
        <w:snapToGrid/>
        <w:spacing w:line="540" w:lineRule="exact"/>
        <w:ind w:left="0" w:leftChars="0" w:right="0" w:rightChars="0" w:firstLine="643" w:firstLineChars="200"/>
        <w:jc w:val="both"/>
        <w:textAlignment w:val="auto"/>
        <w:outlineLvl w:val="9"/>
        <w:rPr>
          <w:rFonts w:hint="eastAsia" w:ascii="仿宋_GB2312" w:hAnsi="仿宋_GB2312" w:eastAsia="仿宋_GB2312" w:cs="仿宋_GB2312"/>
          <w:b w:val="0"/>
          <w:bCs w:val="0"/>
          <w:sz w:val="32"/>
          <w:szCs w:val="32"/>
          <w:highlight w:val="none"/>
          <w:lang w:val="en-US" w:eastAsia="zh-CN" w:bidi="ar-SA"/>
        </w:rPr>
      </w:pPr>
      <w:r>
        <w:rPr>
          <w:rFonts w:hint="eastAsia" w:ascii="仿宋_GB2312" w:hAnsi="仿宋_GB2312" w:eastAsia="仿宋_GB2312" w:cs="仿宋_GB2312"/>
          <w:b/>
          <w:bCs w:val="0"/>
          <w:sz w:val="32"/>
          <w:szCs w:val="32"/>
          <w:highlight w:val="none"/>
          <w:lang w:val="en-US" w:eastAsia="zh-CN" w:bidi="ar-SA"/>
        </w:rPr>
        <w:t>10.激励OPC企业实现商业化突破。</w:t>
      </w:r>
      <w:r>
        <w:rPr>
          <w:rFonts w:hint="eastAsia" w:ascii="仿宋_GB2312" w:hAnsi="仿宋_GB2312" w:eastAsia="仿宋_GB2312" w:cs="仿宋_GB2312"/>
          <w:b w:val="0"/>
          <w:bCs w:val="0"/>
          <w:sz w:val="32"/>
          <w:szCs w:val="32"/>
          <w:highlight w:val="none"/>
          <w:lang w:val="en-US" w:eastAsia="zh-CN" w:bidi="ar-SA"/>
        </w:rPr>
        <w:t>推动OPC企业加快创新成果转化和市场拓展，提升产品开发、任务交付和持续经营能力。对成立两年内累计实际履约订单额达到100万元的OPC，按照经核定订单额的10%给予一次性奖励，每家企业最高100万元。</w:t>
      </w:r>
    </w:p>
    <w:bookmarkEnd w:id="0"/>
    <w:p>
      <w:pPr>
        <w:pStyle w:val="2"/>
        <w:keepNext w:val="0"/>
        <w:keepLines w:val="0"/>
        <w:pageBreakBefore w:val="0"/>
        <w:widowControl/>
        <w:numPr>
          <w:ilvl w:val="0"/>
          <w:numId w:val="0"/>
        </w:numPr>
        <w:kinsoku/>
        <w:wordWrap/>
        <w:overflowPunct w:val="0"/>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highlight w:val="none"/>
          <w:lang w:val="en-US" w:eastAsia="zh-CN" w:bidi="ar-SA"/>
        </w:rPr>
      </w:pPr>
      <w:r>
        <w:rPr>
          <w:rFonts w:hint="eastAsia" w:ascii="仿宋_GB2312" w:hAnsi="仿宋_GB2312" w:eastAsia="仿宋_GB2312" w:cs="仿宋_GB2312"/>
          <w:b w:val="0"/>
          <w:bCs/>
          <w:sz w:val="32"/>
          <w:szCs w:val="32"/>
          <w:highlight w:val="none"/>
          <w:lang w:val="en-US" w:eastAsia="zh-CN" w:bidi="ar-SA"/>
        </w:rPr>
        <w:t>本措施自印发之日起施行，试行期1年，由怀柔区经济和信息化局负责解释。</w:t>
      </w:r>
    </w:p>
    <w:p>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jc w:val="center"/>
        <w:textAlignment w:val="auto"/>
        <w:rPr>
          <w:rFonts w:hint="eastAsia" w:ascii="仿宋_GB2312" w:hAnsi="仿宋_GB2312" w:eastAsia="仿宋_GB2312" w:cs="仿宋_GB2312"/>
          <w:b w:val="0"/>
          <w:bCs/>
          <w:sz w:val="32"/>
          <w:szCs w:val="32"/>
          <w:highlight w:val="none"/>
          <w:lang w:val="en-US" w:eastAsia="zh-CN" w:bidi="ar-SA"/>
        </w:rPr>
      </w:pPr>
      <w:r>
        <w:rPr>
          <w:rFonts w:hint="eastAsia" w:ascii="仿宋_GB2312" w:hAnsi="仿宋_GB2312" w:eastAsia="仿宋_GB2312" w:cs="仿宋_GB2312"/>
          <w:b w:val="0"/>
          <w:bCs/>
          <w:sz w:val="32"/>
          <w:szCs w:val="32"/>
          <w:highlight w:val="none"/>
          <w:lang w:val="en-US" w:eastAsia="zh-CN" w:bidi="ar-SA"/>
        </w:rPr>
        <w:t xml:space="preserve">    </w:t>
      </w:r>
    </w:p>
    <w:p>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jc w:val="left"/>
        <w:textAlignment w:val="auto"/>
        <w:rPr>
          <w:rFonts w:hint="eastAsia" w:ascii="仿宋_GB2312" w:hAnsi="仿宋_GB2312" w:eastAsia="仿宋_GB2312" w:cs="仿宋_GB2312"/>
          <w:b w:val="0"/>
          <w:bCs/>
          <w:sz w:val="32"/>
          <w:szCs w:val="32"/>
          <w:highlight w:val="none"/>
          <w:lang w:val="en-US" w:eastAsia="zh-CN" w:bidi="ar-SA"/>
        </w:rPr>
      </w:pPr>
      <w:r>
        <w:rPr>
          <w:rFonts w:hint="eastAsia" w:ascii="仿宋_GB2312" w:hAnsi="仿宋_GB2312" w:eastAsia="仿宋_GB2312" w:cs="仿宋_GB2312"/>
          <w:b w:val="0"/>
          <w:bCs/>
          <w:sz w:val="32"/>
          <w:szCs w:val="32"/>
          <w:highlight w:val="none"/>
          <w:lang w:val="en-US" w:eastAsia="zh-CN" w:bidi="ar-SA"/>
        </w:rPr>
        <w:t xml:space="preserve">    附件：</w:t>
      </w:r>
      <w:r>
        <w:rPr>
          <w:rFonts w:hint="eastAsia" w:ascii="仿宋_GB2312" w:hAnsi="仿宋_GB2312" w:eastAsia="仿宋_GB2312" w:cs="仿宋_GB2312"/>
          <w:b w:val="0"/>
          <w:sz w:val="32"/>
          <w:szCs w:val="32"/>
          <w:highlight w:val="none"/>
        </w:rPr>
        <w:t>怀柔区支持人工智能OPC创新发展专项申报指南</w:t>
      </w:r>
      <w:r>
        <w:rPr>
          <w:rFonts w:hint="eastAsia" w:ascii="仿宋_GB2312" w:hAnsi="仿宋_GB2312" w:eastAsia="仿宋_GB2312" w:cs="仿宋_GB2312"/>
          <w:b w:val="0"/>
          <w:bCs/>
          <w:sz w:val="32"/>
          <w:szCs w:val="32"/>
          <w:highlight w:val="none"/>
          <w:lang w:val="en-US" w:eastAsia="zh-CN" w:bidi="ar-SA"/>
        </w:rPr>
        <w:br w:type="textWrapping"/>
      </w:r>
    </w:p>
    <w:p>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jc w:val="center"/>
        <w:textAlignment w:val="auto"/>
        <w:rPr>
          <w:rFonts w:hint="eastAsia" w:ascii="仿宋_GB2312" w:hAnsi="仿宋_GB2312" w:eastAsia="仿宋_GB2312" w:cs="仿宋_GB2312"/>
          <w:b w:val="0"/>
          <w:bCs/>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jc w:val="both"/>
        <w:textAlignment w:val="auto"/>
        <w:rPr>
          <w:rFonts w:hint="eastAsia" w:ascii="黑体" w:hAnsi="黑体" w:eastAsia="黑体" w:cs="黑体"/>
          <w:b w:val="0"/>
          <w:bCs/>
          <w:sz w:val="32"/>
          <w:szCs w:val="32"/>
          <w:highlight w:val="none"/>
          <w:lang w:val="en-US" w:eastAsia="zh-CN" w:bidi="ar-SA"/>
        </w:rPr>
      </w:pPr>
      <w:r>
        <w:rPr>
          <w:rFonts w:hint="eastAsia" w:ascii="黑体" w:hAnsi="黑体" w:eastAsia="黑体" w:cs="黑体"/>
          <w:b w:val="0"/>
          <w:bCs/>
          <w:sz w:val="32"/>
          <w:szCs w:val="32"/>
          <w:highlight w:val="none"/>
          <w:lang w:val="en-US" w:eastAsia="zh-CN" w:bidi="ar-SA"/>
        </w:rPr>
        <w:t>附件</w:t>
      </w:r>
    </w:p>
    <w:p>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jc w:val="center"/>
        <w:textAlignment w:val="auto"/>
        <w:rPr>
          <w:rFonts w:hint="eastAsia" w:ascii="方正小标宋简体" w:hAnsi="方正小标宋简体" w:eastAsia="方正小标宋简体" w:cs="方正小标宋简体"/>
          <w:b w:val="0"/>
          <w:sz w:val="44"/>
          <w:szCs w:val="44"/>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jc w:val="center"/>
        <w:textAlignment w:val="auto"/>
        <w:rPr>
          <w:rFonts w:hint="eastAsia" w:ascii="方正小标宋简体" w:hAnsi="方正小标宋简体" w:eastAsia="方正小标宋简体" w:cs="方正小标宋简体"/>
          <w:b w:val="0"/>
          <w:sz w:val="44"/>
          <w:szCs w:val="44"/>
          <w:highlight w:val="none"/>
        </w:rPr>
      </w:pPr>
      <w:r>
        <w:rPr>
          <w:rFonts w:hint="eastAsia" w:ascii="方正小标宋简体" w:hAnsi="方正小标宋简体" w:eastAsia="方正小标宋简体" w:cs="方正小标宋简体"/>
          <w:b w:val="0"/>
          <w:sz w:val="44"/>
          <w:szCs w:val="44"/>
          <w:highlight w:val="none"/>
        </w:rPr>
        <w:t>怀柔区支持人工智能OPC创新发展专项</w:t>
      </w:r>
    </w:p>
    <w:p>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jc w:val="center"/>
        <w:textAlignment w:val="auto"/>
        <w:rPr>
          <w:rFonts w:hint="eastAsia" w:ascii="方正小标宋简体" w:hAnsi="方正小标宋简体" w:eastAsia="方正小标宋简体" w:cs="方正小标宋简体"/>
          <w:b w:val="0"/>
          <w:sz w:val="44"/>
          <w:szCs w:val="44"/>
          <w:highlight w:val="none"/>
        </w:rPr>
      </w:pPr>
      <w:r>
        <w:rPr>
          <w:rFonts w:hint="eastAsia" w:ascii="方正小标宋简体" w:hAnsi="方正小标宋简体" w:eastAsia="方正小标宋简体" w:cs="方正小标宋简体"/>
          <w:b w:val="0"/>
          <w:sz w:val="44"/>
          <w:szCs w:val="44"/>
          <w:highlight w:val="none"/>
        </w:rPr>
        <w:t>申报指南</w:t>
      </w:r>
    </w:p>
    <w:p>
      <w:pPr>
        <w:keepLines w:val="0"/>
        <w:pageBreakBefore w:val="0"/>
        <w:tabs>
          <w:tab w:val="left" w:pos="1806"/>
        </w:tabs>
        <w:kinsoku/>
        <w:wordWrap/>
        <w:overflowPunct/>
        <w:topLinePunct w:val="0"/>
        <w:autoSpaceDE/>
        <w:autoSpaceDN/>
        <w:bidi w:val="0"/>
        <w:adjustRightInd/>
        <w:snapToGrid/>
        <w:spacing w:line="540" w:lineRule="exact"/>
        <w:ind w:right="0" w:rightChars="0"/>
        <w:textAlignment w:val="auto"/>
        <w:outlineLvl w:val="9"/>
        <w:rPr>
          <w:rFonts w:hint="eastAsia" w:eastAsiaTheme="minorEastAsia"/>
          <w:sz w:val="32"/>
          <w:szCs w:val="36"/>
          <w:highlight w:val="none"/>
          <w:lang w:eastAsia="zh-CN"/>
        </w:rPr>
      </w:pP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rFonts w:hint="eastAsia" w:ascii="Times New Roman" w:hAnsi="Times New Roman" w:eastAsia="仿宋_GB2312"/>
          <w:b w:val="0"/>
          <w:sz w:val="32"/>
          <w:highlight w:val="none"/>
        </w:rPr>
      </w:pPr>
      <w:r>
        <w:rPr>
          <w:rFonts w:hint="eastAsia" w:ascii="Times New Roman" w:hAnsi="Times New Roman" w:eastAsia="仿宋_GB2312"/>
          <w:b w:val="0"/>
          <w:sz w:val="32"/>
          <w:highlight w:val="none"/>
        </w:rPr>
        <w:t>为深入贯彻落实国家和北京市“人工智能＋”战略部署，充分发挥“山水怀柔”和“一城两都”资源禀赋优势，健全社区承载、要素供给、场景牵引、金融赋能、品牌塑造相协同的支持体系，打响“雁栖智创”OPC品牌，特制定怀柔区支持人工智能OPC创新发展专项申报指南。</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rFonts w:hint="eastAsia" w:ascii="Times New Roman" w:hAnsi="Times New Roman" w:eastAsia="仿宋_GB2312"/>
          <w:b w:val="0"/>
          <w:sz w:val="32"/>
          <w:highlight w:val="none"/>
        </w:rPr>
      </w:pPr>
      <w:r>
        <w:rPr>
          <w:rFonts w:hint="eastAsia" w:ascii="Times New Roman" w:hAnsi="Times New Roman" w:eastAsia="仿宋_GB2312"/>
          <w:b w:val="0"/>
          <w:sz w:val="32"/>
          <w:highlight w:val="none"/>
        </w:rPr>
        <w:t>本指南主要支持在怀柔区依法设立并保持正常经营状态、具备承担申报事项和接受财政资金监督管理能力的人工智能OPC企业，以及坐落于怀柔区、持续为人工智能OPC企业提供专业服务的OPC成长社区。企业主营业务可以通过线上或跨区域方式开展，不以客户所在地、合同签订地、产品交付地或者服务发生地在怀柔区为必要条件；本指南对活动举办地点等另有明确规定的，从其规定。</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hint="eastAsia" w:ascii="Times New Roman" w:hAnsi="Times New Roman" w:eastAsia="黑体"/>
          <w:b w:val="0"/>
          <w:sz w:val="32"/>
          <w:highlight w:val="none"/>
          <w:lang w:val="en-US" w:eastAsia="zh-CN"/>
        </w:rPr>
        <w:t>一、</w:t>
      </w:r>
      <w:r>
        <w:rPr>
          <w:rFonts w:hint="eastAsia" w:ascii="Times New Roman" w:hAnsi="Times New Roman" w:eastAsia="黑体"/>
          <w:b w:val="0"/>
          <w:sz w:val="32"/>
          <w:highlight w:val="none"/>
        </w:rPr>
        <w:t>OPC企业及社区认定标准</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b w:val="0"/>
          <w:sz w:val="32"/>
          <w:szCs w:val="32"/>
          <w:highlight w:val="none"/>
        </w:rPr>
        <w:t>（一）OPC成长社区申报条件</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申请认定为怀柔区OPC成长社区，必须同时满足以下全部条件：</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1.社区应坐落于怀柔区，具有明确、稳定的运营主体。运营主体应在怀柔区依法设立，或者在怀柔区设有能够持续承担社区运营、建立独立项目台账并接受监督管理的机构；应具备规范的运营管理制度，配备不少于3名从事OPC服务的工作人员，其中应有专职运营人员，近3年未被依法依规列入严重失信主体名单且在有效期内。</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hint="eastAsia" w:ascii="Times New Roman" w:hAnsi="Times New Roman" w:eastAsia="仿宋_GB2312"/>
          <w:b w:val="0"/>
          <w:sz w:val="32"/>
          <w:highlight w:val="none"/>
          <w:lang w:val="en-US" w:eastAsia="zh-CN"/>
        </w:rPr>
        <w:t>2.社区可自主支配、物理边界清晰的创业空间不少于1000平方米，可供OPC使用的工位不少于30个，具备会议、交流、路演等公共空间基本功能。自有场地产权应清晰；租赁、委托或合作运营的，申报时剩余使用期限原则上不少于3年。同一物理空间不得拆分或重复申报。</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3.社区已培育或连续稳定服务满3个月、申报时正常经营的怀柔区OPC企业不少于10家，OPC企业占入驻创业主体比例不低于30%。同一OPC企业同期只能计入一家社区；仅签订协议但无实际入驻、孵化或持续服务记录的，不计入。</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4.社区至少对接算力、模型、数据、智能体、AI软件等2类AI生产要素，并具备AI开发、模型调用、智能体部署等至少1项技术服务能力。所对接资源应已向社区OPC实际提供服务，并具有账号、调用、订单或服务记录。</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5.社区能够提供工商、财税、法务、知识产权、融资等至少4类基础企业服务，提供至少1类与社区产业方向相关的专业服务，对接创业导师或专业服务机构不少于3名（家），并具有实际服务案例。</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rFonts w:ascii="Times New Roman" w:hAnsi="Times New Roman" w:eastAsia="黑体"/>
          <w:b w:val="0"/>
          <w:sz w:val="32"/>
          <w:highlight w:val="none"/>
        </w:rPr>
      </w:pPr>
      <w:r>
        <w:rPr>
          <w:rFonts w:ascii="Times New Roman" w:hAnsi="Times New Roman" w:eastAsia="仿宋_GB2312"/>
          <w:b w:val="0"/>
          <w:sz w:val="32"/>
          <w:highlight w:val="none"/>
        </w:rPr>
        <w:t>6.社区具备OPC企业招募渠道及年度计划，形成创业交流、培训、路演、场景对接等常态化活动机制，原则上平均每月开展不少于1场OPC服务活动。场地消防、安全生产、网络和数据安全等符合相关法律法规。</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hint="eastAsia" w:ascii="楷体_GB2312" w:hAnsi="楷体_GB2312" w:eastAsia="楷体_GB2312" w:cs="楷体_GB2312"/>
          <w:b w:val="0"/>
          <w:sz w:val="32"/>
          <w:highlight w:val="none"/>
        </w:rPr>
        <w:t>（</w:t>
      </w:r>
      <w:r>
        <w:rPr>
          <w:rFonts w:hint="eastAsia" w:ascii="楷体_GB2312" w:hAnsi="楷体_GB2312" w:eastAsia="楷体_GB2312" w:cs="楷体_GB2312"/>
          <w:b w:val="0"/>
          <w:sz w:val="32"/>
          <w:highlight w:val="none"/>
          <w:lang w:val="en-US" w:eastAsia="zh-CN"/>
        </w:rPr>
        <w:t>二</w:t>
      </w:r>
      <w:r>
        <w:rPr>
          <w:rFonts w:hint="eastAsia" w:ascii="楷体_GB2312" w:hAnsi="楷体_GB2312" w:eastAsia="楷体_GB2312" w:cs="楷体_GB2312"/>
          <w:b w:val="0"/>
          <w:sz w:val="32"/>
          <w:highlight w:val="none"/>
        </w:rPr>
        <w:t>）OPC企业申报条件</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申请认定为怀柔区OPC企业，必须同时满足以下全部条件：</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b w:val="0"/>
          <w:sz w:val="32"/>
          <w:highlight w:val="none"/>
        </w:rPr>
        <w:t>1.主体资格</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（1）在怀柔区依法设立并保持正常经营状态，具有独立法人资格，具备承担申报事项、规范财务核算并接受财政资金监督和绩效管理的能力。申报事项应形成可核验的实际活动或成效。</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（2）聚焦科技创新、影视视听、文旅创意或其他符合怀柔区功能定位和重点产业方向的领域。</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rFonts w:hint="default" w:eastAsia="仿宋_GB2312"/>
          <w:highlight w:val="none"/>
          <w:lang w:val="en-US" w:eastAsia="zh-CN"/>
        </w:rPr>
      </w:pPr>
      <w:r>
        <w:rPr>
          <w:rFonts w:ascii="Times New Roman" w:hAnsi="Times New Roman" w:eastAsia="仿宋_GB2312"/>
          <w:b w:val="0"/>
          <w:sz w:val="32"/>
          <w:highlight w:val="none"/>
        </w:rPr>
        <w:t>（3）企业依法设立时间原则上不超过5年。</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（4）企业及其法定代表人、实际主导人近3年无重大安全、质量、环境违法行为，未被依法依规列入严重失信主体名单且在有效期内。成立不足3年的，自成立之日起计算。</w:t>
      </w:r>
    </w:p>
    <w:p>
      <w:pPr>
        <w:keepNext/>
        <w:keepLines w:val="0"/>
        <w:pageBreakBefore w:val="0"/>
        <w:widowControl/>
        <w:kinsoku/>
        <w:wordWrap/>
        <w:overflowPunct/>
        <w:topLinePunct w:val="0"/>
        <w:autoSpaceDE/>
        <w:autoSpaceDN/>
        <w:bidi w:val="0"/>
        <w:adjustRightInd/>
        <w:snapToGrid/>
        <w:spacing w:line="540" w:lineRule="exact"/>
        <w:ind w:right="0" w:rightChars="0"/>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b w:val="0"/>
          <w:sz w:val="32"/>
          <w:highlight w:val="none"/>
          <w:lang w:val="en-US" w:eastAsia="zh-CN"/>
        </w:rPr>
        <w:t xml:space="preserve">    </w:t>
      </w:r>
      <w:r>
        <w:rPr>
          <w:rFonts w:hint="eastAsia" w:ascii="仿宋_GB2312" w:hAnsi="仿宋_GB2312" w:eastAsia="仿宋_GB2312" w:cs="仿宋_GB2312"/>
          <w:b w:val="0"/>
          <w:sz w:val="32"/>
          <w:highlight w:val="none"/>
        </w:rPr>
        <w:t>2.人员结构</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（5）企业员工总数不超过10人。员工总数以申报截止日前最近一个月与企业形成劳动或实际用工关系的人员为准，包括创业者；独立提供服务且不存在实际用工关系的外部机构或人员不计入。</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（6）由单一自然人创业者实际主导企业经营、技术或产品，创业者直接或穿透持有企业股权比例应超过50%。同一自然人原则上只能作为一家申报企业的OPC创业者。</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sz w:val="32"/>
          <w:szCs w:val="32"/>
          <w:highlight w:val="none"/>
        </w:rPr>
        <w:t>3.技术特征</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7）以人工智能为核心生产工具并深度应用于主营业务，人工智能应进入产品研发、生产、内容生成、科研分析、智能控制等主营业务核心环节，形成或具备形成“创意—研发—运营—交付”的人机协同闭环。仅将通用人工智能用于办公、检索、翻译、宣传等辅助环节的，不予认定。</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8）实际发生词元（Token）、算力、模型调用、AI软件、数据、AI研发服务等至少1类支出。成立1年以上的企业，以申报截止日前连续12个月为核算期，AI相关支出应达到所属产业最低标准；成立6个月以上不满1年的，自成立之日起核算，不设最低金额但应提供持续使用记录；成立不满6个月的，应提供实际使用记录和与主营产品的关联说明。具体标准如下：</w:t>
      </w:r>
    </w:p>
    <w:tbl>
      <w:tblPr>
        <w:tblStyle w:val="5"/>
        <w:tblW w:w="907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81"/>
        <w:gridCol w:w="1984"/>
        <w:gridCol w:w="47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blHeader/>
          <w:jc w:val="center"/>
        </w:trPr>
        <w:tc>
          <w:tcPr>
            <w:tcW w:w="2381"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sz w:val="24"/>
                <w:szCs w:val="24"/>
                <w:highlight w:val="none"/>
              </w:rPr>
              <w:t>产业类别</w:t>
            </w:r>
          </w:p>
        </w:tc>
        <w:tc>
          <w:tcPr>
            <w:tcW w:w="198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sz w:val="24"/>
                <w:szCs w:val="24"/>
                <w:highlight w:val="none"/>
              </w:rPr>
              <w:t>AI年度支出最低标准</w:t>
            </w:r>
          </w:p>
        </w:tc>
        <w:tc>
          <w:tcPr>
            <w:tcW w:w="4705"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sz w:val="24"/>
                <w:szCs w:val="24"/>
                <w:highlight w:val="none"/>
              </w:rPr>
              <w:t>主要范围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381"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AI原生技术与软件</w:t>
            </w:r>
          </w:p>
        </w:tc>
        <w:tc>
          <w:tcPr>
            <w:tcW w:w="198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5万元</w:t>
            </w:r>
          </w:p>
        </w:tc>
        <w:tc>
          <w:tcPr>
            <w:tcW w:w="4705"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大模型应用、智能体（Agent）、AI SaaS、算法软件等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381"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AIGC与数字内容</w:t>
            </w:r>
          </w:p>
        </w:tc>
        <w:tc>
          <w:tcPr>
            <w:tcW w:w="198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2万元</w:t>
            </w:r>
          </w:p>
        </w:tc>
        <w:tc>
          <w:tcPr>
            <w:tcW w:w="4705"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文本、图片、视频、音乐、数字人等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381"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影视视听</w:t>
            </w:r>
          </w:p>
        </w:tc>
        <w:tc>
          <w:tcPr>
            <w:tcW w:w="198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3万元</w:t>
            </w:r>
          </w:p>
        </w:tc>
        <w:tc>
          <w:tcPr>
            <w:tcW w:w="4705"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剧本、分镜、制作、后期、特效、数字人等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381"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AI for Science</w:t>
            </w:r>
          </w:p>
        </w:tc>
        <w:tc>
          <w:tcPr>
            <w:tcW w:w="198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5万元</w:t>
            </w:r>
          </w:p>
        </w:tc>
        <w:tc>
          <w:tcPr>
            <w:tcW w:w="4705"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科学数据、科学计算、科研智能体、科学软件等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381"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AI+硬科技产业领域</w:t>
            </w:r>
          </w:p>
        </w:tc>
        <w:tc>
          <w:tcPr>
            <w:tcW w:w="198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10万元</w:t>
            </w:r>
          </w:p>
        </w:tc>
        <w:tc>
          <w:tcPr>
            <w:tcW w:w="4705"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科学仪器、新材料、新能源、生命科学等战略性新兴产业及未来产业领域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381"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AI+文旅</w:t>
            </w:r>
          </w:p>
        </w:tc>
        <w:tc>
          <w:tcPr>
            <w:tcW w:w="198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3万元</w:t>
            </w:r>
          </w:p>
        </w:tc>
        <w:tc>
          <w:tcPr>
            <w:tcW w:w="4705"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AI内容、数字人、智能导览、营销等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381"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AI+其他产业</w:t>
            </w:r>
          </w:p>
        </w:tc>
        <w:tc>
          <w:tcPr>
            <w:tcW w:w="198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5万元</w:t>
            </w:r>
          </w:p>
        </w:tc>
        <w:tc>
          <w:tcPr>
            <w:tcW w:w="4705"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sz w:val="24"/>
                <w:szCs w:val="24"/>
                <w:highlight w:val="none"/>
              </w:rPr>
            </w:pPr>
            <w:r>
              <w:rPr>
                <w:rFonts w:ascii="Times New Roman" w:hAnsi="Times New Roman" w:eastAsia="仿宋_GB2312"/>
                <w:b w:val="0"/>
                <w:sz w:val="24"/>
                <w:szCs w:val="24"/>
                <w:highlight w:val="none"/>
              </w:rPr>
              <w:t>人工智能进入主营业务核心环节的其他领域</w:t>
            </w:r>
          </w:p>
        </w:tc>
      </w:tr>
    </w:tbl>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9）成立半年以上的企业，应形成可核验的人工智能产品、服务、技术成果或者应用验证，其中至少一项达到实质性进展。产品或成果包括与主营业务相关的AI产品、软件、模型、算法、作品、样机等，并应具有合法权利或使用授权；应用验证包括合同订单、用户使用、场景测试、科研测试或第三方评价等。仅有概念方案、内部演示或无法核验的意向，不作为认定依据。</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sz w:val="32"/>
          <w:szCs w:val="32"/>
          <w:highlight w:val="none"/>
        </w:rPr>
        <w:t>4.其他要求</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企业跨多个产业类别的，按照主营产品或服务及主要收入来源确定1个申报类别；尚未形成收入的，按照核心产品或成果确定。不同类别支出不得拆分、重复计算。AI相关支出应与主营产品直接相关，不包括通用办公软件、通信网络、一般性硬件购置、场地租金、人员工资、市场推广及与人工智能应用无直接关系的费用。</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申报企业不得通过拆分设立、分散用工、关联交易或业务转移等方式规避OPC企业人员规模、实际主导人等认定条件。申报企业与关联主体存在人员、业务、资产或财务明显混同的，不予认定或支持。</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申请措施六方向二的数据开放主体，应为在怀柔区依法设立或者设有持续运营机构的影视制作机构、科研院所、文旅单位、平台企业等数据资源持有或管理主体，具备建立独立项目台账和接受财政资金监督管理的条件，开放数据权属清晰、安全可控，并已形成实际调用。</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申请措施七的场景开放方应在怀柔区依法设立，或者在怀柔区设有能够承担申报、合同履行和财政资金监督管理责任的机构，并具备相应场景资源和项目实施能力。场景项目可以通过线上服务或跨区域部署等方式实施，不以最终用户所在地、技术服务发生地或者产品交付地在怀柔区为必要条件。</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申请措施八的活动组织方应依法设立，具备活动组织实施和资金管理能力。申报活动应在怀柔区举办，并原则上于活动举办前不少于10个工作日完成事前备案；未按要求备案的，不予支持。已备案活动的时间、地点、规模、预算等发生重大调整的，应于活动举办前办理变更备案；活动取消的，应及时报告。</w:t>
      </w:r>
    </w:p>
    <w:p>
      <w:pPr>
        <w:keepNext/>
        <w:keepLines w:val="0"/>
        <w:pageBreakBefore w:val="0"/>
        <w:widowControl/>
        <w:numPr>
          <w:ilvl w:val="0"/>
          <w:numId w:val="0"/>
        </w:numPr>
        <w:kinsoku/>
        <w:wordWrap/>
        <w:overflowPunct/>
        <w:topLinePunct w:val="0"/>
        <w:autoSpaceDE/>
        <w:autoSpaceDN/>
        <w:bidi w:val="0"/>
        <w:adjustRightInd/>
        <w:snapToGrid/>
        <w:spacing w:line="540" w:lineRule="exact"/>
        <w:ind w:left="640" w:leftChars="0" w:right="0" w:rightChars="0"/>
        <w:textAlignment w:val="auto"/>
        <w:outlineLvl w:val="9"/>
        <w:rPr>
          <w:rFonts w:hint="eastAsia" w:ascii="黑体" w:hAnsi="黑体" w:eastAsia="黑体" w:cs="黑体"/>
          <w:sz w:val="32"/>
          <w:szCs w:val="32"/>
          <w:highlight w:val="none"/>
        </w:rPr>
      </w:pPr>
      <w:r>
        <w:rPr>
          <w:rFonts w:hint="eastAsia" w:ascii="黑体" w:hAnsi="黑体" w:eastAsia="黑体" w:cs="黑体"/>
          <w:b w:val="0"/>
          <w:sz w:val="32"/>
          <w:szCs w:val="32"/>
          <w:highlight w:val="none"/>
          <w:lang w:eastAsia="zh-CN"/>
        </w:rPr>
        <w:t>二、支持政策</w:t>
      </w:r>
    </w:p>
    <w:p>
      <w:pPr>
        <w:keepLines w:val="0"/>
        <w:pageBreakBefore w:val="0"/>
        <w:kinsoku/>
        <w:wordWrap/>
        <w:overflowPunct/>
        <w:topLinePunct w:val="0"/>
        <w:autoSpaceDE/>
        <w:autoSpaceDN/>
        <w:bidi w:val="0"/>
        <w:adjustRightInd/>
        <w:snapToGrid/>
        <w:spacing w:line="540" w:lineRule="exact"/>
        <w:ind w:right="0" w:rightChars="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措施一：支持建设OPC成长社区。鼓励优质特色园区、高质量孵化器、专业服务平台等主体打造OPC成长社区。对经认定的OPC成长社区，综合OPC产业集聚规模和净增情况、服务资源实际使用、产品成果、订单融资、场景落地、活动质量及满意度等运营服务成效给予支持。支持金额根据年度绩效评价结果实行分档核定，原则上不超过核定年度内社区为OPC提供专职服务人员、空间运营、专业服务、AI生产要素和活动组织等合规直接支出及相应档次上限，每个社区每年最高200万元。年度评价指标、权重、分档标准和核算期在年度申报通知中明确。场地购置、建设装修、固定资产购置、与OPC服务无关的一般行政支出及已由市级或其他财政资金承担的费用不纳入核定。</w:t>
      </w:r>
    </w:p>
    <w:p>
      <w:pPr>
        <w:keepLines w:val="0"/>
        <w:pageBreakBefore w:val="0"/>
        <w:kinsoku/>
        <w:wordWrap/>
        <w:overflowPunct/>
        <w:topLinePunct w:val="0"/>
        <w:autoSpaceDE/>
        <w:autoSpaceDN/>
        <w:bidi w:val="0"/>
        <w:adjustRightInd/>
        <w:snapToGrid/>
        <w:spacing w:line="540" w:lineRule="exact"/>
        <w:ind w:right="0" w:rightChars="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措施二：支持优质人才创办OPC企业。聚焦科技创新、影视视听、文旅创意或其他符合怀柔区功能定位和重点产业方向的领域，重点支持高校院所的在读学生、科研人员、毕业5年内校友以及重点企业人才等创办OPC企业。申报企业应已认定为怀柔区OPC企业，且截至申报截止日依法设立不超过3年；同一企业、同一创业者只能享受一次，同一企业有多名符合条件创业者的，按一家企业核定。经认定一次性给予10万元创业启动支持。</w:t>
      </w:r>
    </w:p>
    <w:p>
      <w:pPr>
        <w:keepLines w:val="0"/>
        <w:pageBreakBefore w:val="0"/>
        <w:kinsoku/>
        <w:wordWrap/>
        <w:overflowPunct/>
        <w:topLinePunct w:val="0"/>
        <w:autoSpaceDE/>
        <w:autoSpaceDN/>
        <w:bidi w:val="0"/>
        <w:adjustRightInd/>
        <w:snapToGrid/>
        <w:spacing w:line="540" w:lineRule="exact"/>
        <w:ind w:right="0" w:rightChars="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措施三：强化OPC创业人才服务保障。健全OPC创业人才服务机制，对符合条件的创业人才，纳入“雁栖青创无忧十条”“雁栖青年友好十条”等服务保障体系，统筹提供创业辅导、政策咨询、资源对接和生活服务。加强人才安居保障，符合相关政策条件的，可按规定享受最长3个月免费周转住房和最长6年长租住房补贴支持。相关服务按照对应政策渠道办理，无需通过本专项重复申报。</w:t>
      </w:r>
    </w:p>
    <w:p>
      <w:pPr>
        <w:keepLines w:val="0"/>
        <w:pageBreakBefore w:val="0"/>
        <w:kinsoku/>
        <w:wordWrap/>
        <w:overflowPunct/>
        <w:topLinePunct w:val="0"/>
        <w:autoSpaceDE/>
        <w:autoSpaceDN/>
        <w:bidi w:val="0"/>
        <w:adjustRightInd/>
        <w:snapToGrid/>
        <w:spacing w:line="540" w:lineRule="exact"/>
        <w:ind w:right="0" w:rightChars="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措施四：强化多元金融服务供给。积极对接国家和北京市相关基金，统筹用好区政府投资基金、青年创业基金等区级基金资源，常态化组织OPC专场投资路演活动，支持符合条件的OPC企业和项目获得股权投资。鼓励金融机构提供“OPC贷”、科技研发贷、知识产权质押贷款和科技保险等适配性产品。对获得符合条件贷款的OPC企业，按照实际支付利息的50%给予贴息，每家企业每年最高50万元。贷款应由依法设立的银行业金融机构发放，用于企业研发、生产经营或市场拓展；个人借款、股东借款、委托贷款、罚息和逾期利息不纳入支持。贴息按核定期内实际支付且扣除其他财政贴息后的利息计算。</w:t>
      </w:r>
    </w:p>
    <w:p>
      <w:pPr>
        <w:keepLines w:val="0"/>
        <w:pageBreakBefore w:val="0"/>
        <w:kinsoku/>
        <w:wordWrap/>
        <w:overflowPunct/>
        <w:topLinePunct w:val="0"/>
        <w:autoSpaceDE/>
        <w:autoSpaceDN/>
        <w:bidi w:val="0"/>
        <w:adjustRightInd/>
        <w:snapToGrid/>
        <w:spacing w:line="540" w:lineRule="exact"/>
        <w:ind w:right="0" w:rightChars="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措施五：支持人工智能工具创新应用。鼓励OPC企业运用大模型、智能体等开展科学数据分析、科研工具开发、视听内容创制、文旅产品开发和创意设计。对训练或推理算力租用、第三方模型API或词元调用、AI软件及智能体开发平台等与主营产品直接相关的费用，按照实际支出的50%给予支持，每家企业每年最高50万元。通用办公软件、通信网络、一般性硬件购置、自研人员工资以及已通过市级或其他财政券类、免费资源抵扣的费用不纳入支持。</w:t>
      </w:r>
    </w:p>
    <w:p>
      <w:pPr>
        <w:keepLines w:val="0"/>
        <w:pageBreakBefore w:val="0"/>
        <w:kinsoku/>
        <w:wordWrap/>
        <w:overflowPunct/>
        <w:topLinePunct w:val="0"/>
        <w:autoSpaceDE/>
        <w:autoSpaceDN/>
        <w:bidi w:val="0"/>
        <w:adjustRightInd/>
        <w:snapToGrid/>
        <w:spacing w:line="540" w:lineRule="exact"/>
        <w:ind w:right="0" w:rightChars="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措施六：促进高价值数据开放利用。方向一：支持OPC企业依法依规使用数据。对OPC企业围绕模型训练、智能体开发、内容生成和应用验证，合法采购数据、素材、语料及其清洗、标注、加工等直接服务发生的费用，按照实际支出的50%给予支持，每家企业每年最高20万元。免费开放数据、无合法来源或授权的数据、未实际用于申报产品的数据以及内部自制成本不纳入支持。方向二：支持高价值数据开放。支持符合本指南条件的影视制作机构、科研院所、文旅单位和平台企业等开放权属清晰、安全可控的数据资源。对形成实际调用的，按照经核定的数据治理和开放服务相关支出的50%给予数据开放主体支持，每个主体每年最高50万元。未完成必要合规审查、未形成实际调用，以及一般性系统运维、固定资产购置和人员工资等支出不纳入支持。</w:t>
      </w:r>
    </w:p>
    <w:p>
      <w:pPr>
        <w:keepLines w:val="0"/>
        <w:pageBreakBefore w:val="0"/>
        <w:kinsoku/>
        <w:wordWrap/>
        <w:overflowPunct/>
        <w:topLinePunct w:val="0"/>
        <w:autoSpaceDE/>
        <w:autoSpaceDN/>
        <w:bidi w:val="0"/>
        <w:adjustRightInd/>
        <w:snapToGrid/>
        <w:spacing w:line="540" w:lineRule="exact"/>
        <w:ind w:right="0" w:rightChars="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措施七：支持特色应用场景首试首用。聚焦科学智能、智能视听、智慧文旅等重点方向，推动大科学装置运行单位、科研院所、国有企业、影视机构和文旅单位等开放场景，支持场景开放方与OPC企业联合开展产品开发和示范应用。项目应具有明确场景需求、技术创新性和可量化验收指标，形成可部署、可验证、可复制的成果；仅进行设备采购、常规信息化改造或已规模化成熟应用的，不纳入首试首用范围。每年择优支持一批项目，对场景开放方采购OPC企业产品或服务并形成实际支付和应用成果的，按照经核定的项目合同实际支付额及必要场景建设投入的30%给予场景开放方支持，单个项目最高200万元。项目原则上由场景开放方牵头，与OPC企业联合申报。项目可以采用线上服务或跨区域部署方式实施，不以最终用户所在地、合同签订地、技术服务发生地或者产品交付地在怀柔区为必要条件。</w:t>
      </w:r>
    </w:p>
    <w:p>
      <w:pPr>
        <w:keepLines w:val="0"/>
        <w:pageBreakBefore w:val="0"/>
        <w:kinsoku/>
        <w:wordWrap/>
        <w:overflowPunct/>
        <w:topLinePunct w:val="0"/>
        <w:autoSpaceDE/>
        <w:autoSpaceDN/>
        <w:bidi w:val="0"/>
        <w:adjustRightInd/>
        <w:snapToGrid/>
        <w:spacing w:line="540" w:lineRule="exact"/>
        <w:ind w:right="0" w:rightChars="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措施八：支持举办OPC生态活动。围绕产业赛道，支持举办OPC大赛、OPC路演沙龙、OPC主题会展等常态化生态活动。对经事前备案、在怀柔区举办并取得实际成效的活动，根据活动级别、规模和实际影响力，按照场地及设备租赁、技术服务、物料制作、宣传推广、安全保障等核定支出的30%给予活动组织方资金支持，单场活动最高20万元，同一主办主体每年累计最高50万元。奖金、礼品、宴请、固定资产购置、日常人员工资及与活动无关的支出不纳入支持；同一活动不得拆分申报。已备案事项发生重大调整的，应按规定办理变更备案。</w:t>
      </w:r>
    </w:p>
    <w:p>
      <w:pPr>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措施九：支持赛事获奖项目落地转化。加强优质创新创业项目跟踪服务。对获得国家级、北京市级或怀柔区级创新创业大赛奖项，且由获奖人或核心团队将获奖项目转化形成符合本指南认定条件的OPC企业的，按照实际取得的现金赛事奖金1∶1给予资金支持，最高50万元。支持赛事由年度申报通知根据赛事主办单位、赛事层级、社会影响、奖项设置和结果公示情况等予以明确，必要时公布赛事目录；未纳入目录但确属上述层级的赛事，可按程序申请认定。商业性评选、荣誉称号以及算力券、服务券等非现金权益不作为奖金核定依据。同一项目获得多个奖项的，按最高一项核定一次。符合条件的项目优先纳入OPC企业储备库，依托OPC成长社区提供设立辅导、创业服务、投融资对接和应用场景验证等服务。</w:t>
      </w:r>
    </w:p>
    <w:p>
      <w:pPr>
        <w:keepLines w:val="0"/>
        <w:pageBreakBefore w:val="0"/>
        <w:kinsoku/>
        <w:wordWrap/>
        <w:overflowPunct/>
        <w:topLinePunct w:val="0"/>
        <w:autoSpaceDE/>
        <w:autoSpaceDN/>
        <w:bidi w:val="0"/>
        <w:adjustRightInd/>
        <w:snapToGrid/>
        <w:spacing w:line="540" w:lineRule="exact"/>
        <w:ind w:right="0" w:rightChars="0" w:firstLine="640" w:firstLineChars="200"/>
        <w:textAlignment w:val="auto"/>
        <w:outlineLvl w:val="9"/>
        <w:rPr>
          <w:highlight w:val="none"/>
        </w:rPr>
      </w:pPr>
      <w:r>
        <w:rPr>
          <w:rFonts w:hint="eastAsia" w:ascii="仿宋_GB2312" w:hAnsi="仿宋_GB2312" w:eastAsia="仿宋_GB2312" w:cs="仿宋_GB2312"/>
          <w:sz w:val="32"/>
          <w:szCs w:val="32"/>
          <w:highlight w:val="none"/>
        </w:rPr>
        <w:t>措施十：激励OPC企业实现商业化突破。推动OPC企业加快创新成果转化和市场拓展，提升产品开发、任务交付和持续经营能力。对企业依法设立之日起2年内，主营产品或服务累计实际履约订单额达到100万元的OPC企业，按照经核定订单额的10%给予一次性奖励，每家企业最高100万元。核定订单应已完成交付或验收、开具合法票据并实际收款，原则上按照合同结算额、开票额和实际收款额三者孰低确定；关联交易、集团内部交易、取消或退款订单、政府补助及与主营业务无关的代采代销金额不计入。订单可以来源于全国范围内客户，线上订单和跨区域交付订单均可纳入核定，不以客户所在地、合同签订地、履约地或者交付地在怀柔区为必要条件。企业达到规定条件后即可申报，无需等待满2年。</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rFonts w:hint="eastAsia" w:ascii="黑体" w:hAnsi="黑体" w:eastAsia="黑体" w:cs="黑体"/>
          <w:sz w:val="32"/>
          <w:szCs w:val="32"/>
          <w:highlight w:val="none"/>
        </w:rPr>
      </w:pPr>
      <w:r>
        <w:rPr>
          <w:rFonts w:hint="eastAsia" w:ascii="黑体" w:hAnsi="黑体" w:eastAsia="黑体" w:cs="黑体"/>
          <w:b w:val="0"/>
          <w:sz w:val="32"/>
          <w:szCs w:val="32"/>
          <w:highlight w:val="none"/>
        </w:rPr>
        <w:t>三、申报材料</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sz w:val="32"/>
          <w:highlight w:val="none"/>
        </w:rPr>
        <w:t>基础材料</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申报主体均需提交《怀柔区支持人工智能OPC创新发展专项申请表》和申报承诺书。OPC企业申报支持措施的，还需提交OPC企业认定证明和所属或服务社区的推荐意见；认定信息未发生变化的，营业执照、章程、人员和AI应用等材料不再重复提交。措施六方向二、措施八的申报主体不属于OPC企业的，无需提交OPC企业认定证明和社区推荐意见。措施三按照相关人才政策渠道办理，不在本专项中单独受理。</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sz w:val="32"/>
          <w:highlight w:val="none"/>
        </w:rPr>
        <w:t>申报OPC企业认定</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需提交：</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（1）营业执照、企业章程，以及能够证明企业在怀柔区依法设立、保持正常经营状态并具备规范财务核算和接受财政资金监督管理能力的相关材料；</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（2）创业者身份、股权、任职和实际主导情况证明，以及直接或穿透持有企业股权比例超过50%的证明；</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（3）人员名单及申报截止日前最近一个月社会保险、劳动合同或实际用工证明；</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rFonts w:ascii="Times New Roman" w:hAnsi="Times New Roman" w:eastAsia="仿宋_GB2312"/>
          <w:b w:val="0"/>
          <w:sz w:val="32"/>
          <w:highlight w:val="none"/>
        </w:rPr>
      </w:pPr>
      <w:r>
        <w:rPr>
          <w:rFonts w:ascii="Times New Roman" w:hAnsi="Times New Roman" w:eastAsia="仿宋_GB2312"/>
          <w:b w:val="0"/>
          <w:sz w:val="32"/>
          <w:highlight w:val="none"/>
        </w:rPr>
        <w:t>（4）人工智能核心应用和核算期内AI相关支出证明，以及人工智能产品、服务、技术成果或者应用验证等证明材料。</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sz w:val="32"/>
          <w:highlight w:val="none"/>
        </w:rPr>
        <w:t>申报措施一</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需提交：</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（1）《怀柔区OPC成长社区认定及运营支持申请表》；</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（2）运营主体资格证明、场地产权或租赁（委托、合作）使用证明、空间及工位平面图、场地合规证明；</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（3）连续稳定服务满3个月且正常经营的OPC企业名单、认定证明及入驻、孵化或服务协议，并附工位使用、服务记录等实际运营证明；</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（4）专职运营人员、AI生产要素和技术服务、基础企业服务、产业服务、创业导师或专业服务机构等证明材料及实际服务记录；</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（5）企业招募计划、活动清单及上一年度或自运营以来OPC净增、产品成果、订单融资、场景落地、满意度等运营成效证明；</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（6）申请运营支持的，还需提交合规费用汇总表、合同、发票、支付凭证及绩效证明材料；</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rFonts w:ascii="Times New Roman" w:hAnsi="Times New Roman" w:eastAsia="仿宋_GB2312"/>
          <w:b w:val="0"/>
          <w:sz w:val="32"/>
          <w:highlight w:val="none"/>
        </w:rPr>
      </w:pPr>
      <w:r>
        <w:rPr>
          <w:rFonts w:ascii="Times New Roman" w:hAnsi="Times New Roman" w:eastAsia="仿宋_GB2312"/>
          <w:b w:val="0"/>
          <w:sz w:val="32"/>
          <w:highlight w:val="none"/>
        </w:rPr>
        <w:t>（7）申报承诺书。</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sz w:val="32"/>
          <w:highlight w:val="none"/>
        </w:rPr>
        <w:t>申报措施二</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需提交：</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（1）创业者属于在读学生、科研人员、毕业5年内校友或重点企业技术人才等的相关证明；</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（2）企业及创业者未享受过本项支持的说明。</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rFonts w:ascii="Times New Roman" w:hAnsi="Times New Roman" w:eastAsia="仿宋_GB2312"/>
          <w:b/>
          <w:sz w:val="32"/>
          <w:highlight w:val="none"/>
        </w:rPr>
      </w:pPr>
      <w:r>
        <w:rPr>
          <w:rFonts w:ascii="Times New Roman" w:hAnsi="Times New Roman" w:eastAsia="仿宋_GB2312"/>
          <w:b/>
          <w:sz w:val="32"/>
          <w:highlight w:val="none"/>
        </w:rPr>
        <w:t>申报措施</w:t>
      </w:r>
      <w:r>
        <w:rPr>
          <w:rFonts w:hint="eastAsia" w:ascii="Times New Roman" w:hAnsi="Times New Roman" w:eastAsia="仿宋_GB2312"/>
          <w:b/>
          <w:sz w:val="32"/>
          <w:highlight w:val="none"/>
          <w:lang w:eastAsia="zh-CN"/>
        </w:rPr>
        <w:t>三</w:t>
      </w:r>
    </w:p>
    <w:p>
      <w:pPr>
        <w:keepNext/>
        <w:keepLines w:val="0"/>
        <w:pageBreakBefore w:val="0"/>
        <w:widowControl/>
        <w:kinsoku/>
        <w:wordWrap/>
        <w:overflowPunct/>
        <w:topLinePunct w:val="0"/>
        <w:autoSpaceDE/>
        <w:autoSpaceDN/>
        <w:bidi w:val="0"/>
        <w:adjustRightInd/>
        <w:snapToGrid/>
        <w:spacing w:line="540" w:lineRule="exact"/>
        <w:ind w:left="0" w:leftChars="0" w:right="0" w:rightChars="0" w:firstLine="640" w:firstLineChars="0"/>
        <w:jc w:val="both"/>
        <w:textAlignment w:val="auto"/>
        <w:outlineLvl w:val="9"/>
        <w:rPr>
          <w:rFonts w:hint="eastAsia" w:ascii="仿宋_GB2312" w:hAnsi="仿宋_GB2312" w:eastAsia="仿宋_GB2312" w:cs="仿宋_GB2312"/>
          <w:b w:val="0"/>
          <w:sz w:val="32"/>
          <w:highlight w:val="none"/>
        </w:rPr>
      </w:pPr>
      <w:r>
        <w:rPr>
          <w:rFonts w:hint="eastAsia" w:ascii="仿宋_GB2312" w:hAnsi="仿宋_GB2312" w:eastAsia="仿宋_GB2312" w:cs="仿宋_GB2312"/>
          <w:b w:val="0"/>
          <w:sz w:val="32"/>
          <w:highlight w:val="none"/>
        </w:rPr>
        <w:t>按照《怀柔区支持青年人才创新创业若干措施（试行）》（怀教科人办发〔2025〕1号）、《怀柔区关于打造青年友好型城市的若干措施（试行）》（怀教科人办发〔2026〕1号）有关政策规定执行。具体申报可通过微信搜索“雁栖云客厅”小程序，点击进入“雁栖青创无忧十条专栏—安居无忧”，按照页面提示完成政策查询与申报操作。</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sz w:val="32"/>
          <w:highlight w:val="none"/>
        </w:rPr>
        <w:t>申报措施四</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需提交：</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（1）贷款合同、借款凭证、银行放款及还款流水、利息支付明细和实际付息凭证；</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（2）贷款资金用途及其他财政贴息情况说明。</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sz w:val="32"/>
          <w:highlight w:val="none"/>
        </w:rPr>
        <w:t>申报措施五</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需提交：</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（1）算力、模型调用和AI工具使用费用汇总表及合同或订单、发票、支付凭证；</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（2）平台账单或使用记录，以及相关费用与主营产品的关联说明。</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sz w:val="32"/>
          <w:highlight w:val="none"/>
        </w:rPr>
        <w:t>申报措施六方向一</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需提交：</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（1）数据、素材、语料及相关服务费用汇总表及合同或订单、发票、支付凭证和使用记录；</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（2）数据来源、合法权利或授权及合规使用说明。</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sz w:val="32"/>
          <w:highlight w:val="none"/>
        </w:rPr>
        <w:t>申报措施六方向二</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需提交：</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（1）数据资源权属或合法授权、安全合规证明，以及能够反映数据开放方式和服务内容的相关材料；</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（2）数据治理和开放服务费用汇总表及合同、发票、支付凭证；</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（3）OPC调用协议、平台记录或其他实际调用证明。</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sz w:val="32"/>
          <w:highlight w:val="none"/>
        </w:rPr>
        <w:t>申报措施七</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需提交：</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（1）场景开放方主体资格及其在怀柔区设立或持续运营机构的相关材料，场景开放方与OPC企业签订的合作协议、场景开放证明及联合申报材料；</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（2）项目实施方案，包括场景需求、技术方案、实施周期、绩效目标和预算等；</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（3）场景开放方采购OPC企业产品或服务的合同、发票、支付凭证，以及必要场景建设投入证明、测试验收和应用效果证明；采取线上服务或跨区域部署的，补充说明项目实施和交付方式。</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sz w:val="32"/>
          <w:highlight w:val="none"/>
        </w:rPr>
        <w:t>申报措施八</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需提交：</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（1）活动事前备案证明、活动方案、预算及绩效目标；备案事项发生调整的，提交变更备案证明；</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（2）活动费用汇总表及合同、发票、支付凭证；</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（3）活动实施及项目转化、融资对接、场景合作等成效证明。</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sz w:val="32"/>
          <w:highlight w:val="none"/>
        </w:rPr>
        <w:t>申报措施九</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需提交：</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（1）赛事通知或章程、赛事级别、获奖证书、公示材料及现金奖金到账证明；</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（2）获奖人或核心团队与申报企业的关系证明、获奖项目转化证明，以及项目在OPC成长社区接受落地服务的相关材料（如有）。</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sz w:val="32"/>
          <w:highlight w:val="none"/>
        </w:rPr>
        <w:t>申报措施十</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需提交：</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（1）企业依法设立之日起2年内的实际履约订单汇总表及合同、发票、银行收款凭证、交付或验收证明；</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（2）订单与主营业务的关联、客户非关联关系及退款情况说明；涉及线上订单或跨区域交付的，说明业务流程和交付方式。</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黑体"/>
          <w:b w:val="0"/>
          <w:sz w:val="32"/>
          <w:highlight w:val="none"/>
        </w:rPr>
        <w:t>四、申报程序及注意事项</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rFonts w:ascii="Times New Roman" w:hAnsi="Times New Roman" w:eastAsia="仿宋_GB2312"/>
          <w:b w:val="0"/>
          <w:sz w:val="32"/>
          <w:highlight w:val="none"/>
        </w:rPr>
      </w:pPr>
      <w:r>
        <w:rPr>
          <w:rFonts w:ascii="Times New Roman" w:hAnsi="Times New Roman" w:eastAsia="仿宋_GB2312"/>
          <w:b w:val="0"/>
          <w:sz w:val="32"/>
          <w:highlight w:val="none"/>
        </w:rPr>
        <w:t>1.本专项原则上按照发布年度申报通知、组织申报、形式审查、专业评审或专项审计、部门复核、结果公示、资金拨付和绩效管理等程序实施，必要时开展现场核验。申报主体对公示结果有异议的，可在公示期内按照规定渠道提交书面意见和证明材料，由主管部门核查处理。</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2.OPC企业认定及企业类支持事项原则上由其所属或服务的经认定OPC成长社区统一组织。社区负责申报辅导、材料完整性核验和汇总推荐，并协助企业完成线上申报；同一企业同一年度只能由一家社区推荐。首批认定或尚无经认定社区覆盖的，按照年度申报通知明确的方式组织。措施六方向二、措施八等非OPC企业申报事项，可由符合条件的主体直接申报。</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3.申报单位应保证提交材料真实、合法、有效并承担相应法律责任。社区核验和推荐不替代申报单位的主体责任。</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hint="eastAsia" w:ascii="Times New Roman" w:hAnsi="Times New Roman" w:eastAsia="仿宋_GB2312"/>
          <w:b w:val="0"/>
          <w:sz w:val="32"/>
          <w:highlight w:val="none"/>
          <w:lang w:val="en-US" w:eastAsia="zh-CN"/>
        </w:rPr>
        <w:t>4.经认定的OPC成长社区应免费提供本专项申报辅导和组织服务，具体申报入口和社区组织方式以年度申报通知为准。主管部门未授权其他机构和个人开展收费培训或代理申报，整个申报过程中不收取任何费用。</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hint="eastAsia" w:ascii="Times New Roman" w:hAnsi="Times New Roman" w:eastAsia="仿宋_GB2312"/>
          <w:b w:val="0"/>
          <w:sz w:val="32"/>
          <w:highlight w:val="none"/>
          <w:lang w:val="en-US" w:eastAsia="zh-CN"/>
        </w:rPr>
        <w:t>5.本专项原则上先开展OPC企业和OPC成长社区认定，再启动相应支持措施申报。措施六方向二、措施八等不以OPC企业认定为前提的申报事项，按照年度申报通知执行。措施三涉及的创业人才服务保障，按照相关政策规定和办理渠道执行。</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hint="eastAsia" w:ascii="Times New Roman" w:hAnsi="Times New Roman" w:eastAsia="仿宋_GB2312"/>
          <w:b w:val="0"/>
          <w:sz w:val="32"/>
          <w:highlight w:val="none"/>
          <w:lang w:val="en-US" w:eastAsia="zh-CN"/>
        </w:rPr>
        <w:t>6.同一项目、同一事项、同一费用符合国家、北京市或怀柔区多项支持政策的，按照“从优不重复”原则执行。已获得财政资金、券类或免费资源支持的，申报时应如实说明并从核定基数中扣除；同一费用不得拆分、变换名目或由关联主体重复申报。</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hint="eastAsia" w:ascii="Times New Roman" w:hAnsi="Times New Roman" w:eastAsia="仿宋_GB2312"/>
          <w:b w:val="0"/>
          <w:sz w:val="32"/>
          <w:highlight w:val="none"/>
          <w:lang w:val="en-US" w:eastAsia="zh-CN"/>
        </w:rPr>
        <w:t>7.除另有规定外，费用类项目以年度申报通知明确的核算期内实际发生并支付的金额为准，应取得合法有效的合同、发票和支付凭证，合同签约方、发票抬头、付款方和实际使用方原则上应为申报单位。可抵扣增值税进项税额不计入核定支出。</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hint="eastAsia" w:ascii="Times New Roman" w:hAnsi="Times New Roman" w:eastAsia="仿宋_GB2312"/>
          <w:b w:val="0"/>
          <w:sz w:val="32"/>
          <w:highlight w:val="none"/>
          <w:lang w:val="en-US" w:eastAsia="zh-CN"/>
        </w:rPr>
        <w:t>8.与关联方发生的交易应在申报材料中完整披露。原则上不将关联交易计入补贴、奖励基数；确有必要且能够证明交易真实、定价公允、业务直接相关的，由评审或审计核定。</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hint="eastAsia" w:ascii="Times New Roman" w:hAnsi="Times New Roman" w:eastAsia="仿宋_GB2312"/>
          <w:b w:val="0"/>
          <w:sz w:val="32"/>
          <w:highlight w:val="none"/>
          <w:lang w:val="en-US" w:eastAsia="zh-CN"/>
        </w:rPr>
        <w:t>9.申报单位应遵守网络安全、数据安全、个人信息保护、知识产权、生成式人工智能服务管理等规定。依法应履行备案、登记、安全评估或许可手续的，应在申报前完成。</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hint="eastAsia" w:ascii="Times New Roman" w:hAnsi="Times New Roman" w:eastAsia="仿宋_GB2312"/>
          <w:b w:val="0"/>
          <w:sz w:val="32"/>
          <w:highlight w:val="none"/>
          <w:lang w:val="en-US" w:eastAsia="zh-CN"/>
        </w:rPr>
        <w:t>10.OPC企业和OPC成长社区实行动态管理。认定后发生停止相关经营活动、创业者或控制权重大变化、人员规模超过标准、社区运营主体或场地重大变化等情形的，应于30日内报告。经核实不再符合条件的，取消认定或停止支持。</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11.本指南所称“以上”“不超过”“最高”“不少于”均包含本数；“年度”原则上指自然年度，具体核算期、赛事范围、材料模板和受理要求以年度申报通知为准。支持金额受年度财政预算控制，不因符合条件而当然取得。经审核的拟支持金额超过年度预算时，可根据专业评审和绩效评价结果、项目成熟度、支持必要性等因素择优安排、分档核定或者按比例调减。</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12.获得支持的申报主体应按要求开展绩效自评并接受监督检查。对弄虚作假、骗取套取、挤占挪用财政资金，或者未按规定使用资金的，依法依规取消申报或支持资格、追回资金并追究相应责任。</w:t>
      </w:r>
    </w:p>
    <w:p>
      <w:pPr>
        <w:keepNext/>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黑体"/>
          <w:b w:val="0"/>
          <w:sz w:val="32"/>
          <w:highlight w:val="none"/>
        </w:rPr>
        <w:t>五、申报时间及受理单位</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申报时间：</w:t>
      </w:r>
      <w:r>
        <w:rPr>
          <w:rFonts w:ascii="Times New Roman" w:hAnsi="Times New Roman" w:eastAsia="仿宋_GB2312"/>
          <w:b w:val="0"/>
          <w:color w:val="C00000"/>
          <w:sz w:val="32"/>
          <w:highlight w:val="none"/>
        </w:rPr>
        <w:t>[待正式发布时补充]</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受理单位：</w:t>
      </w:r>
      <w:r>
        <w:rPr>
          <w:rFonts w:ascii="Times New Roman" w:hAnsi="Times New Roman" w:eastAsia="仿宋_GB2312"/>
          <w:b w:val="0"/>
          <w:color w:val="C00000"/>
          <w:sz w:val="32"/>
          <w:highlight w:val="none"/>
        </w:rPr>
        <w:t>[待正式发布时补充]</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联 系 人：</w:t>
      </w:r>
      <w:r>
        <w:rPr>
          <w:rFonts w:ascii="Times New Roman" w:hAnsi="Times New Roman" w:eastAsia="仿宋_GB2312"/>
          <w:b w:val="0"/>
          <w:color w:val="C00000"/>
          <w:sz w:val="32"/>
          <w:highlight w:val="none"/>
        </w:rPr>
        <w:t>[待正式发布时补充]</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rFonts w:ascii="Times New Roman" w:hAnsi="Times New Roman" w:eastAsia="仿宋_GB2312"/>
          <w:b w:val="0"/>
          <w:color w:val="C00000"/>
          <w:sz w:val="32"/>
          <w:highlight w:val="none"/>
        </w:rPr>
      </w:pPr>
      <w:r>
        <w:rPr>
          <w:rFonts w:ascii="Times New Roman" w:hAnsi="Times New Roman" w:eastAsia="仿宋_GB2312"/>
          <w:b w:val="0"/>
          <w:sz w:val="32"/>
          <w:highlight w:val="none"/>
        </w:rPr>
        <w:t>联系电话：</w:t>
      </w:r>
      <w:r>
        <w:rPr>
          <w:rFonts w:ascii="Times New Roman" w:hAnsi="Times New Roman" w:eastAsia="仿宋_GB2312"/>
          <w:b w:val="0"/>
          <w:color w:val="C00000"/>
          <w:sz w:val="32"/>
          <w:highlight w:val="none"/>
        </w:rPr>
        <w:t>[待正式发布时补充]</w:t>
      </w:r>
    </w:p>
    <w:p>
      <w:pPr>
        <w:keepLines w:val="0"/>
        <w:pageBreakBefore w:val="0"/>
        <w:kinsoku/>
        <w:wordWrap/>
        <w:topLinePunct w:val="0"/>
        <w:autoSpaceDE/>
        <w:autoSpaceDN/>
        <w:bidi w:val="0"/>
        <w:spacing w:line="540" w:lineRule="exact"/>
        <w:textAlignment w:val="auto"/>
        <w:rPr>
          <w:rFonts w:ascii="Times New Roman" w:hAnsi="Times New Roman" w:eastAsia="黑体"/>
          <w:b w:val="0"/>
          <w:sz w:val="36"/>
          <w:highlight w:val="none"/>
        </w:rPr>
      </w:pPr>
      <w:r>
        <w:rPr>
          <w:rFonts w:ascii="Times New Roman" w:hAnsi="Times New Roman" w:eastAsia="黑体"/>
          <w:b w:val="0"/>
          <w:sz w:val="36"/>
          <w:highlight w:val="none"/>
        </w:rPr>
        <w:br w:type="page"/>
      </w:r>
    </w:p>
    <w:p>
      <w:pPr>
        <w:keepNext/>
        <w:keepLines w:val="0"/>
        <w:pageBreakBefore w:val="0"/>
        <w:widowControl/>
        <w:kinsoku/>
        <w:wordWrap/>
        <w:overflowPunct/>
        <w:topLinePunct w:val="0"/>
        <w:autoSpaceDE/>
        <w:autoSpaceDN/>
        <w:bidi w:val="0"/>
        <w:adjustRightInd/>
        <w:snapToGrid/>
        <w:spacing w:line="540" w:lineRule="exact"/>
        <w:ind w:left="0" w:right="0" w:rightChars="0" w:firstLine="0"/>
        <w:jc w:val="center"/>
        <w:textAlignment w:val="auto"/>
        <w:outlineLvl w:val="9"/>
        <w:rPr>
          <w:highlight w:val="none"/>
        </w:rPr>
      </w:pPr>
      <w:r>
        <w:rPr>
          <w:rFonts w:ascii="Times New Roman" w:hAnsi="Times New Roman" w:eastAsia="黑体"/>
          <w:b w:val="0"/>
          <w:sz w:val="36"/>
          <w:highlight w:val="none"/>
        </w:rPr>
        <w:t>怀柔区人工智能OPC专项申请表</w:t>
      </w:r>
    </w:p>
    <w:tbl>
      <w:tblPr>
        <w:tblStyle w:val="5"/>
        <w:tblW w:w="8843"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54"/>
        <w:gridCol w:w="1247"/>
        <w:gridCol w:w="2494"/>
        <w:gridCol w:w="294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8843" w:type="dxa"/>
            <w:gridSpan w:val="4"/>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sz w:val="23"/>
                <w:highlight w:val="none"/>
              </w:rPr>
              <w:t>第一部分  基本情况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企业（单位）名称</w:t>
            </w:r>
          </w:p>
        </w:tc>
        <w:tc>
          <w:tcPr>
            <w:tcW w:w="1247"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p>
        </w:tc>
        <w:tc>
          <w:tcPr>
            <w:tcW w:w="249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统一社会信用代码</w:t>
            </w:r>
          </w:p>
        </w:tc>
        <w:tc>
          <w:tcPr>
            <w:tcW w:w="2948"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企业（单位）负责人</w:t>
            </w:r>
          </w:p>
        </w:tc>
        <w:tc>
          <w:tcPr>
            <w:tcW w:w="1247"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p>
        </w:tc>
        <w:tc>
          <w:tcPr>
            <w:tcW w:w="249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联系方式</w:t>
            </w:r>
          </w:p>
        </w:tc>
        <w:tc>
          <w:tcPr>
            <w:tcW w:w="2948"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OPC创业者</w:t>
            </w:r>
          </w:p>
        </w:tc>
        <w:tc>
          <w:tcPr>
            <w:tcW w:w="1247"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p>
        </w:tc>
        <w:tc>
          <w:tcPr>
            <w:tcW w:w="249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创业者主导情况</w:t>
            </w:r>
          </w:p>
        </w:tc>
        <w:tc>
          <w:tcPr>
            <w:tcW w:w="2948"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直接及穿透持股比例：      %（应超过50%）；说明其在企业经营、技术或产品中的主导情况。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员工数量</w:t>
            </w:r>
          </w:p>
        </w:tc>
        <w:tc>
          <w:tcPr>
            <w:tcW w:w="1247"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 xml:space="preserve">      人（其中社保      人）</w:t>
            </w:r>
          </w:p>
        </w:tc>
        <w:tc>
          <w:tcPr>
            <w:tcW w:w="249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成立时间</w:t>
            </w:r>
          </w:p>
        </w:tc>
        <w:tc>
          <w:tcPr>
            <w:tcW w:w="2948"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企业设立及经营情况</w:t>
            </w:r>
          </w:p>
        </w:tc>
        <w:tc>
          <w:tcPr>
            <w:tcW w:w="6689"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说明企业在怀柔区依法设立、保持正常经营状态、财务核算和接受监督管理等情况。企业业务通过线上或跨区域方式开展的，可一并说明客户、合同、交付和服务范围。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所属或服务的OPC成长社区</w:t>
            </w:r>
          </w:p>
        </w:tc>
        <w:tc>
          <w:tcPr>
            <w:tcW w:w="6689"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基本情况介绍</w:t>
            </w:r>
          </w:p>
        </w:tc>
        <w:tc>
          <w:tcPr>
            <w:tcW w:w="6689"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包括成立背景、主营业务、主要产品或服务等，500字以内。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人工智能核心应用情况</w:t>
            </w:r>
          </w:p>
        </w:tc>
        <w:tc>
          <w:tcPr>
            <w:tcW w:w="6689"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说明人工智能在产品研发、生产、内容生成、科研分析、智能控制等主营业务核心环节的应用，500字以内。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人工智能投入情况</w:t>
            </w:r>
          </w:p>
        </w:tc>
        <w:tc>
          <w:tcPr>
            <w:tcW w:w="6689"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填写规定核算期内词元（Token）、算力、模型调用、AI软件、数据及AI研发服务等实际支出，列明费用类别、供应商、金额和对应产品，并附合同、发票、支付及使用记录。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人工智能产品或成果</w:t>
            </w:r>
          </w:p>
        </w:tc>
        <w:tc>
          <w:tcPr>
            <w:tcW w:w="6689"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填写已形成的AI产品、软件、模型、算法、作品、样机等产品或成果（如有），并附合法权利或使用授权等证明材料。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人工智能应用验证</w:t>
            </w:r>
          </w:p>
        </w:tc>
        <w:tc>
          <w:tcPr>
            <w:tcW w:w="6689"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填写客户、场景或科研验证情况（如有），并附合同、订单、应用证明或测试报告等材料。成立半年以上企业应在本项与上一项中至少提供一项达到实质性进展的证明。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OPC成长社区推荐意见</w:t>
            </w:r>
          </w:p>
        </w:tc>
        <w:tc>
          <w:tcPr>
            <w:tcW w:w="6689"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本社区已对申报主体基本情况和材料完整性进行核验，同意推荐申报。</w:t>
            </w:r>
            <w:r>
              <w:rPr>
                <w:highlight w:val="none"/>
              </w:rPr>
              <w:br w:type="textWrapping"/>
            </w:r>
            <w:r>
              <w:rPr>
                <w:rFonts w:ascii="Times New Roman" w:hAnsi="Times New Roman" w:eastAsia="仿宋_GB2312"/>
                <w:b w:val="0"/>
                <w:sz w:val="21"/>
                <w:highlight w:val="none"/>
              </w:rPr>
              <w:t>负责人：                 （运营主体公章）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8843" w:type="dxa"/>
            <w:gridSpan w:val="4"/>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sz w:val="23"/>
                <w:highlight w:val="none"/>
              </w:rPr>
              <w:t>第二部分  申报事项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拟申报支持措施</w:t>
            </w:r>
          </w:p>
        </w:tc>
        <w:tc>
          <w:tcPr>
            <w:tcW w:w="6689"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□措施二创业起步支持    □措施四贷款贴息</w:t>
            </w:r>
            <w:r>
              <w:rPr>
                <w:rFonts w:ascii="Times New Roman" w:hAnsi="Times New Roman" w:eastAsia="仿宋_GB2312"/>
                <w:b w:val="0"/>
                <w:sz w:val="21"/>
                <w:highlight w:val="none"/>
              </w:rPr>
              <w:br w:type="textWrapping"/>
            </w:r>
            <w:r>
              <w:rPr>
                <w:rFonts w:ascii="Times New Roman" w:hAnsi="Times New Roman" w:eastAsia="仿宋_GB2312"/>
                <w:b w:val="0"/>
                <w:sz w:val="21"/>
                <w:highlight w:val="none"/>
              </w:rPr>
              <w:t>□措施五AI工具支持      □措施六方向一数据使用支持</w:t>
            </w:r>
            <w:r>
              <w:rPr>
                <w:rFonts w:ascii="Times New Roman" w:hAnsi="Times New Roman" w:eastAsia="仿宋_GB2312"/>
                <w:b w:val="0"/>
                <w:sz w:val="21"/>
                <w:highlight w:val="none"/>
              </w:rPr>
              <w:br w:type="textWrapping"/>
            </w:r>
            <w:r>
              <w:rPr>
                <w:rFonts w:ascii="Times New Roman" w:hAnsi="Times New Roman" w:eastAsia="仿宋_GB2312"/>
                <w:b w:val="0"/>
                <w:sz w:val="21"/>
                <w:highlight w:val="none"/>
              </w:rPr>
              <w:t>□措施六方向二数据开放支持    □措施七场景项目支持</w:t>
            </w:r>
            <w:r>
              <w:rPr>
                <w:rFonts w:ascii="Times New Roman" w:hAnsi="Times New Roman" w:eastAsia="仿宋_GB2312"/>
                <w:b w:val="0"/>
                <w:sz w:val="21"/>
                <w:highlight w:val="none"/>
              </w:rPr>
              <w:br w:type="textWrapping"/>
            </w:r>
            <w:r>
              <w:rPr>
                <w:rFonts w:ascii="Times New Roman" w:hAnsi="Times New Roman" w:eastAsia="仿宋_GB2312"/>
                <w:b w:val="0"/>
                <w:sz w:val="21"/>
                <w:highlight w:val="none"/>
              </w:rPr>
              <w:t>□措施八生态活动支持    □措施九获奖项目支持</w:t>
            </w:r>
            <w:r>
              <w:rPr>
                <w:rFonts w:ascii="Times New Roman" w:hAnsi="Times New Roman" w:eastAsia="仿宋_GB2312"/>
                <w:b w:val="0"/>
                <w:sz w:val="21"/>
                <w:highlight w:val="none"/>
              </w:rPr>
              <w:br w:type="textWrapping"/>
            </w:r>
            <w:r>
              <w:rPr>
                <w:rFonts w:ascii="Times New Roman" w:hAnsi="Times New Roman" w:eastAsia="仿宋_GB2312"/>
                <w:b w:val="0"/>
                <w:sz w:val="21"/>
                <w:highlight w:val="none"/>
              </w:rPr>
              <w:t>□措施十商业化突破支持</w:t>
            </w:r>
            <w:r>
              <w:rPr>
                <w:rFonts w:ascii="Times New Roman" w:hAnsi="Times New Roman" w:eastAsia="仿宋_GB2312"/>
                <w:b w:val="0"/>
                <w:sz w:val="21"/>
                <w:highlight w:val="none"/>
              </w:rPr>
              <w:br w:type="textWrapping"/>
            </w:r>
            <w:r>
              <w:rPr>
                <w:rFonts w:ascii="Times New Roman" w:hAnsi="Times New Roman" w:eastAsia="仿宋_GB2312"/>
                <w:b w:val="0"/>
                <w:sz w:val="21"/>
                <w:highlight w:val="none"/>
              </w:rPr>
              <w:t>注：措施三创业人才服务保障按相关政策渠道办理，不在本专项中单独申报。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申报事项基本情况</w:t>
            </w:r>
          </w:p>
        </w:tc>
        <w:tc>
          <w:tcPr>
            <w:tcW w:w="6689"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说明申报事项、实施时间、主要内容、业务开展范围和成效，500字以内；采用线上服务或跨区域实施、交付的，可一并说明。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申报金额</w:t>
            </w:r>
          </w:p>
        </w:tc>
        <w:tc>
          <w:tcPr>
            <w:tcW w:w="6689"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政策测算金额：      万元；本次申请金额：      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已获财政支持情况</w:t>
            </w:r>
          </w:p>
        </w:tc>
        <w:tc>
          <w:tcPr>
            <w:tcW w:w="6689"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说明同一事项已获得或正在申请的国家、市、区级财政资金、券类或免费资源；无则填写“无”。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证明材料清单</w:t>
            </w:r>
          </w:p>
        </w:tc>
        <w:tc>
          <w:tcPr>
            <w:tcW w:w="6689"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按照本指南对应措施的申报材料要求逐项列明并附后。</w:t>
            </w:r>
          </w:p>
        </w:tc>
      </w:tr>
    </w:tbl>
    <w:p>
      <w:pPr>
        <w:keepLines w:val="0"/>
        <w:pageBreakBefore w:val="0"/>
        <w:kinsoku/>
        <w:wordWrap/>
        <w:overflowPunct/>
        <w:topLinePunct w:val="0"/>
        <w:autoSpaceDE/>
        <w:autoSpaceDN/>
        <w:bidi w:val="0"/>
        <w:adjustRightInd/>
        <w:snapToGrid/>
        <w:spacing w:line="540" w:lineRule="exact"/>
        <w:ind w:right="0" w:rightChars="0"/>
        <w:textAlignment w:val="auto"/>
        <w:outlineLvl w:val="9"/>
        <w:rPr>
          <w:highlight w:val="none"/>
        </w:rPr>
      </w:pPr>
      <w:r>
        <w:rPr>
          <w:highlight w:val="none"/>
        </w:rPr>
        <w:br w:type="page"/>
      </w:r>
    </w:p>
    <w:p>
      <w:pPr>
        <w:keepNext/>
        <w:keepLines w:val="0"/>
        <w:pageBreakBefore w:val="0"/>
        <w:widowControl/>
        <w:kinsoku/>
        <w:wordWrap/>
        <w:overflowPunct/>
        <w:topLinePunct w:val="0"/>
        <w:autoSpaceDE/>
        <w:autoSpaceDN/>
        <w:bidi w:val="0"/>
        <w:adjustRightInd/>
        <w:snapToGrid/>
        <w:spacing w:line="540" w:lineRule="exact"/>
        <w:ind w:left="0" w:right="0" w:rightChars="0" w:firstLine="0"/>
        <w:jc w:val="center"/>
        <w:textAlignment w:val="auto"/>
        <w:outlineLvl w:val="9"/>
        <w:rPr>
          <w:highlight w:val="none"/>
        </w:rPr>
      </w:pPr>
      <w:r>
        <w:rPr>
          <w:rFonts w:ascii="Times New Roman" w:hAnsi="Times New Roman" w:eastAsia="方正小标宋简体"/>
          <w:b w:val="0"/>
          <w:sz w:val="44"/>
          <w:highlight w:val="none"/>
        </w:rPr>
        <w:t>申报承诺书</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640"/>
        <w:textAlignment w:val="auto"/>
        <w:outlineLvl w:val="9"/>
        <w:rPr>
          <w:highlight w:val="none"/>
        </w:rPr>
      </w:pPr>
      <w:r>
        <w:rPr>
          <w:rFonts w:ascii="Times New Roman" w:hAnsi="Times New Roman" w:eastAsia="仿宋_GB2312"/>
          <w:b w:val="0"/>
          <w:sz w:val="32"/>
          <w:highlight w:val="none"/>
        </w:rPr>
        <w:t>本单位承诺：提交的材料及本申请表所填内容等均真实、准确、完整、合法、有效，不存在虚假、隐瞒、遗漏和误导等情形；申报项目、事项和费用不存在以同一内容重复申请或重复享受区级财政资金支持的情形，已获得或正在申请的其他财政支持均已如实说明。本单位同意并配合有关部门开展信用核查、材料审核、现场核验、专家评审、专项审计、绩效评价和监督检查。如违反上述承诺内容，自愿承担因此产生的全部法律责任，包括但不限于被取消申报资格、退回支持资金、纳入失信记录以及依法移送有关机关处理等。</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0"/>
        <w:textAlignment w:val="auto"/>
        <w:outlineLvl w:val="9"/>
        <w:rPr>
          <w:highlight w:val="none"/>
        </w:rPr>
      </w:pPr>
    </w:p>
    <w:p>
      <w:pPr>
        <w:keepNext w:val="0"/>
        <w:keepLines w:val="0"/>
        <w:pageBreakBefore w:val="0"/>
        <w:widowControl/>
        <w:kinsoku/>
        <w:wordWrap/>
        <w:overflowPunct/>
        <w:topLinePunct w:val="0"/>
        <w:autoSpaceDE/>
        <w:autoSpaceDN/>
        <w:bidi w:val="0"/>
        <w:adjustRightInd/>
        <w:snapToGrid/>
        <w:spacing w:line="540" w:lineRule="exact"/>
        <w:ind w:left="0" w:right="0" w:rightChars="0" w:firstLine="0"/>
        <w:textAlignment w:val="auto"/>
        <w:outlineLvl w:val="9"/>
        <w:rPr>
          <w:highlight w:val="none"/>
        </w:rPr>
      </w:pPr>
    </w:p>
    <w:p>
      <w:pPr>
        <w:keepNext w:val="0"/>
        <w:keepLines w:val="0"/>
        <w:pageBreakBefore w:val="0"/>
        <w:widowControl/>
        <w:kinsoku/>
        <w:wordWrap/>
        <w:overflowPunct/>
        <w:topLinePunct w:val="0"/>
        <w:autoSpaceDE/>
        <w:autoSpaceDN/>
        <w:bidi w:val="0"/>
        <w:adjustRightInd/>
        <w:snapToGrid/>
        <w:spacing w:line="540" w:lineRule="exact"/>
        <w:ind w:left="0" w:right="0" w:rightChars="0" w:firstLine="0"/>
        <w:textAlignment w:val="auto"/>
        <w:outlineLvl w:val="9"/>
        <w:rPr>
          <w:highlight w:val="none"/>
        </w:rPr>
      </w:pPr>
    </w:p>
    <w:p>
      <w:pPr>
        <w:keepNext w:val="0"/>
        <w:keepLines w:val="0"/>
        <w:pageBreakBefore w:val="0"/>
        <w:widowControl/>
        <w:kinsoku/>
        <w:wordWrap/>
        <w:overflowPunct/>
        <w:topLinePunct w:val="0"/>
        <w:autoSpaceDE/>
        <w:autoSpaceDN/>
        <w:bidi w:val="0"/>
        <w:adjustRightInd/>
        <w:snapToGrid/>
        <w:spacing w:line="540" w:lineRule="exact"/>
        <w:ind w:left="0" w:right="0" w:rightChars="0" w:firstLine="0"/>
        <w:jc w:val="right"/>
        <w:textAlignment w:val="auto"/>
        <w:outlineLvl w:val="9"/>
        <w:rPr>
          <w:highlight w:val="none"/>
        </w:rPr>
      </w:pPr>
      <w:r>
        <w:rPr>
          <w:rFonts w:ascii="Times New Roman" w:hAnsi="Times New Roman" w:eastAsia="仿宋_GB2312"/>
          <w:b w:val="0"/>
          <w:sz w:val="32"/>
          <w:highlight w:val="none"/>
        </w:rPr>
        <w:t>法定代表人（负责人）签名：         （公章）</w:t>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0"/>
        <w:jc w:val="center"/>
        <w:textAlignment w:val="auto"/>
        <w:outlineLvl w:val="9"/>
        <w:rPr>
          <w:highlight w:val="none"/>
        </w:rPr>
      </w:pPr>
      <w:r>
        <w:rPr>
          <w:rFonts w:hint="eastAsia" w:ascii="Times New Roman" w:hAnsi="Times New Roman" w:eastAsia="仿宋_GB2312"/>
          <w:b w:val="0"/>
          <w:sz w:val="32"/>
          <w:highlight w:val="none"/>
          <w:lang w:val="en-US" w:eastAsia="zh-CN"/>
        </w:rPr>
        <w:t xml:space="preserve">                                    </w:t>
      </w:r>
      <w:r>
        <w:rPr>
          <w:rFonts w:ascii="Times New Roman" w:hAnsi="Times New Roman" w:eastAsia="仿宋_GB2312"/>
          <w:b w:val="0"/>
          <w:sz w:val="32"/>
          <w:highlight w:val="none"/>
        </w:rPr>
        <w:t>年    月    日</w:t>
      </w:r>
    </w:p>
    <w:p>
      <w:pPr>
        <w:keepLines w:val="0"/>
        <w:pageBreakBefore w:val="0"/>
        <w:kinsoku/>
        <w:wordWrap/>
        <w:overflowPunct/>
        <w:topLinePunct w:val="0"/>
        <w:autoSpaceDE/>
        <w:autoSpaceDN/>
        <w:bidi w:val="0"/>
        <w:adjustRightInd/>
        <w:snapToGrid/>
        <w:spacing w:line="540" w:lineRule="exact"/>
        <w:ind w:right="0" w:rightChars="0"/>
        <w:textAlignment w:val="auto"/>
        <w:outlineLvl w:val="9"/>
        <w:rPr>
          <w:highlight w:val="none"/>
        </w:rPr>
      </w:pPr>
      <w:r>
        <w:rPr>
          <w:highlight w:val="none"/>
        </w:rPr>
        <w:br w:type="page"/>
      </w:r>
    </w:p>
    <w:p>
      <w:pPr>
        <w:keepNext w:val="0"/>
        <w:keepLines w:val="0"/>
        <w:pageBreakBefore w:val="0"/>
        <w:widowControl/>
        <w:kinsoku/>
        <w:wordWrap/>
        <w:overflowPunct/>
        <w:topLinePunct w:val="0"/>
        <w:autoSpaceDE/>
        <w:autoSpaceDN/>
        <w:bidi w:val="0"/>
        <w:adjustRightInd/>
        <w:snapToGrid/>
        <w:spacing w:line="540" w:lineRule="exact"/>
        <w:ind w:left="0" w:right="0" w:rightChars="0" w:firstLine="0"/>
        <w:jc w:val="center"/>
        <w:textAlignment w:val="auto"/>
        <w:outlineLvl w:val="9"/>
        <w:rPr>
          <w:highlight w:val="none"/>
        </w:rPr>
      </w:pPr>
      <w:r>
        <w:rPr>
          <w:rFonts w:ascii="Times New Roman" w:hAnsi="Times New Roman" w:eastAsia="黑体"/>
          <w:b w:val="0"/>
          <w:sz w:val="36"/>
          <w:highlight w:val="none"/>
        </w:rPr>
        <w:t>怀柔区OPC成长社区申请表</w:t>
      </w:r>
    </w:p>
    <w:tbl>
      <w:tblPr>
        <w:tblStyle w:val="5"/>
        <w:tblW w:w="884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54"/>
        <w:gridCol w:w="2267"/>
        <w:gridCol w:w="2154"/>
        <w:gridCol w:w="22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3" w:hRule="atLeas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社区名称</w:t>
            </w:r>
          </w:p>
        </w:tc>
        <w:tc>
          <w:tcPr>
            <w:tcW w:w="2267"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p>
        </w:tc>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运营主体</w:t>
            </w:r>
          </w:p>
        </w:tc>
        <w:tc>
          <w:tcPr>
            <w:tcW w:w="2267"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3" w:hRule="atLeas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统一社会信用代码</w:t>
            </w:r>
          </w:p>
        </w:tc>
        <w:tc>
          <w:tcPr>
            <w:tcW w:w="2267"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p>
        </w:tc>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联系人及联系方式</w:t>
            </w:r>
          </w:p>
        </w:tc>
        <w:tc>
          <w:tcPr>
            <w:tcW w:w="2267"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3" w:hRule="atLeas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社区地址</w:t>
            </w:r>
          </w:p>
        </w:tc>
        <w:tc>
          <w:tcPr>
            <w:tcW w:w="2267"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p>
        </w:tc>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运营起始时间</w:t>
            </w:r>
          </w:p>
        </w:tc>
        <w:tc>
          <w:tcPr>
            <w:tcW w:w="2267"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 xml:space="preserve">      年    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3" w:hRule="atLeas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空间条件</w:t>
            </w:r>
          </w:p>
        </w:tc>
        <w:tc>
          <w:tcPr>
            <w:tcW w:w="6688"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可自主支配创业空间：      平方米；OPC工位：      个；会议、交流、路演等公共空间情况：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3" w:hRule="atLeas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企业集聚</w:t>
            </w:r>
          </w:p>
        </w:tc>
        <w:tc>
          <w:tcPr>
            <w:tcW w:w="6688"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入驻创业主体：      家；其中连续稳定服务满3个月且正常经营的OPC企业：      家；OPC企业占比：      %。附OPC企业名单、认定证明及入驻、孵化或服务协议。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3" w:hRule="atLeas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运营团队</w:t>
            </w:r>
          </w:p>
        </w:tc>
        <w:tc>
          <w:tcPr>
            <w:tcW w:w="6688"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从事OPC服务工作人员：      人，其中专职运营人员：      人。附人员名单、岗位职责及证明材料。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3" w:hRule="atLeas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AI生产要素服务</w:t>
            </w:r>
          </w:p>
        </w:tc>
        <w:tc>
          <w:tcPr>
            <w:tcW w:w="6688"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已对接：□算力  □模型  □数据  □智能体  □AI软件  □其他。说明服务方式、合作机构和实际服务情况。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3" w:hRule="atLeas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AI技术服务</w:t>
            </w:r>
          </w:p>
        </w:tc>
        <w:tc>
          <w:tcPr>
            <w:tcW w:w="6688"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具备：□AI开发  □模型调用  □智能体部署  □其他。说明具体服务能力。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3" w:hRule="atLeas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专业创业服务</w:t>
            </w:r>
          </w:p>
        </w:tc>
        <w:tc>
          <w:tcPr>
            <w:tcW w:w="6688"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基础企业服务类别：□工商  □财税  □法务  □知识产权  □融资  □其他；产业服务情况：；创业导师或专业服务机构：      名（家）。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3" w:hRule="atLeas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运营机制及成效</w:t>
            </w:r>
          </w:p>
        </w:tc>
        <w:tc>
          <w:tcPr>
            <w:tcW w:w="6688"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说明企业招募、创业交流、培训、路演、场景对接等机制，以及上一年度或自运营以来OPC净增、产品成果、服务活动、投融资、场景落地、订单转化和满意度等成效，800字以内。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3" w:hRule="atLeas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申请支持金额</w:t>
            </w:r>
          </w:p>
        </w:tc>
        <w:tc>
          <w:tcPr>
            <w:tcW w:w="6688"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申请支持：      万元；主要测算依据及资金使用计划：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3" w:hRule="atLeast"/>
          <w:jc w:val="center"/>
        </w:trPr>
        <w:tc>
          <w:tcPr>
            <w:tcW w:w="2154" w:type="dxa"/>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center"/>
              <w:textAlignment w:val="auto"/>
              <w:outlineLvl w:val="9"/>
              <w:rPr>
                <w:highlight w:val="none"/>
              </w:rPr>
            </w:pPr>
            <w:r>
              <w:rPr>
                <w:rFonts w:ascii="Times New Roman" w:hAnsi="Times New Roman" w:eastAsia="仿宋_GB2312"/>
                <w:b w:val="0"/>
                <w:sz w:val="21"/>
                <w:highlight w:val="none"/>
              </w:rPr>
              <w:t>附件清单</w:t>
            </w:r>
          </w:p>
        </w:tc>
        <w:tc>
          <w:tcPr>
            <w:tcW w:w="6688" w:type="dxa"/>
            <w:gridSpan w:val="3"/>
            <w:tcMar>
              <w:top w:w="80" w:type="dxa"/>
              <w:left w:w="90" w:type="dxa"/>
              <w:bottom w:w="80" w:type="dxa"/>
              <w:right w:w="90" w:type="dxa"/>
            </w:tcMar>
            <w:vAlign w:val="center"/>
          </w:tcPr>
          <w:p>
            <w:pPr>
              <w:keepLines w:val="0"/>
              <w:pageBreakBefore w:val="0"/>
              <w:kinsoku/>
              <w:wordWrap/>
              <w:overflowPunct/>
              <w:topLinePunct w:val="0"/>
              <w:autoSpaceDE/>
              <w:autoSpaceDN/>
              <w:bidi w:val="0"/>
              <w:adjustRightInd/>
              <w:snapToGrid/>
              <w:spacing w:line="540" w:lineRule="exact"/>
              <w:ind w:right="0" w:rightChars="0" w:firstLine="0"/>
              <w:jc w:val="left"/>
              <w:textAlignment w:val="auto"/>
              <w:outlineLvl w:val="9"/>
              <w:rPr>
                <w:highlight w:val="none"/>
              </w:rPr>
            </w:pPr>
            <w:r>
              <w:rPr>
                <w:rFonts w:ascii="Times New Roman" w:hAnsi="Times New Roman" w:eastAsia="仿宋_GB2312"/>
                <w:b w:val="0"/>
                <w:sz w:val="21"/>
                <w:highlight w:val="none"/>
              </w:rPr>
              <w:t>包括场地证明、OPC企业名单及协议、运营人员证明、AI要素及服务证明、专业服务材料、活动及运营成效证明、相关费用凭证等。</w:t>
            </w:r>
          </w:p>
        </w:tc>
      </w:tr>
    </w:tbl>
    <w:p>
      <w:pPr>
        <w:keepLines w:val="0"/>
        <w:pageBreakBefore w:val="0"/>
        <w:kinsoku/>
        <w:wordWrap/>
        <w:overflowPunct/>
        <w:topLinePunct w:val="0"/>
        <w:autoSpaceDE/>
        <w:autoSpaceDN/>
        <w:bidi w:val="0"/>
        <w:adjustRightInd/>
        <w:snapToGrid/>
        <w:spacing w:line="540" w:lineRule="exact"/>
        <w:ind w:right="0" w:rightChars="0"/>
        <w:textAlignment w:val="auto"/>
        <w:outlineLvl w:val="9"/>
        <w:rPr>
          <w:highlight w:val="none"/>
        </w:rPr>
      </w:pPr>
    </w:p>
    <w:p>
      <w:pPr>
        <w:pStyle w:val="2"/>
        <w:keepLines w:val="0"/>
        <w:pageBreakBefore w:val="0"/>
        <w:kinsoku/>
        <w:wordWrap/>
        <w:topLinePunct w:val="0"/>
        <w:autoSpaceDE/>
        <w:autoSpaceDN/>
        <w:bidi w:val="0"/>
        <w:spacing w:line="540" w:lineRule="exact"/>
        <w:textAlignment w:val="auto"/>
        <w:rPr>
          <w:rFonts w:hint="eastAsia"/>
          <w:highlight w:val="none"/>
          <w:lang w:val="en-US" w:eastAsia="zh-CN"/>
        </w:rPr>
      </w:pPr>
    </w:p>
    <w:p>
      <w:pPr>
        <w:pStyle w:val="2"/>
        <w:keepLines w:val="0"/>
        <w:pageBreakBefore w:val="0"/>
        <w:widowControl w:val="0"/>
        <w:tabs>
          <w:tab w:val="left" w:pos="885"/>
        </w:tabs>
        <w:kinsoku/>
        <w:wordWrap/>
        <w:overflowPunct/>
        <w:topLinePunct w:val="0"/>
        <w:autoSpaceDE/>
        <w:autoSpaceDN/>
        <w:bidi w:val="0"/>
        <w:spacing w:line="540" w:lineRule="exact"/>
        <w:ind w:left="0" w:leftChars="0" w:right="0" w:rightChars="0"/>
        <w:jc w:val="left"/>
        <w:textAlignment w:val="auto"/>
        <w:rPr>
          <w:rFonts w:hint="eastAsia"/>
          <w:highlight w:val="none"/>
          <w:lang w:val="en-US" w:eastAsia="zh-CN"/>
        </w:rPr>
      </w:pPr>
    </w:p>
    <w:p>
      <w:pPr>
        <w:pStyle w:val="2"/>
        <w:keepLines w:val="0"/>
        <w:pageBreakBefore w:val="0"/>
        <w:kinsoku/>
        <w:wordWrap/>
        <w:topLinePunct w:val="0"/>
        <w:autoSpaceDE/>
        <w:autoSpaceDN/>
        <w:bidi w:val="0"/>
        <w:spacing w:line="540" w:lineRule="exact"/>
        <w:textAlignment w:val="auto"/>
        <w:rPr>
          <w:rFonts w:hint="eastAsia"/>
          <w:highlight w:val="none"/>
          <w:lang w:val="en-US" w:eastAsia="zh-CN"/>
        </w:rPr>
      </w:pPr>
    </w:p>
    <w:p>
      <w:pPr>
        <w:pStyle w:val="2"/>
        <w:keepLines w:val="0"/>
        <w:pageBreakBefore w:val="0"/>
        <w:kinsoku/>
        <w:wordWrap/>
        <w:topLinePunct w:val="0"/>
        <w:autoSpaceDE/>
        <w:autoSpaceDN/>
        <w:bidi w:val="0"/>
        <w:spacing w:line="540" w:lineRule="exact"/>
        <w:textAlignment w:val="auto"/>
        <w:rPr>
          <w:rFonts w:hint="eastAsia"/>
          <w:lang w:val="en-US" w:eastAsia="zh-CN"/>
        </w:rPr>
      </w:pPr>
    </w:p>
    <w:p>
      <w:pPr>
        <w:keepLines w:val="0"/>
        <w:pageBreakBefore w:val="0"/>
        <w:kinsoku/>
        <w:wordWrap/>
        <w:topLinePunct w:val="0"/>
        <w:autoSpaceDE/>
        <w:autoSpaceDN/>
        <w:bidi w:val="0"/>
        <w:spacing w:line="540" w:lineRule="exact"/>
        <w:textAlignment w:val="auto"/>
        <w:rPr>
          <w:rFonts w:hint="eastAsia"/>
          <w:lang w:val="en-US" w:eastAsia="zh-CN"/>
        </w:rPr>
      </w:pPr>
      <w:r>
        <w:rPr>
          <w:rFonts w:hint="eastAsia" w:ascii="仿宋_GB2312" w:hAnsi="仿宋_GB2312" w:eastAsia="仿宋_GB2312" w:cs="仿宋_GB2312"/>
          <w:b w:val="0"/>
          <w:bCs/>
          <w:sz w:val="32"/>
          <w:szCs w:val="32"/>
          <w:highlight w:val="none"/>
          <w:lang w:val="en-US" w:eastAsia="zh-CN" w:bidi="ar-SA"/>
        </w:rPr>
        <w:br w:type="textWrapping"/>
      </w:r>
    </w:p>
    <w:p>
      <w:pPr>
        <w:keepLines w:val="0"/>
        <w:pageBreakBefore w:val="0"/>
        <w:kinsoku/>
        <w:wordWrap/>
        <w:topLinePunct w:val="0"/>
        <w:autoSpaceDE/>
        <w:autoSpaceDN/>
        <w:bidi w:val="0"/>
        <w:spacing w:line="54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7B7EF8"/>
    <w:rsid w:val="108E3CDE"/>
    <w:rsid w:val="20007263"/>
    <w:rsid w:val="2BAB6D22"/>
    <w:rsid w:val="341E2A51"/>
    <w:rsid w:val="4AF30B78"/>
    <w:rsid w:val="577B7EF8"/>
    <w:rsid w:val="5CFD4622"/>
    <w:rsid w:val="601A1CDA"/>
    <w:rsid w:val="66B020A1"/>
    <w:rsid w:val="7FD170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99"/>
    <w:pPr>
      <w:jc w:val="center"/>
    </w:pPr>
    <w:rPr>
      <w:b/>
      <w:bCs/>
      <w:sz w:val="36"/>
    </w:rPr>
  </w:style>
  <w:style w:type="paragraph" w:customStyle="1" w:styleId="3">
    <w:name w:val="toc 1"/>
    <w:next w:val="1"/>
    <w:qFormat/>
    <w:uiPriority w:val="0"/>
    <w:pPr>
      <w:wordWrap w:val="0"/>
      <w:jc w:val="both"/>
    </w:pPr>
    <w:rPr>
      <w:rFonts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215</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2026-11-02T02:00:00Z</dcterms:created>
  <dc:creator>admin26</dc:creator>
  <cp:lastModifiedBy>admin26</cp:lastModifiedBy>
  <dcterms:modified xsi:type="dcterms:W3CDTF">2026-11-03T03:11:54Z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