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right="0" w:rightChars="0"/>
        <w:jc w:val="center"/>
        <w:textAlignment w:val="auto"/>
        <w:rPr>
          <w:rFonts w:hint="eastAsia" w:ascii="仿宋_GB2312" w:hAnsi="仿宋_GB2312" w:eastAsia="方正小标宋简体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《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</w:rPr>
        <w:t>怀柔区支持人工智能OPC创新发展行动方案（2026—2028年）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val="en-US" w:eastAsia="zh-CN"/>
        </w:rPr>
        <w:t>征求意见稿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eastAsia="zh-CN"/>
        </w:rPr>
        <w:t>）》</w:t>
      </w:r>
      <w:r>
        <w:rPr>
          <w:rFonts w:hint="eastAsia" w:ascii="方正小标宋简体" w:hAnsi="方正小标宋简体" w:eastAsia="方正小标宋简体" w:cs="方正小标宋简体"/>
          <w:b w:val="0"/>
          <w:sz w:val="44"/>
          <w:szCs w:val="44"/>
          <w:highlight w:val="none"/>
          <w:lang w:val="en-US" w:eastAsia="zh-CN"/>
        </w:rPr>
        <w:t>的起草说明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</w:pPr>
    </w:p>
    <w:p>
      <w:pPr>
        <w:spacing w:after="0" w:line="580" w:lineRule="exact"/>
        <w:ind w:firstLine="64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为深入贯彻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国家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</w:rPr>
        <w:t>“人工智能＋”战略部署，加快构建活跃开放的人工智能创新创业生态，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eastAsia="zh-CN"/>
        </w:rPr>
        <w:t>按照北京市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《北京市支持人工智能OPC创新发展行动方案（试行）》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（京经信发〔2026〕34号）、</w:t>
      </w:r>
      <w:r>
        <w:rPr>
          <w:rFonts w:ascii="Times New Roman" w:hAnsi="Times New Roman" w:eastAsia="仿宋_GB2312" w:cs="Times New Roman"/>
          <w:b w:val="0"/>
          <w:sz w:val="32"/>
          <w:highlight w:val="none"/>
        </w:rPr>
        <w:t>《北京市关于加快智能体引领发展的若干措施》</w:t>
      </w:r>
      <w:r>
        <w:rPr>
          <w:rFonts w:hint="eastAsia" w:ascii="楷体_GB2312" w:hAnsi="楷体_GB2312" w:eastAsia="楷体_GB2312" w:cs="楷体_GB2312"/>
          <w:b w:val="0"/>
          <w:sz w:val="32"/>
          <w:highlight w:val="none"/>
        </w:rPr>
        <w:t>（京发改〔2026〕1185号）</w:t>
      </w:r>
      <w:r>
        <w:rPr>
          <w:rFonts w:hint="eastAsia" w:ascii="仿宋_GB2312" w:hAnsi="仿宋_GB2312" w:eastAsia="仿宋_GB2312" w:cs="仿宋_GB2312"/>
          <w:b w:val="0"/>
          <w:sz w:val="32"/>
          <w:highlight w:val="none"/>
          <w:lang w:eastAsia="zh-CN"/>
        </w:rPr>
        <w:t>等文件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要求，我单位牵头起草了《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</w:rPr>
        <w:t>怀柔区支持人工智能OPC创新发展行动方案（2026—2028年）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》。</w:t>
      </w:r>
      <w:r>
        <w:rPr>
          <w:rFonts w:hint="eastAsia" w:eastAsia="仿宋_GB2312" w:cs="仿宋_GB2312"/>
          <w:sz w:val="32"/>
          <w:szCs w:val="32"/>
        </w:rPr>
        <w:t>（以下简称“《行动方案》”），</w:t>
      </w:r>
      <w:r>
        <w:rPr>
          <w:rFonts w:eastAsia="仿宋_GB2312"/>
          <w:sz w:val="32"/>
          <w:szCs w:val="32"/>
          <w:lang w:bidi="ar"/>
        </w:rPr>
        <w:t>现将有关情况汇报如下：</w:t>
      </w:r>
    </w:p>
    <w:p>
      <w:pPr>
        <w:numPr>
          <w:ilvl w:val="0"/>
          <w:numId w:val="0"/>
        </w:numPr>
        <w:ind w:firstLine="640" w:firstLineChars="200"/>
        <w:rPr>
          <w:rFonts w:hint="eastAsia" w:eastAsia="黑体" w:cs="黑体"/>
          <w:sz w:val="32"/>
          <w:szCs w:val="32"/>
        </w:rPr>
      </w:pPr>
      <w:r>
        <w:rPr>
          <w:rFonts w:hint="eastAsia" w:eastAsia="黑体" w:cs="黑体"/>
          <w:sz w:val="32"/>
          <w:szCs w:val="32"/>
          <w:lang w:val="en-US" w:eastAsia="zh-CN"/>
        </w:rPr>
        <w:t>一、</w:t>
      </w:r>
      <w:r>
        <w:rPr>
          <w:rFonts w:hint="eastAsia" w:eastAsia="黑体" w:cs="黑体"/>
          <w:sz w:val="32"/>
          <w:szCs w:val="32"/>
        </w:rPr>
        <w:t>起草背景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 w:cs="仿宋_GB2312"/>
          <w:sz w:val="32"/>
          <w:szCs w:val="32"/>
        </w:rPr>
        <w:t>近年来，</w:t>
      </w:r>
      <w:r>
        <w:rPr>
          <w:rFonts w:eastAsia="仿宋_GB2312" w:cs="仿宋_GB2312"/>
          <w:sz w:val="32"/>
          <w:szCs w:val="32"/>
        </w:rPr>
        <w:t>随着</w:t>
      </w:r>
      <w:r>
        <w:rPr>
          <w:rFonts w:hint="eastAsia" w:eastAsia="仿宋_GB2312" w:cs="仿宋_GB2312"/>
          <w:sz w:val="32"/>
          <w:szCs w:val="32"/>
        </w:rPr>
        <w:t>人工智能技术持续创新发展</w:t>
      </w:r>
      <w:r>
        <w:rPr>
          <w:rFonts w:eastAsia="仿宋_GB2312" w:cs="仿宋_GB2312"/>
          <w:sz w:val="32"/>
          <w:szCs w:val="32"/>
        </w:rPr>
        <w:t>，依托</w:t>
      </w:r>
      <w:r>
        <w:rPr>
          <w:rFonts w:hint="eastAsia" w:eastAsia="仿宋_GB2312" w:cs="仿宋_GB2312"/>
          <w:sz w:val="32"/>
          <w:szCs w:val="32"/>
        </w:rPr>
        <w:t>人工智能等新兴技术的OPC（</w:t>
      </w:r>
      <w:r>
        <w:rPr>
          <w:rFonts w:eastAsia="仿宋_GB2312" w:cs="仿宋_GB2312"/>
          <w:sz w:val="32"/>
          <w:szCs w:val="32"/>
        </w:rPr>
        <w:t>One Person Company，一人公司</w:t>
      </w:r>
      <w:r>
        <w:rPr>
          <w:rFonts w:hint="eastAsia" w:eastAsia="仿宋_GB2312" w:cs="仿宋_GB2312"/>
          <w:sz w:val="32"/>
          <w:szCs w:val="32"/>
        </w:rPr>
        <w:t>）企业</w:t>
      </w:r>
      <w:r>
        <w:rPr>
          <w:rFonts w:eastAsia="仿宋_GB2312" w:cs="仿宋_GB2312"/>
          <w:sz w:val="32"/>
          <w:szCs w:val="32"/>
        </w:rPr>
        <w:t>快速兴起，凭借决策集中、运营灵活、成本可控等优势，成为激发市场活力、拓展创业空间的重要</w:t>
      </w:r>
      <w:r>
        <w:rPr>
          <w:rFonts w:hint="eastAsia" w:eastAsia="仿宋_GB2312" w:cs="仿宋_GB2312"/>
          <w:sz w:val="32"/>
          <w:szCs w:val="32"/>
        </w:rPr>
        <w:t>主体</w:t>
      </w:r>
      <w:r>
        <w:rPr>
          <w:rFonts w:eastAsia="仿宋_GB2312" w:cs="仿宋_GB2312"/>
          <w:sz w:val="32"/>
          <w:szCs w:val="32"/>
        </w:rPr>
        <w:t>。海淀区、上海市</w:t>
      </w:r>
      <w:r>
        <w:rPr>
          <w:rFonts w:hint="eastAsia" w:eastAsia="仿宋_GB2312" w:cs="仿宋_GB2312"/>
          <w:sz w:val="32"/>
          <w:szCs w:val="32"/>
        </w:rPr>
        <w:t>自贸区</w:t>
      </w:r>
      <w:r>
        <w:rPr>
          <w:rFonts w:eastAsia="仿宋_GB2312" w:cs="仿宋_GB2312"/>
          <w:sz w:val="32"/>
          <w:szCs w:val="32"/>
        </w:rPr>
        <w:t>、深圳市等地区</w:t>
      </w:r>
      <w:r>
        <w:rPr>
          <w:rFonts w:hint="eastAsia" w:eastAsia="仿宋_GB2312" w:cs="仿宋_GB2312"/>
          <w:sz w:val="32"/>
          <w:szCs w:val="32"/>
        </w:rPr>
        <w:t>相继出台政策支持OPC企业发展</w:t>
      </w:r>
      <w:r>
        <w:rPr>
          <w:rFonts w:hint="eastAsia" w:eastAsia="仿宋_GB2312" w:cs="仿宋_GB2312"/>
          <w:sz w:val="32"/>
          <w:szCs w:val="32"/>
          <w:lang w:eastAsia="zh-CN"/>
        </w:rPr>
        <w:t>。</w:t>
      </w:r>
      <w:r>
        <w:rPr>
          <w:rFonts w:eastAsia="仿宋_GB2312" w:cs="仿宋_GB2312"/>
          <w:sz w:val="32"/>
          <w:szCs w:val="32"/>
        </w:rPr>
        <w:t>为顺应</w:t>
      </w:r>
      <w:r>
        <w:rPr>
          <w:rFonts w:hint="eastAsia" w:eastAsia="仿宋_GB2312" w:cs="仿宋_GB2312"/>
          <w:sz w:val="32"/>
          <w:szCs w:val="32"/>
        </w:rPr>
        <w:t>OPC企业</w:t>
      </w:r>
      <w:r>
        <w:rPr>
          <w:rFonts w:eastAsia="仿宋_GB2312" w:cs="仿宋_GB2312"/>
          <w:sz w:val="32"/>
          <w:szCs w:val="32"/>
        </w:rPr>
        <w:t>发展趋势，</w:t>
      </w:r>
      <w:r>
        <w:rPr>
          <w:rFonts w:hint="eastAsia" w:eastAsia="仿宋_GB2312" w:cs="仿宋_GB2312"/>
          <w:sz w:val="32"/>
          <w:szCs w:val="32"/>
          <w:lang w:val="en-US" w:eastAsia="zh-CN"/>
        </w:rPr>
        <w:t>怀柔区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坚持立足区域产业禀赋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对标市级发展要求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贴合企业实际需求，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我单位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牵头起草了《行动方案》。</w:t>
      </w:r>
    </w:p>
    <w:p>
      <w:pPr>
        <w:pStyle w:val="2"/>
        <w:ind w:firstLine="643" w:firstLineChars="200"/>
        <w:jc w:val="both"/>
        <w:rPr>
          <w:rFonts w:hint="eastAsia"/>
          <w:lang w:val="en-US" w:eastAsia="zh-CN"/>
        </w:rPr>
      </w:pPr>
      <w:r>
        <w:rPr>
          <w:rFonts w:hint="eastAsia" w:eastAsia="黑体" w:cs="黑体"/>
          <w:sz w:val="32"/>
          <w:szCs w:val="32"/>
        </w:rPr>
        <w:t>二、起草过程</w:t>
      </w:r>
    </w:p>
    <w:p>
      <w:pPr>
        <w:numPr>
          <w:ilvl w:val="0"/>
          <w:numId w:val="0"/>
        </w:num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eastAsia="仿宋_GB2312"/>
          <w:sz w:val="32"/>
          <w:szCs w:val="36"/>
        </w:rPr>
        <w:t>前期，按照区委区政府指示要求，区经信局开展调研论证，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实地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走访朝阳区极客部落·AI应用生态园、</w:t>
      </w:r>
      <w:r>
        <w:rPr>
          <w:rFonts w:hint="eastAsia" w:ascii="仿宋_GB2312" w:hAnsi="仿宋_GB2312" w:eastAsia="仿宋_GB2312" w:cs="仿宋_GB2312"/>
          <w:b w:val="0"/>
          <w:sz w:val="32"/>
          <w:szCs w:val="32"/>
          <w:highlight w:val="none"/>
        </w:rPr>
        <w:t>怀柔科学城OPC成长社区、中国影都视听OPC成长社区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、长城国际动漫谷等空间载体，与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社区运营单位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入驻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OPC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企业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座谈交流。组织科学管委会设施平台处、区发展改革委等单位进行多次专题研讨，</w:t>
      </w:r>
      <w:r>
        <w:rPr>
          <w:rFonts w:hint="eastAsia" w:eastAsia="仿宋_GB2312"/>
          <w:sz w:val="32"/>
          <w:szCs w:val="36"/>
        </w:rPr>
        <w:t>结合</w:t>
      </w:r>
      <w:r>
        <w:rPr>
          <w:rFonts w:hint="eastAsia" w:eastAsia="仿宋_GB2312"/>
          <w:sz w:val="32"/>
          <w:szCs w:val="36"/>
          <w:lang w:val="en-US" w:eastAsia="zh-CN"/>
        </w:rPr>
        <w:t>怀柔</w:t>
      </w:r>
      <w:r>
        <w:rPr>
          <w:rFonts w:hint="eastAsia" w:eastAsia="仿宋_GB2312"/>
          <w:sz w:val="32"/>
          <w:szCs w:val="36"/>
        </w:rPr>
        <w:t>区实际制定本方案。</w:t>
      </w:r>
    </w:p>
    <w:p>
      <w:pPr>
        <w:adjustRightInd w:val="0"/>
        <w:snapToGrid w:val="0"/>
        <w:spacing w:after="0" w:line="580" w:lineRule="exact"/>
        <w:ind w:firstLine="640" w:firstLineChars="200"/>
        <w:rPr>
          <w:rFonts w:eastAsia="楷体_GB2312" w:cs="楷体_GB2312"/>
          <w:sz w:val="32"/>
          <w:szCs w:val="32"/>
          <w:lang w:bidi="ar"/>
        </w:rPr>
      </w:pPr>
      <w:r>
        <w:rPr>
          <w:rFonts w:hint="eastAsia" w:eastAsia="黑体"/>
          <w:sz w:val="32"/>
          <w:szCs w:val="32"/>
          <w:lang w:bidi="ar"/>
        </w:rPr>
        <w:t>三、主要内容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highlight w:val="none"/>
          <w:lang w:val="en-US" w:eastAsia="zh-CN"/>
        </w:rPr>
        <w:t>《行动方案》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共分为总体要求、发展目标、重点任务、保障机制四个部分，核心内容如下：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 xml:space="preserve">   （一）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总体要求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顺应人工智能发展新趋势，依托综合性国家科学中心战略定位和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highlight w:val="none"/>
          <w:lang w:val="en-US" w:eastAsia="zh-CN"/>
        </w:rPr>
        <w:t>怀柔科学城、雁栖湖国际会都、中国影都“一城两都”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资源，打响“雁栖智创”OPC品牌，塑造科学智能、智能视听、智慧文旅三张名片。坚持科学驱动、社区承载、资源开放、人才友好四大原则，推动科技资源向创业要素转化，为怀柔培育新质生产力注入新动能。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（二）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发展目标（到2028年）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基本形成与科学城、影都、生态文旅匹配的OPC创新体系，建成“核心社区引领、特色节点支撑、各类主体参与”的社区矩阵，形成一批具有成长性的AI原生创业主体、可复制推广的应用场景和行业创新案例。怀柔成为首都科技人才和创意人才开展AI原生创业的重要承载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（三）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重点任务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是建设高品质创业载体。构建“双核多点”社区布局，重点建设怀柔科学城OPC成长社区和中国影都视听OPC成长社区，支持各类主体依托自身资源建设专业化社区。提升运营服务水平，设置OPC开办服务专窗，提供登记注册、政策咨询、帮办代办等一站式服务，集成财税法律、知识产权、品牌营销等服务，常态化开展技术沙龙、孵化加速、市场对接等活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是培育AI原生创业主体。面向高校师生、科研人员、海外人才、视听文创人才等吸引集聚项目，建立项目发现到成长加速的全链条培育机制。完善宜居保障，统筹人才公寓等房源提供分类租住，构建十分钟办公生活圈。强化金融支持，联动市区两级基金，推广OPC贷等适配产品，建立项目储备库，对种子项目提供非资金支持，对成长性企业梯次培育为高新技术企业、专精特新企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是强化智能要素支撑。优化算力供给，推进算力中心建设，谋划万P级集群，联动周边算力资源提供灵活普惠服务。推动数据开放，建设科研数据专区，推动科学数据有序开放，依法开发视听文旅等特色数据。完善模型工具供给，建立模型和开发工具清单，将Token调用纳入补贴，降低模型使用成本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四是强化场景赛事牵引。健全场景供需对接机制，动态发布小切口、轻量化场景需求，通过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联合攻关、试点验证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支持实景验证，推动成果在怀柔首试首用和示范推广。打响雁栖智创品牌，依托国际基础科学大会、北京国际电影节等平台策划AI加系列主题活动，衔接市级创新创业赛事，完善发现落地传播链条，持续发布创新案例和成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  <w:lang w:val="en-US" w:eastAsia="zh-CN"/>
        </w:rPr>
        <w:t>（四）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保障机制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建立联席会议机制，由区政府和科学城管委会双召集人统筹协调。设立OPC专项政策资金，争取市级支持。建立动态监测评估机制，重点考核经营成效和成果转化，不将空间建设和注册数量作为主要评价依据。统筹媒体和重大活动平台加强宣传推广，持续提升品牌影响力。</w:t>
      </w:r>
    </w:p>
    <w:p>
      <w:pPr>
        <w:pStyle w:val="2"/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8BE"/>
    <w:rsid w:val="008368BE"/>
    <w:rsid w:val="059644B6"/>
    <w:rsid w:val="06CD4AB2"/>
    <w:rsid w:val="088428C1"/>
    <w:rsid w:val="35072958"/>
    <w:rsid w:val="4AE217F9"/>
    <w:rsid w:val="5EBA3EEE"/>
    <w:rsid w:val="67206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jc w:val="center"/>
    </w:pPr>
    <w:rPr>
      <w:b/>
      <w:bCs/>
      <w:sz w:val="36"/>
    </w:rPr>
  </w:style>
  <w:style w:type="paragraph" w:customStyle="1" w:styleId="3">
    <w:name w:val="toc 1"/>
    <w:next w:val="1"/>
    <w:qFormat/>
    <w:uiPriority w:val="0"/>
    <w:pPr>
      <w:wordWrap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Office_10.8.2.6784_F1E327BC-269C-435d-A152-05C5408002CA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2026-11-02T01:40:00Z</dcterms:created>
  <dc:creator>admin26</dc:creator>
  <cp:lastModifiedBy>admin26</cp:lastModifiedBy>
  <dcterms:modified xsi:type="dcterms:W3CDTF">2026-11-03T02:49:02Z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2052-10.8.2.6784</vt:lpwstr>
  </property>
</Properties>
</file>