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D2BBA">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center"/>
        <w:textAlignment w:val="auto"/>
        <w:rPr>
          <w:rFonts w:hint="eastAsia" w:ascii="方正小标宋简体" w:hAnsi="方正小标宋简体" w:eastAsia="方正小标宋简体" w:cs="方正小标宋简体"/>
          <w:b w:val="0"/>
          <w:sz w:val="44"/>
          <w:szCs w:val="44"/>
          <w:highlight w:val="none"/>
          <w:lang w:eastAsia="zh-CN"/>
        </w:rPr>
      </w:pPr>
      <w:r>
        <w:rPr>
          <w:rFonts w:hint="eastAsia" w:ascii="方正小标宋简体" w:hAnsi="方正小标宋简体" w:eastAsia="方正小标宋简体" w:cs="方正小标宋简体"/>
          <w:b w:val="0"/>
          <w:sz w:val="44"/>
          <w:szCs w:val="44"/>
          <w:highlight w:val="none"/>
          <w:lang w:eastAsia="zh-CN"/>
        </w:rPr>
        <w:t>《</w:t>
      </w:r>
      <w:r>
        <w:rPr>
          <w:rFonts w:hint="eastAsia" w:ascii="方正小标宋简体" w:hAnsi="方正小标宋简体" w:eastAsia="方正小标宋简体" w:cs="方正小标宋简体"/>
          <w:b w:val="0"/>
          <w:sz w:val="44"/>
          <w:szCs w:val="44"/>
          <w:highlight w:val="none"/>
        </w:rPr>
        <w:t>怀柔区支持人工智能OPC创新发展行动方案（2026—2028年）（</w:t>
      </w:r>
      <w:r>
        <w:rPr>
          <w:rFonts w:hint="eastAsia" w:ascii="方正小标宋简体" w:hAnsi="方正小标宋简体" w:eastAsia="方正小标宋简体" w:cs="方正小标宋简体"/>
          <w:b w:val="0"/>
          <w:sz w:val="44"/>
          <w:szCs w:val="44"/>
          <w:highlight w:val="none"/>
          <w:lang w:eastAsia="zh-CN"/>
        </w:rPr>
        <w:t>征求意见</w:t>
      </w:r>
      <w:r>
        <w:rPr>
          <w:rFonts w:hint="eastAsia" w:ascii="方正小标宋简体" w:hAnsi="方正小标宋简体" w:eastAsia="方正小标宋简体" w:cs="方正小标宋简体"/>
          <w:b w:val="0"/>
          <w:sz w:val="44"/>
          <w:szCs w:val="44"/>
          <w:highlight w:val="none"/>
        </w:rPr>
        <w:t>稿）</w:t>
      </w:r>
      <w:r>
        <w:rPr>
          <w:rFonts w:hint="eastAsia" w:ascii="方正小标宋简体" w:hAnsi="方正小标宋简体" w:eastAsia="方正小标宋简体" w:cs="方正小标宋简体"/>
          <w:b w:val="0"/>
          <w:sz w:val="44"/>
          <w:szCs w:val="44"/>
          <w:highlight w:val="none"/>
          <w:lang w:eastAsia="zh-CN"/>
        </w:rPr>
        <w:t>》</w:t>
      </w:r>
    </w:p>
    <w:p w14:paraId="51010B6F">
      <w:pPr>
        <w:pStyle w:val="2"/>
        <w:keepNext w:val="0"/>
        <w:keepLines w:val="0"/>
        <w:pageBreakBefore w:val="0"/>
        <w:widowControl w:val="0"/>
        <w:kinsoku/>
        <w:overflowPunct/>
        <w:topLinePunct w:val="0"/>
        <w:autoSpaceDE/>
        <w:autoSpaceDN/>
        <w:bidi w:val="0"/>
        <w:spacing w:line="560" w:lineRule="exact"/>
        <w:ind w:left="0" w:leftChars="0" w:right="0" w:rightChars="0"/>
        <w:textAlignment w:val="auto"/>
        <w:rPr>
          <w:rFonts w:hint="eastAsia"/>
          <w:highlight w:val="none"/>
        </w:rPr>
      </w:pPr>
    </w:p>
    <w:p w14:paraId="5B7E386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_GB2312" w:hAnsi="仿宋_GB2312" w:eastAsia="仿宋_GB2312" w:cs="仿宋_GB2312"/>
          <w:b w:val="0"/>
          <w:sz w:val="32"/>
          <w:szCs w:val="32"/>
          <w:highlight w:val="none"/>
        </w:rPr>
      </w:pPr>
      <w:r>
        <w:rPr>
          <w:rFonts w:ascii="Times New Roman" w:hAnsi="Times New Roman" w:eastAsia="仿宋_GB2312"/>
          <w:b w:val="0"/>
          <w:sz w:val="32"/>
          <w:szCs w:val="32"/>
          <w:highlight w:val="none"/>
        </w:rPr>
        <w:t>为深入贯彻国家和北京市“人工智能+”战略部署，加快落实北京市支持人工智能OPC创新发展的有关要求，</w:t>
      </w:r>
      <w:r>
        <w:rPr>
          <w:rFonts w:hint="eastAsia" w:ascii="仿宋_GB2312" w:hAnsi="仿宋_GB2312" w:eastAsia="仿宋_GB2312" w:cs="仿宋_GB2312"/>
          <w:b w:val="0"/>
          <w:sz w:val="32"/>
          <w:szCs w:val="32"/>
          <w:highlight w:val="none"/>
        </w:rPr>
        <w:t>大力培育产业发展新业态新模式</w:t>
      </w:r>
      <w:r>
        <w:rPr>
          <w:rFonts w:hint="eastAsia" w:ascii="仿宋_GB2312" w:hAnsi="仿宋_GB2312" w:eastAsia="仿宋_GB2312" w:cs="仿宋_GB2312"/>
          <w:b w:val="0"/>
          <w:sz w:val="32"/>
          <w:szCs w:val="32"/>
          <w:highlight w:val="none"/>
          <w:lang w:eastAsia="zh-CN"/>
        </w:rPr>
        <w:t>，</w:t>
      </w:r>
      <w:r>
        <w:rPr>
          <w:rFonts w:hint="eastAsia" w:ascii="仿宋_GB2312" w:hAnsi="仿宋_GB2312" w:eastAsia="仿宋_GB2312" w:cs="仿宋_GB2312"/>
          <w:b w:val="0"/>
          <w:bCs w:val="0"/>
          <w:sz w:val="32"/>
          <w:szCs w:val="32"/>
          <w:highlight w:val="none"/>
        </w:rPr>
        <w:t>加快构建活跃开放、特色鲜明的</w:t>
      </w:r>
      <w:r>
        <w:rPr>
          <w:rFonts w:hint="eastAsia" w:ascii="仿宋_GB2312" w:hAnsi="仿宋_GB2312" w:eastAsia="仿宋_GB2312" w:cs="仿宋_GB2312"/>
          <w:b w:val="0"/>
          <w:sz w:val="32"/>
          <w:szCs w:val="32"/>
          <w:highlight w:val="none"/>
        </w:rPr>
        <w:t>人工智能OPC（One Person Company，一人公司）创新创业生态</w:t>
      </w:r>
      <w:r>
        <w:rPr>
          <w:rFonts w:hint="eastAsia" w:ascii="仿宋_GB2312" w:hAnsi="仿宋_GB2312" w:eastAsia="仿宋_GB2312" w:cs="仿宋_GB2312"/>
          <w:b w:val="0"/>
          <w:sz w:val="32"/>
          <w:szCs w:val="32"/>
          <w:highlight w:val="none"/>
          <w:lang w:eastAsia="zh-CN"/>
        </w:rPr>
        <w:t>，</w:t>
      </w:r>
      <w:r>
        <w:rPr>
          <w:rFonts w:hint="eastAsia" w:ascii="仿宋_GB2312" w:hAnsi="仿宋_GB2312" w:eastAsia="仿宋_GB2312" w:cs="仿宋_GB2312"/>
          <w:b w:val="0"/>
          <w:sz w:val="32"/>
          <w:szCs w:val="32"/>
          <w:highlight w:val="none"/>
          <w:lang w:val="en-US" w:eastAsia="zh-CN"/>
        </w:rPr>
        <w:t>全力打造</w:t>
      </w:r>
      <w:r>
        <w:rPr>
          <w:rFonts w:hint="eastAsia" w:ascii="仿宋_GB2312" w:hAnsi="仿宋_GB2312" w:eastAsia="仿宋_GB2312" w:cs="仿宋_GB2312"/>
          <w:b w:val="0"/>
          <w:sz w:val="32"/>
          <w:szCs w:val="32"/>
          <w:highlight w:val="none"/>
        </w:rPr>
        <w:t>具有全国影响力的人工智能原生创新创业集聚区，制定本行动方案。</w:t>
      </w:r>
    </w:p>
    <w:p w14:paraId="285EC28E">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0"/>
        <w:rPr>
          <w:rFonts w:hint="eastAsia" w:ascii="黑体" w:hAnsi="黑体" w:eastAsia="黑体" w:cs="黑体"/>
          <w:sz w:val="32"/>
          <w:szCs w:val="32"/>
          <w:highlight w:val="none"/>
        </w:rPr>
      </w:pPr>
      <w:r>
        <w:rPr>
          <w:rFonts w:hint="eastAsia" w:ascii="黑体" w:hAnsi="黑体" w:eastAsia="黑体" w:cs="黑体"/>
          <w:b w:val="0"/>
          <w:sz w:val="32"/>
          <w:szCs w:val="32"/>
          <w:highlight w:val="none"/>
        </w:rPr>
        <w:t>一、总体要求</w:t>
      </w:r>
    </w:p>
    <w:p w14:paraId="3BE255BC">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sz w:val="32"/>
          <w:szCs w:val="32"/>
          <w:highlight w:val="none"/>
        </w:rPr>
        <w:t>顺应人工智能推动生产方式、企业形态和创新组织模式加速变革的新趋势，</w:t>
      </w:r>
      <w:r>
        <w:rPr>
          <w:rFonts w:hint="eastAsia" w:ascii="仿宋_GB2312" w:hAnsi="仿宋_GB2312" w:eastAsia="仿宋_GB2312" w:cs="仿宋_GB2312"/>
          <w:b w:val="0"/>
          <w:sz w:val="32"/>
          <w:szCs w:val="32"/>
          <w:highlight w:val="none"/>
          <w:lang w:val="en-US" w:eastAsia="zh-CN"/>
        </w:rPr>
        <w:t>牢牢把握怀柔综合性国家科学中心战略定位，用好“山水怀柔”和“一城两都”资源禀赋，</w:t>
      </w:r>
      <w:r>
        <w:rPr>
          <w:rFonts w:hint="eastAsia" w:ascii="仿宋_GB2312" w:hAnsi="仿宋_GB2312" w:eastAsia="仿宋_GB2312" w:cs="仿宋_GB2312"/>
          <w:b w:val="0"/>
          <w:sz w:val="32"/>
          <w:szCs w:val="32"/>
          <w:highlight w:val="none"/>
        </w:rPr>
        <w:t>促进战略科技资源、影视视听资源、国际交往资源和全域生态场景向创业要素、创新产品和市场机会转化，打响“雁栖智创”OPC品牌，塑造科学智能、智能视听、智慧文旅三张特色名片，为怀柔培育新质生产力、构建现代化产业体系注入新动能。</w:t>
      </w:r>
    </w:p>
    <w:p w14:paraId="07E1A871">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1"/>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rPr>
        <w:t>科学驱动、科产融合。</w:t>
      </w:r>
      <w:r>
        <w:rPr>
          <w:rFonts w:hint="eastAsia" w:ascii="仿宋_GB2312" w:hAnsi="仿宋_GB2312" w:eastAsia="仿宋_GB2312" w:cs="仿宋_GB2312"/>
          <w:b w:val="0"/>
          <w:sz w:val="32"/>
          <w:szCs w:val="32"/>
          <w:highlight w:val="none"/>
        </w:rPr>
        <w:t>依托怀柔科学城重大科技基础设施、科研院所、高校和创新平台，推动人工智能与科学研究深度融合，支持以OPC形式开展技术攻关和成果转化，促进科学问题转化为创业课题、科技成果转化为产品和服务，加快培育科学智能OPC集群。</w:t>
      </w:r>
    </w:p>
    <w:p w14:paraId="04ACF318">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1"/>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rPr>
        <w:t>社区承载、生态赋能。</w:t>
      </w:r>
      <w:r>
        <w:rPr>
          <w:rFonts w:hint="eastAsia" w:ascii="仿宋_GB2312" w:hAnsi="仿宋_GB2312" w:eastAsia="仿宋_GB2312" w:cs="仿宋_GB2312"/>
          <w:b w:val="0"/>
          <w:sz w:val="32"/>
          <w:szCs w:val="32"/>
          <w:highlight w:val="none"/>
        </w:rPr>
        <w:t>发挥OPC社区集聚主体、链接资源、集成服务的枢纽作用，推动创业空间、技术平台、专业服务和创新社群一体化建设，汇聚运营机构、平台企业、科研院所、专业服务机构和金融资本，为OPC</w:t>
      </w:r>
      <w:r>
        <w:rPr>
          <w:rFonts w:hint="eastAsia" w:ascii="仿宋_GB2312" w:hAnsi="仿宋_GB2312" w:eastAsia="仿宋_GB2312" w:cs="仿宋_GB2312"/>
          <w:b w:val="0"/>
          <w:sz w:val="32"/>
          <w:szCs w:val="32"/>
          <w:highlight w:val="none"/>
          <w:lang w:val="en-US" w:eastAsia="zh-CN"/>
        </w:rPr>
        <w:t>创业主体</w:t>
      </w:r>
      <w:r>
        <w:rPr>
          <w:rFonts w:hint="eastAsia" w:ascii="仿宋_GB2312" w:hAnsi="仿宋_GB2312" w:eastAsia="仿宋_GB2312" w:cs="仿宋_GB2312"/>
          <w:b w:val="0"/>
          <w:sz w:val="32"/>
          <w:szCs w:val="32"/>
          <w:highlight w:val="none"/>
        </w:rPr>
        <w:t>提供低成本、便利化、专业化的创业环境。</w:t>
      </w:r>
    </w:p>
    <w:p w14:paraId="06D59AC0">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1"/>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rPr>
        <w:t>资源开放、场景牵引。</w:t>
      </w:r>
      <w:r>
        <w:rPr>
          <w:rFonts w:hint="eastAsia" w:ascii="仿宋_GB2312" w:hAnsi="仿宋_GB2312" w:eastAsia="仿宋_GB2312" w:cs="仿宋_GB2312"/>
          <w:b w:val="0"/>
          <w:sz w:val="32"/>
          <w:szCs w:val="32"/>
          <w:highlight w:val="none"/>
        </w:rPr>
        <w:t>推动</w:t>
      </w:r>
      <w:bookmarkStart w:id="0" w:name="_GoBack"/>
      <w:bookmarkEnd w:id="0"/>
      <w:r>
        <w:rPr>
          <w:rFonts w:hint="eastAsia" w:ascii="仿宋_GB2312" w:hAnsi="仿宋_GB2312" w:eastAsia="仿宋_GB2312" w:cs="仿宋_GB2312"/>
          <w:b w:val="0"/>
          <w:sz w:val="32"/>
          <w:szCs w:val="32"/>
          <w:highlight w:val="none"/>
        </w:rPr>
        <w:t>科学数据、技术平台、视听制作资源和特色应用场景向OPC</w:t>
      </w:r>
      <w:r>
        <w:rPr>
          <w:rFonts w:hint="eastAsia" w:ascii="仿宋_GB2312" w:hAnsi="仿宋_GB2312" w:eastAsia="仿宋_GB2312" w:cs="仿宋_GB2312"/>
          <w:b w:val="0"/>
          <w:sz w:val="32"/>
          <w:szCs w:val="32"/>
          <w:highlight w:val="none"/>
          <w:lang w:val="en-US" w:eastAsia="zh-CN"/>
        </w:rPr>
        <w:t>企业</w:t>
      </w:r>
      <w:r>
        <w:rPr>
          <w:rFonts w:hint="eastAsia" w:ascii="仿宋_GB2312" w:hAnsi="仿宋_GB2312" w:eastAsia="仿宋_GB2312" w:cs="仿宋_GB2312"/>
          <w:b w:val="0"/>
          <w:sz w:val="32"/>
          <w:szCs w:val="32"/>
          <w:highlight w:val="none"/>
        </w:rPr>
        <w:t>有序开放，规范AI视听素材、语料使用，支持开展小切口创新、短周期验证和快速产品迭代，以场景带产品、以应用促成长。</w:t>
      </w:r>
    </w:p>
    <w:p w14:paraId="530A77C7">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1"/>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rPr>
        <w:t>生态宜居、人才友好。</w:t>
      </w:r>
      <w:r>
        <w:rPr>
          <w:rFonts w:hint="eastAsia" w:ascii="仿宋_GB2312" w:hAnsi="仿宋_GB2312" w:eastAsia="仿宋_GB2312" w:cs="仿宋_GB2312"/>
          <w:b w:val="0"/>
          <w:sz w:val="32"/>
          <w:szCs w:val="32"/>
          <w:highlight w:val="none"/>
        </w:rPr>
        <w:t>发挥怀柔生态环境、科学文化和国际交往优势，完善住房、教育医疗、交通通勤、休闲消费等配套服务，营造职住平衡、开放包容、宜居宜业的发展环境，吸引更多优秀人才来怀工作、在怀创业、长期发展。</w:t>
      </w:r>
    </w:p>
    <w:p w14:paraId="04E3BAA1">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0"/>
        <w:rPr>
          <w:rFonts w:hint="eastAsia" w:ascii="黑体" w:hAnsi="黑体" w:eastAsia="黑体" w:cs="黑体"/>
          <w:b w:val="0"/>
          <w:sz w:val="32"/>
          <w:szCs w:val="32"/>
          <w:highlight w:val="none"/>
        </w:rPr>
      </w:pPr>
      <w:r>
        <w:rPr>
          <w:rFonts w:hint="eastAsia" w:ascii="黑体" w:hAnsi="黑体" w:eastAsia="黑体" w:cs="黑体"/>
          <w:b w:val="0"/>
          <w:sz w:val="32"/>
          <w:szCs w:val="32"/>
          <w:highlight w:val="none"/>
          <w:lang w:val="en-US" w:eastAsia="zh-CN"/>
        </w:rPr>
        <w:t>二、</w:t>
      </w:r>
      <w:r>
        <w:rPr>
          <w:rFonts w:hint="eastAsia" w:ascii="黑体" w:hAnsi="黑体" w:eastAsia="黑体" w:cs="黑体"/>
          <w:b w:val="0"/>
          <w:sz w:val="32"/>
          <w:szCs w:val="32"/>
          <w:highlight w:val="none"/>
        </w:rPr>
        <w:t>发展目标</w:t>
      </w:r>
    </w:p>
    <w:p w14:paraId="5E229491">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sz w:val="32"/>
          <w:szCs w:val="32"/>
          <w:highlight w:val="none"/>
        </w:rPr>
        <w:t>到2028年，基本形成与怀柔综合性国家科学中心、中国影都和生态文旅资源相匹配的人工智能OPC创新发展体系，建成“核心社区引领、特色节点支撑、各类主体参与”的社区矩阵，形成一批具有成长性的AI原生创业主体、一批可复制推广的应用场景和一批具有行业影响力的创新案例。“雁栖智创”OPC品牌影响力持续提升，科学智能、智能视听、智慧文旅三类特色方向协同发展，怀柔成为首都科技人才和创意人才开展AI原生创业的重要承载地。</w:t>
      </w:r>
    </w:p>
    <w:p w14:paraId="1074BAC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right="0" w:rightChars="0" w:firstLine="640" w:firstLineChars="200"/>
        <w:jc w:val="both"/>
        <w:textAlignment w:val="auto"/>
        <w:outlineLvl w:val="0"/>
        <w:rPr>
          <w:rFonts w:hint="eastAsia" w:ascii="黑体" w:hAnsi="黑体" w:eastAsia="黑体" w:cs="黑体"/>
          <w:b w:val="0"/>
          <w:sz w:val="32"/>
          <w:szCs w:val="32"/>
          <w:highlight w:val="none"/>
        </w:rPr>
      </w:pPr>
      <w:r>
        <w:rPr>
          <w:rFonts w:hint="eastAsia" w:ascii="黑体" w:hAnsi="黑体" w:eastAsia="黑体" w:cs="黑体"/>
          <w:b w:val="0"/>
          <w:sz w:val="32"/>
          <w:szCs w:val="32"/>
          <w:highlight w:val="none"/>
          <w:lang w:val="en-US" w:eastAsia="zh-CN"/>
        </w:rPr>
        <w:t>三</w:t>
      </w:r>
      <w:r>
        <w:rPr>
          <w:rFonts w:hint="eastAsia" w:ascii="黑体" w:hAnsi="黑体" w:eastAsia="黑体" w:cs="黑体"/>
          <w:b w:val="0"/>
          <w:sz w:val="32"/>
          <w:szCs w:val="32"/>
          <w:highlight w:val="none"/>
        </w:rPr>
        <w:t>、重点任务</w:t>
      </w:r>
    </w:p>
    <w:p w14:paraId="327C727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right="0" w:rightChars="0" w:firstLine="640" w:firstLineChars="200"/>
        <w:jc w:val="both"/>
        <w:textAlignment w:val="auto"/>
        <w:outlineLvl w:val="1"/>
        <w:rPr>
          <w:rFonts w:hint="eastAsia" w:ascii="楷体_GB2312" w:hAnsi="楷体_GB2312" w:eastAsia="楷体_GB2312" w:cs="楷体_GB2312"/>
          <w:b w:val="0"/>
          <w:bCs/>
          <w:sz w:val="32"/>
          <w:szCs w:val="32"/>
          <w:highlight w:val="none"/>
        </w:rPr>
      </w:pPr>
      <w:r>
        <w:rPr>
          <w:rFonts w:hint="eastAsia" w:ascii="楷体_GB2312" w:hAnsi="楷体_GB2312" w:eastAsia="楷体_GB2312" w:cs="楷体_GB2312"/>
          <w:b w:val="0"/>
          <w:bCs/>
          <w:sz w:val="32"/>
          <w:szCs w:val="32"/>
          <w:highlight w:val="none"/>
        </w:rPr>
        <w:t>（一）建设高品质创业载体，构建“雁栖智创”社区矩阵</w:t>
      </w:r>
    </w:p>
    <w:p w14:paraId="63BB8D01">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rPr>
        <w:t>1.构建“双核多点”社区布局。</w:t>
      </w:r>
      <w:r>
        <w:rPr>
          <w:rFonts w:hint="eastAsia" w:ascii="仿宋_GB2312" w:hAnsi="仿宋_GB2312" w:eastAsia="仿宋_GB2312" w:cs="仿宋_GB2312"/>
          <w:sz w:val="32"/>
          <w:szCs w:val="32"/>
          <w:highlight w:val="none"/>
        </w:rPr>
        <w:t>重点建设怀柔科学城OPC成长社区和中国影都视听OPC成长社区。依托怀柔科学城重大科技基础设施、科研院所和创新平台，集聚科学智能原生OPC，打造“离科学最近”的科学智能创业社区。依托中国影都产业基础和应用场景，集聚智能视听原生OPC，推动AI影视创制、虚拟制作和数字内容生产，打造北京“大视听”轻量化创业标杆和全国智能视听OPC集聚高地。</w:t>
      </w:r>
      <w:r>
        <w:rPr>
          <w:rFonts w:hint="eastAsia" w:ascii="仿宋_GB2312" w:hAnsi="仿宋_GB2312" w:eastAsia="仿宋_GB2312" w:cs="仿宋_GB2312"/>
          <w:b w:val="0"/>
          <w:sz w:val="32"/>
          <w:szCs w:val="32"/>
          <w:highlight w:val="none"/>
        </w:rPr>
        <w:t>支持长城创客小镇、长城国际动漫谷、区属国企、相关镇乡以及符合条件的产业园区、孵化器、科研机构、企业和其他市场主体，依托自身资源建设专业化OPC成长社区，形成双核引领、特色鲜明、多点协同的空间格局。</w:t>
      </w:r>
    </w:p>
    <w:p w14:paraId="17BE2988">
      <w:pPr>
        <w:pStyle w:val="4"/>
        <w:keepNext w:val="0"/>
        <w:keepLines w:val="0"/>
        <w:pageBreakBefore w:val="0"/>
        <w:widowControl w:val="0"/>
        <w:suppressLineNumbers w:val="0"/>
        <w:kinsoku/>
        <w:wordWrap/>
        <w:overflowPunct/>
        <w:topLinePunct w:val="0"/>
        <w:autoSpaceDE/>
        <w:autoSpaceDN/>
        <w:bidi w:val="0"/>
        <w:spacing w:before="0"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rPr>
        <w:t>2.提升社区专业化运营和集成服务水平。</w:t>
      </w:r>
      <w:r>
        <w:rPr>
          <w:rFonts w:hint="eastAsia" w:ascii="仿宋_GB2312" w:hAnsi="仿宋_GB2312" w:eastAsia="仿宋_GB2312" w:cs="仿宋_GB2312"/>
          <w:b w:val="0"/>
          <w:sz w:val="32"/>
          <w:szCs w:val="32"/>
          <w:highlight w:val="none"/>
        </w:rPr>
        <w:t>发挥区属国有企业和市场化专业机构作用，引育专业运营团队，健全项目招募、入驻评估、分类服务、动态退出和跟踪陪伴机制。依托区政务服务中心和怀柔科学城政务服务e站设置人工智能OPC开办服务专窗，联动北京市中小企业公共服务平台和区文促中心，完善“金钥匙”企业服务管家机制，衔接市级企业登记便利化服务，集成提供登记注册、政策咨询、帮办代办，以及影视项目备案、微短剧备案、版权登记、视听内容合规咨询等服务</w:t>
      </w:r>
      <w:r>
        <w:rPr>
          <w:rFonts w:hint="eastAsia" w:ascii="仿宋_GB2312" w:hAnsi="仿宋_GB2312" w:eastAsia="仿宋_GB2312" w:cs="仿宋_GB2312"/>
          <w:b w:val="0"/>
          <w:sz w:val="32"/>
          <w:szCs w:val="32"/>
          <w:highlight w:val="none"/>
          <w:lang w:eastAsia="zh-CN"/>
        </w:rPr>
        <w:t>，</w:t>
      </w:r>
      <w:r>
        <w:rPr>
          <w:rFonts w:hint="eastAsia" w:ascii="仿宋_GB2312" w:hAnsi="仿宋_GB2312" w:eastAsia="仿宋_GB2312" w:cs="仿宋_GB2312"/>
          <w:b w:val="0"/>
          <w:sz w:val="32"/>
          <w:szCs w:val="32"/>
          <w:highlight w:val="none"/>
        </w:rPr>
        <w:t>推动企业开办全流程“一日办结”、一表填报和高频事项集成办理。围绕</w:t>
      </w:r>
      <w:r>
        <w:rPr>
          <w:rFonts w:hint="eastAsia" w:ascii="仿宋_GB2312" w:hAnsi="仿宋_GB2312" w:eastAsia="仿宋_GB2312" w:cs="仿宋_GB2312"/>
          <w:b w:val="0"/>
          <w:sz w:val="32"/>
          <w:szCs w:val="32"/>
          <w:highlight w:val="none"/>
          <w:lang w:val="en-US" w:eastAsia="zh-CN"/>
        </w:rPr>
        <w:t>人工智能</w:t>
      </w:r>
      <w:r>
        <w:rPr>
          <w:rFonts w:hint="eastAsia" w:ascii="仿宋_GB2312" w:hAnsi="仿宋_GB2312" w:eastAsia="仿宋_GB2312" w:cs="仿宋_GB2312"/>
          <w:b w:val="0"/>
          <w:sz w:val="32"/>
          <w:szCs w:val="32"/>
          <w:highlight w:val="none"/>
        </w:rPr>
        <w:t>OPC创办和初期发展需求，集成提供低成本空间、商务秘书、财税法律、知识产权和品牌营销等服务，</w:t>
      </w:r>
      <w:r>
        <w:rPr>
          <w:rFonts w:hint="eastAsia" w:ascii="仿宋_GB2312" w:hAnsi="仿宋_GB2312" w:eastAsia="仿宋_GB2312" w:cs="仿宋_GB2312"/>
          <w:b w:val="0"/>
          <w:sz w:val="32"/>
          <w:szCs w:val="32"/>
          <w:highlight w:val="none"/>
          <w:lang w:eastAsia="zh-CN"/>
        </w:rPr>
        <w:t>常态化开展技术沙龙、孵化加速、市场对接、产业论坛等生态活动，</w:t>
      </w:r>
      <w:r>
        <w:rPr>
          <w:rFonts w:hint="eastAsia" w:ascii="仿宋_GB2312" w:hAnsi="仿宋_GB2312" w:eastAsia="仿宋_GB2312" w:cs="仿宋_GB2312"/>
          <w:b w:val="0"/>
          <w:sz w:val="32"/>
          <w:szCs w:val="32"/>
          <w:highlight w:val="none"/>
        </w:rPr>
        <w:t>营造低成本、便利化、有活力的创业环境。</w:t>
      </w:r>
    </w:p>
    <w:p w14:paraId="2BFE446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right="0" w:rightChars="0" w:firstLine="640" w:firstLineChars="200"/>
        <w:jc w:val="both"/>
        <w:textAlignment w:val="auto"/>
        <w:outlineLvl w:val="1"/>
        <w:rPr>
          <w:rFonts w:hint="eastAsia" w:ascii="楷体_GB2312" w:hAnsi="楷体_GB2312" w:eastAsia="楷体_GB2312" w:cs="楷体_GB2312"/>
          <w:b w:val="0"/>
          <w:bCs/>
          <w:sz w:val="32"/>
          <w:szCs w:val="32"/>
          <w:highlight w:val="none"/>
        </w:rPr>
      </w:pPr>
      <w:r>
        <w:rPr>
          <w:rFonts w:hint="eastAsia" w:ascii="楷体_GB2312" w:hAnsi="楷体_GB2312" w:eastAsia="楷体_GB2312" w:cs="楷体_GB2312"/>
          <w:b w:val="0"/>
          <w:bCs/>
          <w:sz w:val="32"/>
          <w:szCs w:val="32"/>
          <w:highlight w:val="none"/>
        </w:rPr>
        <w:t>（二）培育AI原生创业主体，完善全周期成长服务</w:t>
      </w:r>
    </w:p>
    <w:p w14:paraId="56A0236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rPr>
        <w:t>3.壮大AI原生创业主体。</w:t>
      </w:r>
      <w:r>
        <w:rPr>
          <w:rFonts w:hint="eastAsia" w:ascii="仿宋_GB2312" w:hAnsi="仿宋_GB2312" w:eastAsia="仿宋_GB2312" w:cs="仿宋_GB2312"/>
          <w:b w:val="0"/>
          <w:sz w:val="32"/>
          <w:szCs w:val="32"/>
          <w:highlight w:val="none"/>
        </w:rPr>
        <w:t>面向高校师生、科研人员</w:t>
      </w:r>
      <w:r>
        <w:rPr>
          <w:rFonts w:hint="eastAsia" w:ascii="仿宋_GB2312" w:hAnsi="仿宋_GB2312" w:eastAsia="仿宋_GB2312" w:cs="仿宋_GB2312"/>
          <w:b w:val="0"/>
          <w:sz w:val="32"/>
          <w:szCs w:val="32"/>
          <w:highlight w:val="none"/>
          <w:lang w:eastAsia="zh-CN"/>
        </w:rPr>
        <w:t>，</w:t>
      </w:r>
      <w:r>
        <w:rPr>
          <w:rFonts w:hint="eastAsia" w:ascii="仿宋_GB2312" w:hAnsi="仿宋_GB2312" w:eastAsia="仿宋_GB2312" w:cs="仿宋_GB2312"/>
          <w:b w:val="0"/>
          <w:sz w:val="32"/>
          <w:szCs w:val="32"/>
          <w:highlight w:val="none"/>
        </w:rPr>
        <w:t>海外归国人才、专业技术人才、影视视听人才和文创文旅人才等，依托怀柔战略科技资源、视听产业基础和生态文旅场景发现、吸引和集聚项目。汇聚创业导师、产业专家、技术经理人、创作者和专业服务人才，建立“项目发现—分类评价—社区孵化—场景验证—成长加速”培育链条，促进科研、产业、创意和市场跨界协作，推动科技成果、创意内容和场景解决方案加快转化。</w:t>
      </w:r>
    </w:p>
    <w:p w14:paraId="3964B9A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rPr>
        <w:t>4.完善宜居宜业服务保障。</w:t>
      </w:r>
      <w:r>
        <w:rPr>
          <w:rFonts w:hint="eastAsia" w:ascii="仿宋_GB2312" w:hAnsi="仿宋_GB2312" w:eastAsia="仿宋_GB2312" w:cs="仿宋_GB2312"/>
          <w:b w:val="0"/>
          <w:sz w:val="32"/>
          <w:szCs w:val="32"/>
          <w:highlight w:val="none"/>
        </w:rPr>
        <w:t>衔接“雁栖青创无忧十条”“雁栖青年友好十条”等政策，统筹人才公寓、保障性租赁住房，为符合条件的OPC创业者提供来怀短住、创业周转和长期租住等分类保障。用好“雁栖卡”“雁栖云客厅”等服务载体，在医疗健康、子女教育、交通出行、文化旅游、交流交往和国际服务等方面提供便利，完善房源匹配和动态退出机制，构建职住商服融合的“10分钟办公生活圈”，让创业者在怀柔安心创业、舒心生活、专心发展。</w:t>
      </w:r>
    </w:p>
    <w:p w14:paraId="2A2DFEA6">
      <w:pPr>
        <w:pStyle w:val="4"/>
        <w:keepNext w:val="0"/>
        <w:keepLines w:val="0"/>
        <w:pageBreakBefore w:val="0"/>
        <w:widowControl w:val="0"/>
        <w:suppressLineNumbers w:val="0"/>
        <w:kinsoku/>
        <w:wordWrap/>
        <w:overflowPunct/>
        <w:topLinePunct w:val="0"/>
        <w:autoSpaceDE/>
        <w:autoSpaceDN/>
        <w:bidi w:val="0"/>
        <w:spacing w:before="0"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5.强化金融</w:t>
      </w:r>
      <w:r>
        <w:rPr>
          <w:rFonts w:hint="eastAsia" w:ascii="仿宋_GB2312" w:hAnsi="仿宋_GB2312" w:eastAsia="仿宋_GB2312" w:cs="仿宋_GB2312"/>
          <w:b/>
          <w:bCs/>
          <w:sz w:val="32"/>
          <w:szCs w:val="32"/>
          <w:highlight w:val="none"/>
          <w:lang w:val="en-US" w:eastAsia="zh-CN"/>
        </w:rPr>
        <w:t>支持</w:t>
      </w:r>
      <w:r>
        <w:rPr>
          <w:rFonts w:hint="eastAsia" w:ascii="仿宋_GB2312" w:hAnsi="仿宋_GB2312" w:eastAsia="仿宋_GB2312" w:cs="仿宋_GB2312"/>
          <w:b/>
          <w:bCs/>
          <w:sz w:val="32"/>
          <w:szCs w:val="32"/>
          <w:highlight w:val="none"/>
        </w:rPr>
        <w:t>和接续培育。</w:t>
      </w:r>
      <w:r>
        <w:rPr>
          <w:rFonts w:hint="eastAsia" w:ascii="仿宋_GB2312" w:hAnsi="仿宋_GB2312" w:eastAsia="仿宋_GB2312" w:cs="仿宋_GB2312"/>
          <w:b w:val="0"/>
          <w:sz w:val="32"/>
          <w:szCs w:val="32"/>
          <w:highlight w:val="none"/>
        </w:rPr>
        <w:t>建立OPC项目常态化筛选、融资对接和跟踪培育机制，加强北京市人工智能产业投资基金、科技创新基金与</w:t>
      </w:r>
      <w:r>
        <w:rPr>
          <w:rFonts w:hint="eastAsia" w:ascii="仿宋_GB2312" w:hAnsi="仿宋_GB2312" w:eastAsia="仿宋_GB2312" w:cs="仿宋_GB2312"/>
          <w:b w:val="0"/>
          <w:sz w:val="32"/>
          <w:szCs w:val="32"/>
          <w:highlight w:val="none"/>
          <w:lang w:val="en-US" w:eastAsia="zh-CN"/>
        </w:rPr>
        <w:t>怀柔</w:t>
      </w:r>
      <w:r>
        <w:rPr>
          <w:rFonts w:hint="eastAsia" w:ascii="仿宋_GB2312" w:hAnsi="仿宋_GB2312" w:eastAsia="仿宋_GB2312" w:cs="仿宋_GB2312"/>
          <w:b w:val="0"/>
          <w:sz w:val="32"/>
          <w:szCs w:val="32"/>
          <w:highlight w:val="none"/>
        </w:rPr>
        <w:t>区青年基金、政府引导基金联动，引导创投机构和社会资本重点支持科学智能、智能视听、智慧文旅及相关交叉领域种子期、初创期项目。衔接北京市企业融资综合信用服务平台OPC金融服务专区，用好贷款贴息、创业担保贷款和政府性融资担保等政策工具，推广“OPC贷”、科技研发贷、知识产权质押贷款和科技保险等适配性产品。</w:t>
      </w:r>
      <w:r>
        <w:rPr>
          <w:rFonts w:hint="eastAsia" w:ascii="仿宋_GB2312" w:hAnsi="仿宋_GB2312" w:eastAsia="仿宋_GB2312" w:cs="仿宋_GB2312"/>
          <w:sz w:val="32"/>
          <w:szCs w:val="32"/>
          <w:highlight w:val="none"/>
        </w:rPr>
        <w:t>建立人工智能OPC项目储备库，将</w:t>
      </w:r>
      <w:r>
        <w:rPr>
          <w:rFonts w:hint="eastAsia" w:ascii="仿宋_GB2312" w:hAnsi="仿宋_GB2312" w:eastAsia="仿宋_GB2312" w:cs="仿宋_GB2312"/>
          <w:sz w:val="32"/>
          <w:szCs w:val="32"/>
          <w:highlight w:val="none"/>
          <w:lang w:val="en-US" w:eastAsia="zh-CN"/>
        </w:rPr>
        <w:t>尚</w:t>
      </w:r>
      <w:r>
        <w:rPr>
          <w:rFonts w:hint="eastAsia" w:ascii="仿宋_GB2312" w:hAnsi="仿宋_GB2312" w:eastAsia="仿宋_GB2312" w:cs="仿宋_GB2312"/>
          <w:sz w:val="32"/>
          <w:szCs w:val="32"/>
          <w:highlight w:val="none"/>
        </w:rPr>
        <w:t>未达到认定条件但具有一定创新能力和成长潜力的种子项目纳入储备，提供社区服务、培训辅导、资源对接、场景验证等非资金支持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达到认定条件后，可按规定申请相关政策支持。对成长性较好的OPC</w:t>
      </w:r>
      <w:r>
        <w:rPr>
          <w:rFonts w:hint="eastAsia" w:ascii="仿宋_GB2312" w:hAnsi="仿宋_GB2312" w:eastAsia="仿宋_GB2312" w:cs="仿宋_GB2312"/>
          <w:sz w:val="32"/>
          <w:szCs w:val="32"/>
          <w:highlight w:val="none"/>
          <w:lang w:val="en-US" w:eastAsia="zh-CN"/>
        </w:rPr>
        <w:t>企业</w:t>
      </w:r>
      <w:r>
        <w:rPr>
          <w:rFonts w:hint="eastAsia" w:ascii="仿宋_GB2312" w:hAnsi="仿宋_GB2312" w:eastAsia="仿宋_GB2312" w:cs="仿宋_GB2312"/>
          <w:sz w:val="32"/>
          <w:szCs w:val="32"/>
          <w:highlight w:val="none"/>
        </w:rPr>
        <w:t>给予接续培育，支持向高新技术企业、专精特新中小企业梯次发展。</w:t>
      </w:r>
    </w:p>
    <w:p w14:paraId="411C2900">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1"/>
        <w:rPr>
          <w:rFonts w:hint="eastAsia" w:ascii="楷体_GB2312" w:hAnsi="楷体_GB2312" w:eastAsia="楷体_GB2312" w:cs="楷体_GB2312"/>
          <w:b w:val="0"/>
          <w:bCs/>
          <w:sz w:val="32"/>
          <w:szCs w:val="32"/>
          <w:highlight w:val="none"/>
        </w:rPr>
      </w:pPr>
      <w:r>
        <w:rPr>
          <w:rFonts w:hint="eastAsia" w:ascii="楷体_GB2312" w:hAnsi="楷体_GB2312" w:eastAsia="楷体_GB2312" w:cs="楷体_GB2312"/>
          <w:b w:val="0"/>
          <w:bCs/>
          <w:sz w:val="32"/>
          <w:szCs w:val="32"/>
          <w:highlight w:val="none"/>
        </w:rPr>
        <w:t>（三）强化智能</w:t>
      </w:r>
      <w:r>
        <w:rPr>
          <w:rFonts w:hint="eastAsia" w:ascii="楷体_GB2312" w:hAnsi="楷体_GB2312" w:eastAsia="楷体_GB2312" w:cs="楷体_GB2312"/>
          <w:b w:val="0"/>
          <w:bCs/>
          <w:sz w:val="32"/>
          <w:szCs w:val="32"/>
          <w:highlight w:val="none"/>
          <w:lang w:val="en-US" w:eastAsia="zh-CN"/>
        </w:rPr>
        <w:t>要素</w:t>
      </w:r>
      <w:r>
        <w:rPr>
          <w:rFonts w:hint="eastAsia" w:ascii="楷体_GB2312" w:hAnsi="楷体_GB2312" w:eastAsia="楷体_GB2312" w:cs="楷体_GB2312"/>
          <w:b w:val="0"/>
          <w:bCs/>
          <w:sz w:val="32"/>
          <w:szCs w:val="32"/>
          <w:highlight w:val="none"/>
        </w:rPr>
        <w:t>支撑，降低AI原生创业成本</w:t>
      </w:r>
    </w:p>
    <w:p w14:paraId="014DA6F1">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rPr>
          <w:rFonts w:hint="eastAsia"/>
          <w:sz w:val="32"/>
          <w:szCs w:val="32"/>
          <w:highlight w:val="none"/>
        </w:rPr>
      </w:pPr>
      <w:r>
        <w:rPr>
          <w:rFonts w:hint="eastAsia" w:ascii="仿宋_GB2312" w:hAnsi="仿宋_GB2312" w:eastAsia="仿宋_GB2312" w:cs="仿宋_GB2312"/>
          <w:b/>
          <w:bCs/>
          <w:sz w:val="32"/>
          <w:szCs w:val="32"/>
          <w:highlight w:val="none"/>
        </w:rPr>
        <w:t>6.优化区内外协同算力供给</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val="0"/>
          <w:bCs w:val="0"/>
          <w:sz w:val="32"/>
          <w:szCs w:val="32"/>
          <w:highlight w:val="none"/>
        </w:rPr>
        <w:t>加快提升算力供给能力，统筹推进首发云计算中心、北京超级云计算中心等项目建设，面向科学智能、智能视听等重点领域建设一批算力中心，谋划建设万P级算力集群，推动存量资源提质增效。</w:t>
      </w:r>
      <w:r>
        <w:rPr>
          <w:rFonts w:hint="eastAsia" w:ascii="仿宋_GB2312" w:hAnsi="仿宋_GB2312" w:eastAsia="仿宋_GB2312" w:cs="仿宋_GB2312"/>
          <w:sz w:val="32"/>
          <w:szCs w:val="32"/>
          <w:highlight w:val="none"/>
        </w:rPr>
        <w:t>对接区内现有视听算力资源</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重点保障视频渲染、AI剪辑、数字人生成、虚拟拍摄等影视渲染类算力供给</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sz w:val="32"/>
          <w:szCs w:val="32"/>
          <w:highlight w:val="none"/>
        </w:rPr>
        <w:t>加强与北京市算力互联互通平台及亦庄、张北、乌兰察布等算力资源协作，完善供需对接、弹性调度和服务保障机制，为OPC</w:t>
      </w:r>
      <w:r>
        <w:rPr>
          <w:rFonts w:hint="eastAsia" w:ascii="仿宋_GB2312" w:hAnsi="仿宋_GB2312" w:eastAsia="仿宋_GB2312" w:cs="仿宋_GB2312"/>
          <w:b w:val="0"/>
          <w:sz w:val="32"/>
          <w:szCs w:val="32"/>
          <w:highlight w:val="none"/>
          <w:lang w:val="en-US" w:eastAsia="zh-CN"/>
        </w:rPr>
        <w:t>企业</w:t>
      </w:r>
      <w:r>
        <w:rPr>
          <w:rFonts w:hint="eastAsia" w:ascii="仿宋_GB2312" w:hAnsi="仿宋_GB2312" w:eastAsia="仿宋_GB2312" w:cs="仿宋_GB2312"/>
          <w:b w:val="0"/>
          <w:sz w:val="32"/>
          <w:szCs w:val="32"/>
          <w:highlight w:val="none"/>
        </w:rPr>
        <w:t>开展模型调用、智能体研发、科学计算和产品测试提供灵活、普惠、可计量的算力服务。</w:t>
      </w:r>
    </w:p>
    <w:p w14:paraId="26AAF0B5">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rPr>
        <w:t>7.推动科学数据和特色数据有序开放利用。</w:t>
      </w:r>
      <w:r>
        <w:rPr>
          <w:rFonts w:hint="eastAsia" w:ascii="仿宋_GB2312" w:hAnsi="仿宋_GB2312" w:eastAsia="仿宋_GB2312" w:cs="仿宋_GB2312"/>
          <w:b w:val="0"/>
          <w:sz w:val="32"/>
          <w:szCs w:val="32"/>
          <w:highlight w:val="none"/>
        </w:rPr>
        <w:t>依托大科学装置、科研院所和高校，发挥科学数据银行、国家空间科学数据中心等设施平台作用，建设科研数据专区，建立可开放科学数据目录、授权使用和供需对接机制，推动数据集、科研工具和验证环境在权属清晰、安全可控的前提下有序开放。加强科学数据治理和开发利用，依法依规开发影视视听、生态文旅等特色数据，完善分类分级、隐私保护、版权归属和安全管理规则，推动数据资源转化为可调用的创新要素。</w:t>
      </w:r>
    </w:p>
    <w:p w14:paraId="6C9F580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rPr>
        <w:t>8.完善模型工具资源供给。</w:t>
      </w:r>
      <w:r>
        <w:rPr>
          <w:rFonts w:hint="eastAsia" w:ascii="仿宋_GB2312" w:hAnsi="仿宋_GB2312" w:eastAsia="仿宋_GB2312" w:cs="仿宋_GB2312"/>
          <w:b w:val="0"/>
          <w:sz w:val="32"/>
          <w:szCs w:val="32"/>
          <w:highlight w:val="none"/>
        </w:rPr>
        <w:t>整合区内外平台企业、科研院所、专业服务机构和OPC社区资源，建立模型服务、智能体开发平台、数字员工服务和人工智能开发工具清单，为OPC</w:t>
      </w:r>
      <w:r>
        <w:rPr>
          <w:rFonts w:hint="eastAsia" w:ascii="仿宋_GB2312" w:hAnsi="仿宋_GB2312" w:eastAsia="仿宋_GB2312" w:cs="仿宋_GB2312"/>
          <w:b w:val="0"/>
          <w:sz w:val="32"/>
          <w:szCs w:val="32"/>
          <w:highlight w:val="none"/>
          <w:lang w:val="en-US" w:eastAsia="zh-CN"/>
        </w:rPr>
        <w:t>企业</w:t>
      </w:r>
      <w:r>
        <w:rPr>
          <w:rFonts w:hint="eastAsia" w:ascii="仿宋_GB2312" w:hAnsi="仿宋_GB2312" w:eastAsia="仿宋_GB2312" w:cs="仿宋_GB2312"/>
          <w:b w:val="0"/>
          <w:sz w:val="32"/>
          <w:szCs w:val="32"/>
          <w:highlight w:val="none"/>
        </w:rPr>
        <w:t>提供模型选型、开发适配、部署调优和安全评测等服务。将词元（Token）调用纳入资源清单和使用评价，通过资源补贴、服务商让利和按量计费等方式，降低模型调用、工具使用和研发试错成本。健全服务商遴选、统一对接和使用评价机制，做好北京市OPC“全栈资源包”等市级政策衔接。</w:t>
      </w:r>
    </w:p>
    <w:p w14:paraId="5E657798">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1"/>
        <w:rPr>
          <w:rFonts w:hint="eastAsia" w:ascii="楷体_GB2312" w:hAnsi="楷体_GB2312" w:eastAsia="楷体_GB2312" w:cs="楷体_GB2312"/>
          <w:b w:val="0"/>
          <w:bCs/>
          <w:sz w:val="32"/>
          <w:szCs w:val="32"/>
          <w:highlight w:val="none"/>
        </w:rPr>
      </w:pPr>
      <w:r>
        <w:rPr>
          <w:rFonts w:hint="eastAsia" w:ascii="楷体_GB2312" w:hAnsi="楷体_GB2312" w:eastAsia="楷体_GB2312" w:cs="楷体_GB2312"/>
          <w:b w:val="0"/>
          <w:bCs/>
          <w:sz w:val="32"/>
          <w:szCs w:val="32"/>
          <w:highlight w:val="none"/>
        </w:rPr>
        <w:t>（四）强化场景赛事牵引，促进成果转化和品牌塑造</w:t>
      </w:r>
    </w:p>
    <w:p w14:paraId="2692BBB8">
      <w:pPr>
        <w:pStyle w:val="4"/>
        <w:keepNext w:val="0"/>
        <w:keepLines w:val="0"/>
        <w:pageBreakBefore w:val="0"/>
        <w:widowControl w:val="0"/>
        <w:kinsoku/>
        <w:wordWrap/>
        <w:overflowPunct/>
        <w:topLinePunct w:val="0"/>
        <w:autoSpaceDE/>
        <w:autoSpaceDN/>
        <w:bidi w:val="0"/>
        <w:spacing w:before="0"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sz w:val="32"/>
          <w:szCs w:val="32"/>
          <w:highlight w:val="none"/>
        </w:rPr>
      </w:pPr>
      <w:r>
        <w:rPr>
          <w:rFonts w:hint="eastAsia" w:ascii="仿宋_GB2312" w:hAnsi="仿宋_GB2312" w:eastAsia="仿宋_GB2312" w:cs="仿宋_GB2312"/>
          <w:b/>
          <w:bCs/>
          <w:sz w:val="32"/>
          <w:szCs w:val="32"/>
          <w:highlight w:val="none"/>
          <w:lang w:val="en-US" w:eastAsia="zh-CN"/>
        </w:rPr>
        <w:t>9</w:t>
      </w:r>
      <w:r>
        <w:rPr>
          <w:rFonts w:hint="eastAsia" w:ascii="仿宋_GB2312" w:hAnsi="仿宋_GB2312" w:eastAsia="仿宋_GB2312" w:cs="仿宋_GB2312"/>
          <w:b/>
          <w:bCs/>
          <w:sz w:val="32"/>
          <w:szCs w:val="32"/>
          <w:highlight w:val="none"/>
        </w:rPr>
        <w:t>.健全场景供需对接和成果转化机制。</w:t>
      </w:r>
      <w:r>
        <w:rPr>
          <w:rFonts w:hint="eastAsia" w:ascii="仿宋_GB2312" w:hAnsi="仿宋_GB2312" w:eastAsia="仿宋_GB2312" w:cs="仿宋_GB2312"/>
          <w:b w:val="0"/>
          <w:bCs w:val="0"/>
          <w:sz w:val="32"/>
          <w:szCs w:val="32"/>
          <w:highlight w:val="none"/>
          <w:lang w:val="en-US" w:eastAsia="zh-CN"/>
        </w:rPr>
        <w:t>依</w:t>
      </w:r>
      <w:r>
        <w:rPr>
          <w:rFonts w:hint="eastAsia" w:ascii="仿宋_GB2312" w:hAnsi="仿宋_GB2312" w:eastAsia="仿宋_GB2312" w:cs="仿宋_GB2312"/>
          <w:sz w:val="32"/>
          <w:szCs w:val="32"/>
          <w:highlight w:val="none"/>
          <w:lang w:eastAsia="zh-CN"/>
        </w:rPr>
        <w:t>托</w:t>
      </w:r>
      <w:r>
        <w:rPr>
          <w:rFonts w:hint="eastAsia" w:ascii="仿宋_GB2312" w:hAnsi="仿宋_GB2312" w:eastAsia="仿宋_GB2312" w:cs="仿宋_GB2312"/>
          <w:i w:val="0"/>
          <w:caps w:val="0"/>
          <w:spacing w:val="0"/>
          <w:sz w:val="32"/>
          <w:szCs w:val="32"/>
          <w:highlight w:val="none"/>
          <w:shd w:val="clear"/>
        </w:rPr>
        <w:t>北京怀柔科学城应用场景服务有限公司</w:t>
      </w:r>
      <w:r>
        <w:rPr>
          <w:rFonts w:hint="eastAsia" w:ascii="仿宋_GB2312" w:hAnsi="仿宋_GB2312" w:eastAsia="仿宋_GB2312" w:cs="仿宋_GB2312"/>
          <w:b w:val="0"/>
          <w:bCs w:val="0"/>
          <w:sz w:val="32"/>
          <w:szCs w:val="32"/>
          <w:highlight w:val="none"/>
          <w:lang w:val="en-US" w:eastAsia="zh-CN"/>
        </w:rPr>
        <w:t>等市场化运营载体，</w:t>
      </w:r>
      <w:r>
        <w:rPr>
          <w:rFonts w:hint="eastAsia" w:ascii="仿宋_GB2312" w:hAnsi="仿宋_GB2312" w:eastAsia="仿宋_GB2312" w:cs="仿宋_GB2312"/>
          <w:sz w:val="32"/>
          <w:szCs w:val="32"/>
          <w:highlight w:val="none"/>
        </w:rPr>
        <w:t>联动怀柔科学城科研设施平台以及中国影都内中影基地、北京电影学院怀柔校区和相关影视文旅园区等场景资源，</w:t>
      </w:r>
      <w:r>
        <w:rPr>
          <w:rFonts w:hint="eastAsia" w:ascii="仿宋_GB2312" w:hAnsi="仿宋_GB2312" w:eastAsia="仿宋_GB2312" w:cs="仿宋_GB2312"/>
          <w:b w:val="0"/>
          <w:bCs w:val="0"/>
          <w:sz w:val="32"/>
          <w:szCs w:val="32"/>
          <w:highlight w:val="none"/>
          <w:lang w:val="en-US" w:eastAsia="zh-CN"/>
        </w:rPr>
        <w:t>面向高校、科研院所、央国企、政府部门、影视文旅产业机构及其他场景开放主体</w:t>
      </w:r>
      <w:r>
        <w:rPr>
          <w:rFonts w:hint="eastAsia" w:ascii="仿宋_GB2312" w:hAnsi="仿宋_GB2312" w:eastAsia="仿宋_GB2312" w:cs="仿宋_GB2312"/>
          <w:b w:val="0"/>
          <w:sz w:val="32"/>
          <w:szCs w:val="32"/>
          <w:highlight w:val="none"/>
        </w:rPr>
        <w:t>，围绕科研设施、科学数据、影视视听、生态文旅、城市治理、产业升级和公共服务等领域，动态征集并发布“小切口、轻量化、可验证”的场景需求。通过联合攻关、试点验证等方式，支持OPC企业联合场景开放方、高校等开展实景验证，推动真实需求转化为</w:t>
      </w:r>
      <w:r>
        <w:rPr>
          <w:rFonts w:hint="eastAsia" w:ascii="仿宋_GB2312" w:hAnsi="仿宋_GB2312" w:eastAsia="仿宋_GB2312" w:cs="仿宋_GB2312"/>
          <w:sz w:val="32"/>
          <w:szCs w:val="32"/>
          <w:highlight w:val="none"/>
        </w:rPr>
        <w:t>可承接、可验证、可交付的项目机会。</w:t>
      </w:r>
      <w:r>
        <w:rPr>
          <w:rFonts w:hint="eastAsia" w:ascii="仿宋_GB2312" w:hAnsi="仿宋_GB2312" w:eastAsia="仿宋_GB2312" w:cs="仿宋_GB2312"/>
          <w:b w:val="0"/>
          <w:sz w:val="32"/>
          <w:szCs w:val="32"/>
          <w:highlight w:val="none"/>
        </w:rPr>
        <w:t>健全征集发布、过程跟踪、测试验收、效果评价和复制推广机制，发挥前沿部署工程师、技术经理人和第三方测试机构作用，推动优秀成果在怀柔首试首用、迭代完善和示范推广，按照“遴选一批、支持一批、推广一批”的原则，打通从创意到产品、从场景到订单的成果转化通道。</w:t>
      </w:r>
    </w:p>
    <w:p w14:paraId="4BD40D8A">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1</w:t>
      </w:r>
      <w:r>
        <w:rPr>
          <w:rFonts w:hint="eastAsia" w:ascii="仿宋_GB2312" w:hAnsi="仿宋_GB2312" w:eastAsia="仿宋_GB2312" w:cs="仿宋_GB2312"/>
          <w:b/>
          <w:bCs/>
          <w:sz w:val="32"/>
          <w:szCs w:val="32"/>
          <w:highlight w:val="none"/>
          <w:lang w:val="en-US" w:eastAsia="zh-CN"/>
        </w:rPr>
        <w:t>0</w:t>
      </w:r>
      <w:r>
        <w:rPr>
          <w:rFonts w:hint="eastAsia" w:ascii="仿宋_GB2312" w:hAnsi="仿宋_GB2312" w:eastAsia="仿宋_GB2312" w:cs="仿宋_GB2312"/>
          <w:b/>
          <w:bCs/>
          <w:sz w:val="32"/>
          <w:szCs w:val="32"/>
          <w:highlight w:val="none"/>
        </w:rPr>
        <w:t>.打响“雁栖智创”OPC品牌。</w:t>
      </w:r>
      <w:r>
        <w:rPr>
          <w:rFonts w:hint="eastAsia" w:ascii="仿宋_GB2312" w:hAnsi="仿宋_GB2312" w:eastAsia="仿宋_GB2312" w:cs="仿宋_GB2312"/>
          <w:b w:val="0"/>
          <w:sz w:val="32"/>
          <w:szCs w:val="32"/>
          <w:highlight w:val="none"/>
        </w:rPr>
        <w:t>以“雁栖智创”为统一品牌，以科学智能、智能视听、智慧文旅为三大特色板块，统筹社区、赛事、场景、案例的品牌标识和传播口径。依托国际基础科学大会、北京国际电影节、长城文化节、雁栖青创季等平台，策划“AI+科学城”“AI+影都”“AI+文旅”系列活动，积极承接全球OPC共创节等市级品牌活动。衔接“创客北京”“京彩大创”、HICOOL全球创业者峰会暨创业大赛、“创客中国”高端科学仪器装备和传感器中小企业创新创业大赛、全国颠覆性技术创新大赛等赛事，完善“项目发现—资源对接—场景验证—落地服务—品牌传播”链条，持续发布创业机会、创新案例和标志性成果，提升怀柔</w:t>
      </w:r>
      <w:r>
        <w:rPr>
          <w:rFonts w:hint="eastAsia" w:ascii="仿宋_GB2312" w:hAnsi="仿宋_GB2312" w:eastAsia="仿宋_GB2312" w:cs="仿宋_GB2312"/>
          <w:b w:val="0"/>
          <w:sz w:val="32"/>
          <w:szCs w:val="32"/>
          <w:highlight w:val="none"/>
          <w:lang w:val="en-US" w:eastAsia="zh-CN"/>
        </w:rPr>
        <w:t>人工智能</w:t>
      </w:r>
      <w:r>
        <w:rPr>
          <w:rFonts w:hint="eastAsia" w:ascii="仿宋_GB2312" w:hAnsi="仿宋_GB2312" w:eastAsia="仿宋_GB2312" w:cs="仿宋_GB2312"/>
          <w:b w:val="0"/>
          <w:sz w:val="32"/>
          <w:szCs w:val="32"/>
          <w:highlight w:val="none"/>
        </w:rPr>
        <w:t>OPC品牌影响力。</w:t>
      </w:r>
    </w:p>
    <w:p w14:paraId="21BC8F5C">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0"/>
        <w:rPr>
          <w:rFonts w:hint="eastAsia" w:ascii="黑体" w:hAnsi="黑体" w:eastAsia="黑体" w:cs="黑体"/>
          <w:b w:val="0"/>
          <w:sz w:val="32"/>
          <w:szCs w:val="32"/>
          <w:highlight w:val="none"/>
        </w:rPr>
      </w:pPr>
      <w:r>
        <w:rPr>
          <w:rFonts w:hint="eastAsia" w:ascii="黑体" w:hAnsi="黑体" w:eastAsia="黑体" w:cs="黑体"/>
          <w:b w:val="0"/>
          <w:sz w:val="32"/>
          <w:szCs w:val="32"/>
          <w:highlight w:val="none"/>
          <w:lang w:val="en-US" w:eastAsia="zh-CN"/>
        </w:rPr>
        <w:t>四</w:t>
      </w:r>
      <w:r>
        <w:rPr>
          <w:rFonts w:hint="eastAsia" w:ascii="黑体" w:hAnsi="黑体" w:eastAsia="黑体" w:cs="黑体"/>
          <w:b w:val="0"/>
          <w:sz w:val="32"/>
          <w:szCs w:val="32"/>
          <w:highlight w:val="none"/>
        </w:rPr>
        <w:t>、保障机制</w:t>
      </w:r>
    </w:p>
    <w:p w14:paraId="6449D2B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1"/>
        <w:rPr>
          <w:rFonts w:hint="eastAsia" w:ascii="楷体_GB2312" w:hAnsi="楷体_GB2312" w:eastAsia="楷体_GB2312" w:cs="楷体_GB2312"/>
          <w:b w:val="0"/>
          <w:bCs/>
          <w:sz w:val="32"/>
          <w:szCs w:val="32"/>
          <w:highlight w:val="none"/>
        </w:rPr>
      </w:pPr>
      <w:r>
        <w:rPr>
          <w:rFonts w:hint="eastAsia" w:ascii="楷体_GB2312" w:hAnsi="楷体_GB2312" w:eastAsia="楷体_GB2312" w:cs="楷体_GB2312"/>
          <w:b w:val="0"/>
          <w:bCs/>
          <w:sz w:val="32"/>
          <w:szCs w:val="32"/>
          <w:highlight w:val="none"/>
        </w:rPr>
        <w:t>（一）加强组织协调</w:t>
      </w:r>
    </w:p>
    <w:p w14:paraId="092AD9A4">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sz w:val="32"/>
          <w:szCs w:val="32"/>
          <w:highlight w:val="none"/>
        </w:rPr>
      </w:pPr>
      <w:r>
        <w:rPr>
          <w:rFonts w:hint="eastAsia" w:ascii="仿宋_GB2312" w:hAnsi="仿宋_GB2312" w:eastAsia="仿宋_GB2312" w:cs="仿宋_GB2312"/>
          <w:sz w:val="32"/>
          <w:szCs w:val="32"/>
          <w:highlight w:val="none"/>
        </w:rPr>
        <w:t>建立怀柔区人工智能OPC创新发展联席会议机制</w:t>
      </w:r>
      <w:r>
        <w:rPr>
          <w:rFonts w:hint="eastAsia" w:ascii="仿宋_GB2312" w:hAnsi="仿宋_GB2312" w:eastAsia="仿宋_GB2312" w:cs="仿宋_GB2312"/>
          <w:b w:val="0"/>
          <w:sz w:val="32"/>
          <w:szCs w:val="32"/>
          <w:highlight w:val="none"/>
        </w:rPr>
        <w:t>，由区政府分管领导、怀柔科学城管委会主管领导担任双召集人。联席会议办公室设在区经济和信息化局，负责统筹推进全区OPC创新发展相关工作。加强与区级产业专班衔接，发挥</w:t>
      </w:r>
      <w:r>
        <w:rPr>
          <w:rFonts w:hint="eastAsia" w:ascii="仿宋_GB2312" w:hAnsi="仿宋_GB2312" w:eastAsia="仿宋_GB2312" w:cs="仿宋_GB2312"/>
          <w:b w:val="0"/>
          <w:sz w:val="32"/>
          <w:szCs w:val="32"/>
          <w:highlight w:val="none"/>
          <w:lang w:eastAsia="zh-CN"/>
        </w:rPr>
        <w:t>各相关国企</w:t>
      </w:r>
      <w:r>
        <w:rPr>
          <w:rFonts w:hint="eastAsia" w:ascii="仿宋_GB2312" w:hAnsi="仿宋_GB2312" w:eastAsia="仿宋_GB2312" w:cs="仿宋_GB2312"/>
          <w:b w:val="0"/>
          <w:sz w:val="32"/>
          <w:szCs w:val="32"/>
          <w:highlight w:val="none"/>
        </w:rPr>
        <w:t>和专业运营机构执行作用，定期研究重大事项，协调解决社区建设、要素供给、场景开放、资金安排、品牌塑造和风险治理等问题。</w:t>
      </w:r>
    </w:p>
    <w:p w14:paraId="68C16905">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1"/>
        <w:rPr>
          <w:rFonts w:hint="eastAsia" w:ascii="楷体_GB2312" w:hAnsi="楷体_GB2312" w:eastAsia="楷体_GB2312" w:cs="楷体_GB2312"/>
          <w:b w:val="0"/>
          <w:bCs/>
          <w:sz w:val="32"/>
          <w:szCs w:val="32"/>
          <w:highlight w:val="none"/>
        </w:rPr>
      </w:pPr>
      <w:r>
        <w:rPr>
          <w:rFonts w:hint="eastAsia" w:ascii="楷体_GB2312" w:hAnsi="楷体_GB2312" w:eastAsia="楷体_GB2312" w:cs="楷体_GB2312"/>
          <w:b w:val="0"/>
          <w:bCs/>
          <w:sz w:val="32"/>
          <w:szCs w:val="32"/>
          <w:highlight w:val="none"/>
        </w:rPr>
        <w:t>（</w:t>
      </w:r>
      <w:r>
        <w:rPr>
          <w:rFonts w:hint="eastAsia" w:ascii="楷体_GB2312" w:hAnsi="楷体_GB2312" w:eastAsia="楷体_GB2312" w:cs="楷体_GB2312"/>
          <w:b w:val="0"/>
          <w:bCs/>
          <w:sz w:val="32"/>
          <w:szCs w:val="32"/>
          <w:highlight w:val="none"/>
          <w:lang w:val="en-US" w:eastAsia="zh-CN"/>
        </w:rPr>
        <w:t>二</w:t>
      </w:r>
      <w:r>
        <w:rPr>
          <w:rFonts w:hint="eastAsia" w:ascii="楷体_GB2312" w:hAnsi="楷体_GB2312" w:eastAsia="楷体_GB2312" w:cs="楷体_GB2312"/>
          <w:b w:val="0"/>
          <w:bCs/>
          <w:sz w:val="32"/>
          <w:szCs w:val="32"/>
          <w:highlight w:val="none"/>
        </w:rPr>
        <w:t>）强化资源保障</w:t>
      </w:r>
    </w:p>
    <w:p w14:paraId="02BC3D2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eastAsiaTheme="minorEastAsia"/>
          <w:sz w:val="32"/>
          <w:szCs w:val="32"/>
          <w:highlight w:val="none"/>
          <w:lang w:eastAsia="zh-CN"/>
        </w:rPr>
      </w:pPr>
      <w:r>
        <w:rPr>
          <w:rFonts w:hint="eastAsia" w:ascii="仿宋_GB2312" w:hAnsi="仿宋_GB2312" w:eastAsia="仿宋_GB2312" w:cs="仿宋_GB2312"/>
          <w:b w:val="0"/>
          <w:sz w:val="32"/>
          <w:szCs w:val="32"/>
          <w:highlight w:val="none"/>
          <w:lang w:eastAsia="zh-CN"/>
        </w:rPr>
        <w:t>设立OPC专项政策资金，用于开展社区服务、资源组织、创业培育、场景验证、品牌活动等相关工作。同时积极争取市级层面OPC、人工智能、成果转化、文化产业、人才相关的资金与政策支持，引导各类资本参与。落实预算约束、绩效管理与监督要求。</w:t>
      </w:r>
    </w:p>
    <w:p w14:paraId="3C520C38">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1"/>
        <w:rPr>
          <w:rFonts w:hint="eastAsia" w:ascii="楷体_GB2312" w:hAnsi="楷体_GB2312" w:eastAsia="楷体_GB2312" w:cs="楷体_GB2312"/>
          <w:b w:val="0"/>
          <w:bCs/>
          <w:sz w:val="32"/>
          <w:szCs w:val="32"/>
          <w:highlight w:val="none"/>
        </w:rPr>
      </w:pPr>
      <w:r>
        <w:rPr>
          <w:rFonts w:hint="eastAsia" w:ascii="楷体_GB2312" w:hAnsi="楷体_GB2312" w:eastAsia="楷体_GB2312" w:cs="楷体_GB2312"/>
          <w:b w:val="0"/>
          <w:bCs/>
          <w:sz w:val="32"/>
          <w:szCs w:val="32"/>
          <w:highlight w:val="none"/>
        </w:rPr>
        <w:t>（</w:t>
      </w:r>
      <w:r>
        <w:rPr>
          <w:rFonts w:hint="eastAsia" w:ascii="楷体_GB2312" w:hAnsi="楷体_GB2312" w:eastAsia="楷体_GB2312" w:cs="楷体_GB2312"/>
          <w:b w:val="0"/>
          <w:bCs/>
          <w:sz w:val="32"/>
          <w:szCs w:val="32"/>
          <w:highlight w:val="none"/>
          <w:lang w:val="en-US" w:eastAsia="zh-CN"/>
        </w:rPr>
        <w:t>三</w:t>
      </w:r>
      <w:r>
        <w:rPr>
          <w:rFonts w:hint="eastAsia" w:ascii="楷体_GB2312" w:hAnsi="楷体_GB2312" w:eastAsia="楷体_GB2312" w:cs="楷体_GB2312"/>
          <w:b w:val="0"/>
          <w:bCs/>
          <w:sz w:val="32"/>
          <w:szCs w:val="32"/>
          <w:highlight w:val="none"/>
        </w:rPr>
        <w:t>）开展监测评估</w:t>
      </w:r>
    </w:p>
    <w:p w14:paraId="79C2DFA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b w:val="0"/>
          <w:sz w:val="32"/>
          <w:szCs w:val="32"/>
          <w:highlight w:val="none"/>
          <w:lang w:eastAsia="zh-CN"/>
        </w:rPr>
      </w:pPr>
      <w:r>
        <w:rPr>
          <w:rFonts w:hint="eastAsia" w:ascii="仿宋_GB2312" w:hAnsi="仿宋_GB2312" w:eastAsia="仿宋_GB2312" w:cs="仿宋_GB2312"/>
          <w:b w:val="0"/>
          <w:sz w:val="32"/>
          <w:szCs w:val="32"/>
          <w:highlight w:val="none"/>
          <w:lang w:eastAsia="zh-CN"/>
        </w:rPr>
        <w:t>建立OPC企业与OPC成长社区动态监测机制，重点关注企业经营、人工智能要素使用、产品服务形成、科研成果转化、知识产权产出、标杆案例孵化、场景项目落地、社区服务及品牌传播成效，不将空间建设和注册数量作为主要评价依据。开展年度评估，建立动态调整与退出机制，对运营不佳、空壳化或存在重大失信安全风险的社区及时整改、调整或退出。同时根据技术、市场与政策变化，动态优化年度任务和评价指标，为新业态发展预留空间。</w:t>
      </w:r>
    </w:p>
    <w:p w14:paraId="69686178">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highlight w:val="none"/>
          <w:lang w:val="en-US" w:eastAsia="zh-CN"/>
        </w:rPr>
      </w:pPr>
      <w:r>
        <w:rPr>
          <w:rFonts w:hint="eastAsia" w:ascii="楷体_GB2312" w:hAnsi="楷体_GB2312" w:eastAsia="楷体_GB2312" w:cs="楷体_GB2312"/>
          <w:b w:val="0"/>
          <w:bCs/>
          <w:sz w:val="32"/>
          <w:szCs w:val="32"/>
          <w:highlight w:val="none"/>
          <w:lang w:val="en-US" w:eastAsia="zh-CN"/>
        </w:rPr>
        <w:t>（四）加强宣传推广</w:t>
      </w:r>
    </w:p>
    <w:p w14:paraId="5E36BBF6">
      <w:pPr>
        <w:pStyle w:val="2"/>
        <w:keepNext w:val="0"/>
        <w:keepLines w:val="0"/>
        <w:pageBreakBefore w:val="0"/>
        <w:widowControl w:val="0"/>
        <w:numPr>
          <w:ilvl w:val="-1"/>
          <w:numId w:val="0"/>
        </w:numPr>
        <w:kinsoku/>
        <w:wordWrap/>
        <w:overflowPunct/>
        <w:topLinePunct w:val="0"/>
        <w:autoSpaceDE/>
        <w:autoSpaceDN/>
        <w:bidi w:val="0"/>
        <w:spacing w:line="56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统筹区属媒体、政务平台、行业机构和OPC成长社区等渠道，做好政策解读、项目推介、成果展示和典型案例宣传。依托重大科技活动、影视文化活动和创新创业赛事等平台，集中展示科学智能、智能视听、智慧文旅等领域创新成果和应用成效，提升怀柔人工智能OPC品牌影响力，形成鼓励创新创业、推动人工智能赋能千行百业的良好氛围。</w:t>
      </w:r>
    </w:p>
    <w:p w14:paraId="284D685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sz w:val="32"/>
          <w:szCs w:val="32"/>
          <w:highlight w:val="none"/>
          <w:lang w:eastAsia="zh-CN"/>
        </w:rPr>
      </w:pPr>
    </w:p>
    <w:p w14:paraId="41E9876B"/>
    <w:p w14:paraId="50D6E8FD"/>
    <w:p w14:paraId="2C6553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887983-681F-47E6-9D8E-2FBF56415F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4B19739-D7AB-4A5E-A8F8-B679C525DCCF}"/>
  </w:font>
  <w:font w:name="方正小标宋简体">
    <w:panose1 w:val="02000000000000000000"/>
    <w:charset w:val="86"/>
    <w:family w:val="auto"/>
    <w:pitch w:val="default"/>
    <w:sig w:usb0="00000001" w:usb1="080E0000" w:usb2="00000000" w:usb3="00000000" w:csb0="00040000" w:csb1="00000000"/>
    <w:embedRegular r:id="rId3" w:fontKey="{7B0F1DBB-58C8-49AE-A32E-5798024FC1F3}"/>
  </w:font>
  <w:font w:name="仿宋_GB2312">
    <w:panose1 w:val="02010609030101010101"/>
    <w:charset w:val="86"/>
    <w:family w:val="modern"/>
    <w:pitch w:val="default"/>
    <w:sig w:usb0="00000001" w:usb1="080E0000" w:usb2="00000000" w:usb3="00000000" w:csb0="00040000" w:csb1="00000000"/>
    <w:embedRegular r:id="rId4" w:fontKey="{114B8CD0-9E44-462F-81A6-9737885397DF}"/>
  </w:font>
  <w:font w:name="楷体_GB2312">
    <w:panose1 w:val="02010609030101010101"/>
    <w:charset w:val="86"/>
    <w:family w:val="modern"/>
    <w:pitch w:val="default"/>
    <w:sig w:usb0="00000001" w:usb1="080E0000" w:usb2="00000000" w:usb3="00000000" w:csb0="00040000" w:csb1="00000000"/>
    <w:embedRegular r:id="rId5" w:fontKey="{15FF3F2B-5A7A-4785-B694-25AE9A6F3A4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4YzFhMGNiNWM4NTJmYjVlYjgyODg0ZDA5YWE1YTMifQ=="/>
  </w:docVars>
  <w:rsids>
    <w:rsidRoot w:val="4C682DC0"/>
    <w:rsid w:val="42C03457"/>
    <w:rsid w:val="488333D6"/>
    <w:rsid w:val="4C682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jc w:val="center"/>
    </w:pPr>
    <w:rPr>
      <w:b/>
      <w:bCs/>
      <w:sz w:val="36"/>
    </w:rPr>
  </w:style>
  <w:style w:type="paragraph" w:customStyle="1" w:styleId="3">
    <w:name w:val="toc 1"/>
    <w:next w:val="1"/>
    <w:qFormat/>
    <w:uiPriority w:val="0"/>
    <w:pPr>
      <w:wordWrap w:val="0"/>
      <w:jc w:val="both"/>
    </w:pPr>
    <w:rPr>
      <w:rFonts w:ascii="Times New Roman" w:hAnsi="Times New Roman" w:eastAsia="宋体" w:cs="Times New Roman"/>
      <w:sz w:val="21"/>
      <w:szCs w:val="22"/>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4395</Words>
  <Characters>4535</Characters>
  <Lines>0</Lines>
  <Paragraphs>0</Paragraphs>
  <TotalTime>2</TotalTime>
  <ScaleCrop>false</ScaleCrop>
  <LinksUpToDate>false</LinksUpToDate>
  <CharactersWithSpaces>4537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2026-11-03T02:45:00Z</dcterms:created>
  <dc:creator>admin26</dc:creator>
  <cp:lastModifiedBy>孙彤</cp:lastModifiedBy>
  <dcterms:modified xsi:type="dcterms:W3CDTF">2026-11-03T07:56:48Z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68406212393B42A083571E13BD2401AB_12</vt:lpwstr>
  </property>
</Properties>
</file>