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597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/>
          <w:szCs w:val="32"/>
          <w14:ligatures w14:val="standardContextual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</w:t>
      </w:r>
    </w:p>
    <w:p w14:paraId="2BB7819C">
      <w:pPr>
        <w:pStyle w:val="18"/>
        <w:keepNext w:val="0"/>
        <w:keepLines w:val="0"/>
        <w:pageBreakBefore w:val="0"/>
        <w:tabs>
          <w:tab w:val="center" w:pos="4140"/>
          <w:tab w:val="right" w:pos="8300"/>
          <w:tab w:val="clear" w:pos="4153"/>
          <w:tab w:val="clear" w:pos="8306"/>
        </w:tabs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/>
        <w:textAlignment w:val="auto"/>
        <w:rPr>
          <w:rFonts w:hint="eastAsia" w:ascii="黑体" w:hAnsi="黑体" w:eastAsia="黑体"/>
          <w:sz w:val="32"/>
        </w:rPr>
      </w:pPr>
    </w:p>
    <w:p w14:paraId="3B171E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/>
          <w:sz w:val="44"/>
        </w:rPr>
      </w:pPr>
      <w:r>
        <w:rPr>
          <w:rFonts w:hint="eastAsia" w:ascii="方正小标宋简体" w:hAnsi="方正小标宋简体" w:eastAsia="方正小标宋简体"/>
          <w:sz w:val="44"/>
          <w:lang w:eastAsia="zh-CN"/>
        </w:rPr>
        <w:t>关于</w:t>
      </w:r>
      <w:r>
        <w:rPr>
          <w:rFonts w:hint="eastAsia" w:ascii="方正小标宋简体" w:hAnsi="方正小标宋简体" w:eastAsia="方正小标宋简体"/>
          <w:sz w:val="44"/>
        </w:rPr>
        <w:t>《昌平区“十五五”时期科技创新发展规划</w:t>
      </w:r>
      <w:r>
        <w:rPr>
          <w:rFonts w:hint="eastAsia" w:ascii="方正小标宋简体" w:hAnsi="方正小标宋简体" w:eastAsia="方正小标宋简体"/>
          <w:sz w:val="44"/>
          <w:lang w:eastAsia="zh-CN"/>
        </w:rPr>
        <w:t>（征求意见稿）</w:t>
      </w:r>
      <w:r>
        <w:rPr>
          <w:rFonts w:hint="eastAsia" w:ascii="方正小标宋简体" w:hAnsi="方正小标宋简体" w:eastAsia="方正小标宋简体"/>
          <w:sz w:val="44"/>
        </w:rPr>
        <w:t>》</w:t>
      </w:r>
      <w:r>
        <w:rPr>
          <w:rFonts w:hint="eastAsia" w:ascii="方正小标宋简体" w:hAnsi="方正小标宋简体" w:eastAsia="方正小标宋简体"/>
          <w:sz w:val="44"/>
          <w:lang w:eastAsia="zh-CN"/>
        </w:rPr>
        <w:t>的</w:t>
      </w:r>
      <w:bookmarkStart w:id="16" w:name="_GoBack"/>
      <w:bookmarkEnd w:id="16"/>
      <w:r>
        <w:rPr>
          <w:rFonts w:hint="eastAsia" w:ascii="方正小标宋简体" w:hAnsi="方正小标宋简体" w:eastAsia="方正小标宋简体"/>
          <w:sz w:val="44"/>
        </w:rPr>
        <w:t>起草说明</w:t>
      </w:r>
    </w:p>
    <w:p w14:paraId="4B1ED72E">
      <w:pPr>
        <w:pStyle w:val="15"/>
        <w:keepNext w:val="0"/>
        <w:keepLines w:val="0"/>
        <w:pageBreakBefore w:val="0"/>
        <w:tabs>
          <w:tab w:val="left" w:pos="767"/>
        </w:tabs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</w:rPr>
      </w:pPr>
      <w:r>
        <w:rPr>
          <w:rFonts w:hint="eastAsia" w:ascii="黑体" w:hAnsi="黑体" w:eastAsia="黑体"/>
          <w:color w:val="000000"/>
          <w:sz w:val="32"/>
        </w:rPr>
        <w:t>一、起草背景</w:t>
      </w:r>
    </w:p>
    <w:p w14:paraId="33A7F82B">
      <w:pPr>
        <w:pStyle w:val="15"/>
        <w:keepNext w:val="0"/>
        <w:keepLines w:val="0"/>
        <w:pageBreakBefore w:val="0"/>
        <w:tabs>
          <w:tab w:val="left" w:pos="767"/>
        </w:tabs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/>
          <w:color w:val="000000"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</w:rPr>
        <w:t>为统筹布局区域科技创新体系，加快培育新质生产力，支撑昌平高质量发展，根据区级专项规划编制工作安排，对照《中共中央办公厅 国务院办公厅关于推动科技创新和产业创新深度融合的意见》《“十五五”时期北京推进国际科技创新中心建设规划》等国家、市级政策规划，以及《“十五五”时期昌平区国民经济和社会发展规划》《昌平分区规划(2017年-2035年)》等区级上位规划部署，我委系统梳理研判三级科创领域政策导向与重点任务，结合本区科创资源禀赋、产业基础与发展短板，组织开展专题研究论证，在此基础上起草了《昌平区“十五五”时期科技创新发展规划</w:t>
      </w:r>
      <w:r>
        <w:rPr>
          <w:rFonts w:hint="eastAsia" w:hAnsi="仿宋_GB2312"/>
          <w:color w:val="000000"/>
          <w:sz w:val="32"/>
          <w:lang w:eastAsia="zh-CN"/>
        </w:rPr>
        <w:t>（征求意见稿）</w:t>
      </w:r>
      <w:r>
        <w:rPr>
          <w:rFonts w:hint="eastAsia" w:ascii="仿宋_GB2312" w:hAnsi="仿宋_GB2312" w:eastAsia="仿宋_GB2312"/>
          <w:color w:val="000000"/>
          <w:sz w:val="32"/>
        </w:rPr>
        <w:t>》（以下简称《规划》）。</w:t>
      </w:r>
    </w:p>
    <w:p w14:paraId="37F86BE6">
      <w:pPr>
        <w:pStyle w:val="16"/>
        <w:keepNext w:val="0"/>
        <w:keepLines w:val="0"/>
        <w:pageBreakBefore w:val="0"/>
        <w:numPr>
          <w:ilvl w:val="0"/>
          <w:numId w:val="1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/>
          <w:color w:val="000000"/>
          <w:kern w:val="2"/>
          <w:sz w:val="32"/>
        </w:rPr>
      </w:pPr>
      <w:r>
        <w:rPr>
          <w:rFonts w:hint="eastAsia" w:ascii="黑体" w:hAnsi="黑体" w:eastAsia="黑体"/>
          <w:color w:val="000000"/>
          <w:kern w:val="2"/>
          <w:sz w:val="32"/>
        </w:rPr>
        <w:t>起草过程</w:t>
      </w:r>
    </w:p>
    <w:p w14:paraId="0917D7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b/>
          <w:sz w:val="32"/>
        </w:rPr>
        <w:t>一是</w:t>
      </w:r>
      <w:r>
        <w:rPr>
          <w:rFonts w:hint="eastAsia" w:ascii="仿宋_GB2312" w:hAnsi="仿宋_GB2312" w:eastAsia="仿宋_GB2312"/>
          <w:sz w:val="32"/>
        </w:rPr>
        <w:t>扎实做好编制前期研究。紧密对接市级部门跟进“十五五”时期国际科技创新中心建设规划编制相关工作要求，系统梳理研判国家、市、区三级科技创新政策导向与发展任务，全面分析驻昌高校、重点科研院所和科创企业等创新主体发展情况，广泛汇集各方面思路建议，在此基础上起草《规划》</w:t>
      </w:r>
      <w:r>
        <w:rPr>
          <w:rFonts w:hint="eastAsia" w:ascii="仿宋_GB2312" w:hAnsi="仿宋_GB2312" w:eastAsia="仿宋_GB2312"/>
          <w:color w:val="000000"/>
          <w:sz w:val="32"/>
        </w:rPr>
        <w:t>。</w:t>
      </w:r>
    </w:p>
    <w:p w14:paraId="177E0B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3" w:firstLineChars="200"/>
        <w:textAlignment w:val="auto"/>
        <w:rPr>
          <w:rFonts w:hint="eastAsia" w:ascii="仿宋_GB2312" w:eastAsia="仿宋_GB2312"/>
          <w:sz w:val="32"/>
        </w:rPr>
      </w:pPr>
      <w:r>
        <w:rPr>
          <w:rFonts w:hint="eastAsia" w:ascii="仿宋_GB2312" w:hAnsi="仿宋_GB2312" w:eastAsia="仿宋_GB2312"/>
          <w:b/>
          <w:sz w:val="32"/>
        </w:rPr>
        <w:t>二是</w:t>
      </w:r>
      <w:r>
        <w:rPr>
          <w:rFonts w:hint="eastAsia" w:ascii="仿宋_GB2312" w:hAnsi="仿宋_GB2312" w:eastAsia="仿宋_GB2312"/>
          <w:sz w:val="32"/>
        </w:rPr>
        <w:t>广泛征求各方意见。区科委多次组织内部专题研讨会议研究《规划》，持续打磨完善相关内容，形成《规划》征求意见稿后，分别向区内16家单位征求意见，对收集到的意见建议进行系统梳理、逐条研究，充分采纳合理诉求，进一步修改完善政策内容，确保《规划》切实可行。</w:t>
      </w:r>
    </w:p>
    <w:p w14:paraId="27A2942D">
      <w:pPr>
        <w:pStyle w:val="6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/>
          <w:color w:val="000000"/>
          <w:sz w:val="32"/>
        </w:rPr>
      </w:pPr>
      <w:r>
        <w:rPr>
          <w:rFonts w:hint="eastAsia" w:ascii="黑体" w:hAnsi="黑体" w:eastAsia="黑体"/>
          <w:color w:val="000000"/>
          <w:sz w:val="32"/>
        </w:rPr>
        <w:t>三、主要内容</w:t>
      </w:r>
    </w:p>
    <w:p w14:paraId="7E3B64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《规划》共包括发展基础与现状、发展形势、总体思路、重点任务、保障措施五部分。</w:t>
      </w:r>
    </w:p>
    <w:p w14:paraId="0A9320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jc w:val="left"/>
        <w:textAlignment w:val="auto"/>
        <w:outlineLvl w:val="1"/>
        <w:rPr>
          <w:rFonts w:hint="eastAsia" w:ascii="仿宋_GB2312" w:hAnsi="仿宋_GB2312" w:eastAsia="楷体_GB2312"/>
          <w:sz w:val="32"/>
        </w:rPr>
      </w:pPr>
      <w:bookmarkStart w:id="0" w:name="_Toc32198"/>
      <w:bookmarkStart w:id="1" w:name="_Toc13645"/>
      <w:bookmarkStart w:id="2" w:name="_Toc768"/>
      <w:bookmarkStart w:id="3" w:name="_Toc10715"/>
      <w:bookmarkStart w:id="4" w:name="_Toc26479"/>
      <w:bookmarkStart w:id="5" w:name="_Toc18298"/>
      <w:bookmarkStart w:id="6" w:name="_Toc24376"/>
      <w:bookmarkStart w:id="7" w:name="_Toc28888"/>
      <w:bookmarkStart w:id="8" w:name="_Toc12874"/>
      <w:bookmarkStart w:id="9" w:name="_Toc26756"/>
      <w:bookmarkStart w:id="10" w:name="_Toc722"/>
      <w:bookmarkStart w:id="11" w:name="_Toc31797"/>
      <w:bookmarkStart w:id="12" w:name="_Toc4884"/>
      <w:bookmarkStart w:id="13" w:name="_Toc19422"/>
      <w:r>
        <w:rPr>
          <w:rFonts w:hint="eastAsia" w:ascii="仿宋_GB2312" w:hAnsi="仿宋_GB2312" w:eastAsia="楷体_GB2312"/>
          <w:sz w:val="32"/>
        </w:rPr>
        <w:t>（一）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rFonts w:hint="eastAsia" w:ascii="仿宋_GB2312" w:hAnsi="仿宋_GB2312" w:eastAsia="楷体_GB2312"/>
          <w:sz w:val="32"/>
        </w:rPr>
        <w:t>发展基础与现状</w:t>
      </w:r>
    </w:p>
    <w:p w14:paraId="0896BA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“十四五”时期，昌平区科技创新格局持续</w:t>
      </w:r>
      <w:r>
        <w:rPr>
          <w:rFonts w:hint="eastAsia" w:ascii="仿宋_GB2312" w:hAnsi="仿宋_GB2312"/>
          <w:sz w:val="32"/>
          <w:lang w:eastAsia="zh-CN"/>
        </w:rPr>
        <w:t>重构</w:t>
      </w:r>
      <w:r>
        <w:rPr>
          <w:rFonts w:hint="eastAsia" w:ascii="仿宋_GB2312" w:hAnsi="仿宋_GB2312" w:eastAsia="仿宋_GB2312"/>
          <w:sz w:val="32"/>
        </w:rPr>
        <w:t>，“四区”政策叠加优势凸显，科技创新能力大幅提升</w:t>
      </w:r>
      <w:r>
        <w:rPr>
          <w:rFonts w:hint="eastAsia" w:ascii="仿宋_GB2312" w:hAnsi="仿宋_GB2312"/>
          <w:sz w:val="32"/>
          <w:lang w:eastAsia="zh-CN"/>
        </w:rPr>
        <w:t>，全区累计落实210项创新政策，</w:t>
      </w:r>
      <w:r>
        <w:rPr>
          <w:rFonts w:hint="eastAsia" w:ascii="仿宋_GB2312" w:hAnsi="仿宋_GB2312" w:eastAsia="仿宋_GB2312"/>
          <w:sz w:val="32"/>
        </w:rPr>
        <w:t>集聚14所“双一流”高校、200余个国家和省部级科研平台，国高新企业达2108家、专精特新企业971家，有效发明专利拥有量突破3万件，汇聚5.8万名科研人才，重大科技成果持续产出，科创服务生态不断优化。同时也面临创新主体联动不够、成果转化统筹不足、高端人才引留存在压力、科创金融供给适配性不强等现实制约，既为“十五五”科技创新发展筑牢坚实基础，也明确了下一步攻坚提升方向。</w:t>
      </w:r>
    </w:p>
    <w:p w14:paraId="09BA823F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jc w:val="left"/>
        <w:textAlignment w:val="auto"/>
        <w:outlineLvl w:val="1"/>
        <w:rPr>
          <w:rFonts w:hint="eastAsia" w:ascii="仿宋_GB2312" w:hAnsi="仿宋_GB2312" w:eastAsia="楷体_GB2312"/>
          <w:sz w:val="32"/>
        </w:rPr>
      </w:pPr>
      <w:r>
        <w:rPr>
          <w:rFonts w:hint="eastAsia" w:ascii="仿宋_GB2312" w:hAnsi="仿宋_GB2312" w:eastAsia="楷体_GB2312"/>
          <w:sz w:val="32"/>
        </w:rPr>
        <w:t>发展形势</w:t>
      </w:r>
    </w:p>
    <w:p w14:paraId="7A02BA2A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当前新一轮科技革命和产业变革加速演进，国家大力部署发展新质生产力，北京加快推进国际科技创新中心建设，昌平依托生命谷、能源谷、沙河高教园等高能级创新载体，在合成生物、脑机接口、6G等前沿赛道具备先发优势，迎来创新成果加速爆发的重大机遇。与此同时，全球竞争博弈加剧，国内多地竞相布局科创建设，我区在创新效能提升、高端要素集聚方面也面临外部竞争带来的现实挑战，需要抢抓机遇、应对挑战，进一步激活区域创新发展动能。</w:t>
      </w:r>
    </w:p>
    <w:p w14:paraId="56456CAB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jc w:val="left"/>
        <w:textAlignment w:val="auto"/>
        <w:outlineLvl w:val="1"/>
        <w:rPr>
          <w:rFonts w:hint="eastAsia" w:ascii="仿宋_GB2312" w:hAnsi="仿宋_GB2312" w:eastAsia="楷体_GB2312"/>
          <w:sz w:val="32"/>
        </w:rPr>
      </w:pPr>
      <w:r>
        <w:rPr>
          <w:rFonts w:hint="eastAsia" w:ascii="仿宋_GB2312" w:hAnsi="仿宋_GB2312" w:eastAsia="楷体_GB2312"/>
          <w:sz w:val="32"/>
        </w:rPr>
        <w:t>总体思路</w:t>
      </w:r>
    </w:p>
    <w:p w14:paraId="1F93C7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立足国家、北京市赋予昌平国际科技创新中心承载区的使命定位，以习近平新时代中国特色社会主义思想为根本遵循，紧扣创新驱动发展战略，确立创新驱动协同发展、重点聚焦特色引领、人才为本优化环境、开放合作互利共赢四项基本原则，围绕创新实力显著增强、成果转化高效畅通、创新生态全面优化设置发展目标，着力打造首都北部创新策源地，为北京建设国际科技创新中心、实现高水平科技自立自强贡献昌平力量。</w:t>
      </w:r>
    </w:p>
    <w:p w14:paraId="6954469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jc w:val="left"/>
        <w:textAlignment w:val="auto"/>
        <w:outlineLvl w:val="1"/>
        <w:rPr>
          <w:rFonts w:hint="eastAsia" w:ascii="仿宋_GB2312" w:hAnsi="仿宋_GB2312" w:eastAsia="楷体_GB2312"/>
          <w:sz w:val="32"/>
        </w:rPr>
      </w:pPr>
      <w:r>
        <w:rPr>
          <w:rFonts w:hint="eastAsia" w:ascii="仿宋_GB2312" w:hAnsi="仿宋_GB2312" w:eastAsia="楷体_GB2312"/>
          <w:sz w:val="32"/>
        </w:rPr>
        <w:t>重点任务</w:t>
      </w:r>
    </w:p>
    <w:p w14:paraId="5DA6DA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textAlignment w:val="auto"/>
        <w:outlineLvl w:val="2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紧扣科技策源能力提升、有组织推进科技成果转化、培育发展新质生产力、推进教育科技人才一体化、构建科技创新新生态五大方向，系统部署18项重点任务，全面支撑昌平“十五五”时期科技创新高质量发展。</w:t>
      </w:r>
    </w:p>
    <w:p w14:paraId="2774B207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3"/>
        <w:textAlignment w:val="auto"/>
        <w:rPr>
          <w:rFonts w:hint="eastAsia" w:ascii="仿宋_GB2312" w:hAnsi="仿宋_GB2312" w:eastAsia="仿宋_GB2312"/>
          <w:color w:val="000000"/>
          <w:sz w:val="32"/>
        </w:rPr>
      </w:pPr>
      <w:r>
        <w:rPr>
          <w:rFonts w:hint="eastAsia" w:ascii="仿宋_GB2312" w:hAnsi="仿宋_GB2312" w:eastAsia="仿宋_GB2312"/>
          <w:b/>
          <w:color w:val="000000"/>
          <w:sz w:val="32"/>
        </w:rPr>
        <w:t>1.科技策源，提升体系化科技创新能力。</w:t>
      </w:r>
      <w:bookmarkStart w:id="14" w:name="_Toc203742378"/>
      <w:bookmarkStart w:id="15" w:name="_Toc1486546333_WPSOffice_Level2"/>
      <w:r>
        <w:rPr>
          <w:rFonts w:hint="eastAsia" w:ascii="仿宋_GB2312" w:hAnsi="仿宋_GB2312" w:eastAsia="仿宋_GB2312"/>
          <w:b/>
          <w:color w:val="000000"/>
          <w:sz w:val="32"/>
        </w:rPr>
        <w:t>一是打造国家战略创新引擎。</w:t>
      </w:r>
      <w:r>
        <w:rPr>
          <w:rFonts w:hint="eastAsia" w:ascii="仿宋_GB2312" w:hAnsi="仿宋_GB2312" w:eastAsia="仿宋_GB2312"/>
          <w:color w:val="000000"/>
          <w:sz w:val="32"/>
        </w:rPr>
        <w:t>做好昌平国家实验室服务保障，承接国家重大科技任务，加强与驻昌高校、央企研究院协同联动，做强重点实验室集群，聚焦脑科学、新发传染病等前沿领域攻关，力争产出一批重大原创科研成果。</w:t>
      </w:r>
      <w:r>
        <w:rPr>
          <w:rFonts w:hint="eastAsia" w:ascii="仿宋_GB2312" w:hAnsi="仿宋_GB2312" w:eastAsia="仿宋_GB2312"/>
          <w:b/>
          <w:color w:val="000000"/>
          <w:sz w:val="32"/>
        </w:rPr>
        <w:t>二是建强高校创新策源作用。</w:t>
      </w:r>
      <w:r>
        <w:rPr>
          <w:rFonts w:hint="eastAsia" w:ascii="仿宋_GB2312" w:hAnsi="仿宋_GB2312" w:eastAsia="仿宋_GB2312"/>
          <w:color w:val="000000"/>
          <w:sz w:val="32"/>
        </w:rPr>
        <w:t>围绕生命、能源、量子科技方向布局新型学院，建立产业需求牵引的学科调整机制，推动高校与龙头企业共建产教研协同创新共同体，打通学科建设与产业发展衔接通道。</w:t>
      </w:r>
      <w:r>
        <w:rPr>
          <w:rFonts w:hint="eastAsia" w:ascii="仿宋_GB2312" w:hAnsi="仿宋_GB2312" w:eastAsia="仿宋_GB2312"/>
          <w:b/>
          <w:color w:val="000000"/>
          <w:sz w:val="32"/>
        </w:rPr>
        <w:t>三是强化企业创新主体地位。</w:t>
      </w:r>
      <w:r>
        <w:rPr>
          <w:rFonts w:hint="eastAsia" w:ascii="仿宋_GB2312" w:hAnsi="仿宋_GB2312" w:eastAsia="仿宋_GB2312"/>
          <w:color w:val="000000"/>
          <w:sz w:val="32"/>
        </w:rPr>
        <w:t>用好“一企一策”机制导入央企创新资源，支持央企参与科研平台建设、承担国家级科研项目。健全科技型企业梯度培育，加大高新技术企业引育，推动外资研发中心与本地创新主体开展深度合作。</w:t>
      </w:r>
      <w:r>
        <w:rPr>
          <w:rFonts w:hint="eastAsia" w:ascii="仿宋_GB2312" w:hAnsi="仿宋_GB2312" w:eastAsia="仿宋_GB2312"/>
          <w:b/>
          <w:color w:val="000000"/>
          <w:sz w:val="32"/>
        </w:rPr>
        <w:t>四是加强新型研发机构建设。</w:t>
      </w:r>
      <w:r>
        <w:rPr>
          <w:rFonts w:hint="eastAsia" w:ascii="仿宋_GB2312" w:hAnsi="仿宋_GB2312" w:eastAsia="仿宋_GB2312"/>
          <w:color w:val="000000"/>
          <w:sz w:val="32"/>
        </w:rPr>
        <w:t>推进清华、北大相关前沿创新研究院建设，支持北生所、北脑所等机构发展，推动整合各类创新资源，搭建“研发-转化-孵化”一体化平台。</w:t>
      </w:r>
    </w:p>
    <w:p w14:paraId="021E35A2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3"/>
        <w:textAlignment w:val="auto"/>
        <w:rPr>
          <w:rFonts w:hint="eastAsia" w:ascii="仿宋_GB2312" w:hAnsi="仿宋_GB2312" w:eastAsia="仿宋_GB2312"/>
          <w:color w:val="000000"/>
          <w:kern w:val="0"/>
          <w:sz w:val="32"/>
        </w:rPr>
      </w:pPr>
      <w:r>
        <w:rPr>
          <w:rFonts w:hint="eastAsia" w:ascii="仿宋_GB2312" w:hAnsi="仿宋_GB2312" w:eastAsia="仿宋_GB2312"/>
          <w:b/>
          <w:color w:val="000000"/>
          <w:sz w:val="32"/>
        </w:rPr>
        <w:t>2.统筹联动，强化有组织科技成果转化。</w:t>
      </w:r>
      <w:r>
        <w:rPr>
          <w:rFonts w:hint="eastAsia" w:ascii="仿宋_GB2312" w:hAnsi="仿宋_GB2312" w:eastAsia="仿宋_GB2312"/>
          <w:b/>
          <w:sz w:val="32"/>
        </w:rPr>
        <w:t>一是紧抓“有组织科技成果转化”主线。</w:t>
      </w:r>
      <w:r>
        <w:rPr>
          <w:rFonts w:hint="eastAsia" w:ascii="仿宋_GB2312" w:hAnsi="仿宋_GB2312" w:eastAsia="仿宋_GB2312"/>
          <w:sz w:val="32"/>
        </w:rPr>
        <w:t>强化政府统筹职能，建立组织化体系化工作模式，推行清单化管理、项目化推进，组建多方参与的成果转化服务队伍，覆盖成果挖掘、评估、孵化全流程，切实提升科技成果转化效能。</w:t>
      </w:r>
      <w:r>
        <w:rPr>
          <w:rFonts w:hint="eastAsia" w:ascii="仿宋_GB2312" w:hAnsi="仿宋_GB2312" w:eastAsia="仿宋_GB2312"/>
          <w:b/>
          <w:sz w:val="32"/>
        </w:rPr>
        <w:t>二是夯实高校院所和企业“两个基础”。</w:t>
      </w:r>
      <w:r>
        <w:rPr>
          <w:rFonts w:hint="eastAsia" w:ascii="仿宋_GB2312" w:hAnsi="仿宋_GB2312" w:eastAsia="仿宋_GB2312"/>
          <w:sz w:val="32"/>
        </w:rPr>
        <w:t>依托清华南口国重基地、北大产教研融合创新中心、未来大学科技园完善转化载体布局，落实高校“一校一策”常态化对接机制，发挥链主企业带动效应，通过投资并购、技术许可等方式助推成果落地。</w:t>
      </w:r>
      <w:r>
        <w:rPr>
          <w:rFonts w:hint="eastAsia" w:ascii="仿宋_GB2312" w:hAnsi="仿宋_GB2312" w:eastAsia="仿宋_GB2312"/>
          <w:b/>
          <w:sz w:val="32"/>
        </w:rPr>
        <w:t>三是强化平台、资金、服务“三赋能”。</w:t>
      </w:r>
      <w:r>
        <w:rPr>
          <w:rFonts w:hint="eastAsia" w:ascii="仿宋_GB2312" w:hAnsi="仿宋_GB2312" w:eastAsia="仿宋_GB2312"/>
          <w:sz w:val="32"/>
        </w:rPr>
        <w:t>布局主导产业领域的概念验证、中试小试、检验检测等创新平台，设立成果转化相关专项基金，落实市区拨投联动机制，梳理开放应用场景清单，为成果转化提供场景支撑</w:t>
      </w:r>
      <w:r>
        <w:rPr>
          <w:rFonts w:hint="eastAsia" w:ascii="仿宋_GB2312" w:hAnsi="仿宋_GB2312" w:eastAsia="仿宋_GB2312"/>
          <w:color w:val="000000"/>
          <w:kern w:val="0"/>
          <w:sz w:val="32"/>
        </w:rPr>
        <w:t>。</w:t>
      </w:r>
    </w:p>
    <w:bookmarkEnd w:id="14"/>
    <w:bookmarkEnd w:id="15"/>
    <w:p w14:paraId="20E55128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3"/>
        <w:textAlignment w:val="auto"/>
        <w:rPr>
          <w:rFonts w:hint="eastAsia" w:ascii="仿宋_GB2312" w:hAnsi="仿宋_GB2312" w:eastAsia="仿宋_GB2312"/>
          <w:color w:val="000000"/>
          <w:kern w:val="0"/>
          <w:sz w:val="32"/>
        </w:rPr>
      </w:pPr>
      <w:r>
        <w:rPr>
          <w:rFonts w:hint="eastAsia" w:ascii="仿宋_GB2312" w:hAnsi="仿宋_GB2312" w:eastAsia="仿宋_GB2312"/>
          <w:b/>
          <w:sz w:val="32"/>
        </w:rPr>
        <w:t>3.创新驱动，加快培育发展新质生产力。一是推动主导产业能级提升。</w:t>
      </w:r>
      <w:r>
        <w:rPr>
          <w:rFonts w:hint="eastAsia" w:ascii="仿宋_GB2312" w:hAnsi="仿宋_GB2312" w:eastAsia="仿宋_GB2312"/>
          <w:sz w:val="32"/>
        </w:rPr>
        <w:t>依托生命谷概念验证计划攻坚创新药、高端医疗器械，推动先进能源新技术迭代应用，布局工业互联网，建设智能工厂、零碳工厂，做强三大主导产业竞争优势。</w:t>
      </w:r>
      <w:r>
        <w:rPr>
          <w:rFonts w:hint="eastAsia" w:ascii="仿宋_GB2312" w:hAnsi="仿宋_GB2312" w:eastAsia="仿宋_GB2312"/>
          <w:b/>
          <w:sz w:val="32"/>
        </w:rPr>
        <w:t>二是促进新兴产业提速提质。</w:t>
      </w:r>
      <w:r>
        <w:rPr>
          <w:rFonts w:hint="eastAsia" w:ascii="仿宋_GB2312" w:hAnsi="仿宋_GB2312" w:eastAsia="仿宋_GB2312"/>
          <w:sz w:val="32"/>
        </w:rPr>
        <w:t>抢抓合成生物产业集聚区建设机遇，发展合成生物、医美原料、人形机器人、新型储能等赛道，组建创新联合体，推动新兴产业集群扩规提质。</w:t>
      </w:r>
      <w:r>
        <w:rPr>
          <w:rFonts w:hint="eastAsia" w:ascii="仿宋_GB2312" w:hAnsi="仿宋_GB2312" w:eastAsia="仿宋_GB2312"/>
          <w:b/>
          <w:sz w:val="32"/>
        </w:rPr>
        <w:t>三是引领未来产业跨越发展。</w:t>
      </w:r>
      <w:r>
        <w:rPr>
          <w:rFonts w:hint="eastAsia" w:ascii="仿宋_GB2312" w:hAnsi="仿宋_GB2312" w:eastAsia="仿宋_GB2312"/>
          <w:sz w:val="32"/>
        </w:rPr>
        <w:t>加快脑机接口临床验证，攻坚6G、细胞基因治疗、量子科技关键核心技术，抢占未来产业赛道，培育一批前沿创新成果。</w:t>
      </w:r>
      <w:r>
        <w:rPr>
          <w:rFonts w:hint="eastAsia" w:ascii="仿宋_GB2312" w:hAnsi="仿宋_GB2312" w:eastAsia="仿宋_GB2312"/>
          <w:b/>
          <w:sz w:val="32"/>
        </w:rPr>
        <w:t>四是推进人工智能赋能科学研究与应用。</w:t>
      </w:r>
      <w:r>
        <w:rPr>
          <w:rFonts w:hint="eastAsia" w:ascii="仿宋_GB2312" w:hAnsi="仿宋_GB2312" w:eastAsia="仿宋_GB2312"/>
          <w:sz w:val="32"/>
        </w:rPr>
        <w:t>夯实人工智能底座，面向新药创制、新材料研发打造科研智能工具，推动大模型服务复杂科学推理，拓展“人工智能+医药健康、人工智能+能源、人工智能+新材料”场景，赋能创新链与产业链提质升级。</w:t>
      </w:r>
    </w:p>
    <w:p w14:paraId="29DEB085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3"/>
        <w:textAlignment w:val="auto"/>
        <w:rPr>
          <w:rFonts w:hint="eastAsia" w:ascii="仿宋_GB2312" w:hAnsi="仿宋_GB2312" w:eastAsia="仿宋_GB2312"/>
          <w:color w:val="000000"/>
          <w:kern w:val="0"/>
          <w:sz w:val="32"/>
        </w:rPr>
      </w:pPr>
      <w:r>
        <w:rPr>
          <w:rFonts w:hint="eastAsia" w:ascii="仿宋_GB2312" w:hAnsi="仿宋_GB2312" w:eastAsia="仿宋_GB2312"/>
          <w:b/>
          <w:sz w:val="32"/>
        </w:rPr>
        <w:t>4.人才支撑，推进教育科技人才一体化。一是完善教育科技人才一体发展机制。</w:t>
      </w:r>
      <w:r>
        <w:rPr>
          <w:rFonts w:hint="eastAsia" w:ascii="仿宋_GB2312" w:hAnsi="仿宋_GB2312" w:eastAsia="仿宋_GB2312"/>
          <w:sz w:val="32"/>
        </w:rPr>
        <w:t>健全跨部门协同工作机制，加强与高校院所、央国企对接联动，推动实现央校地企多方融合发展。</w:t>
      </w:r>
      <w:r>
        <w:rPr>
          <w:rFonts w:hint="eastAsia" w:ascii="仿宋_GB2312" w:hAnsi="仿宋_GB2312" w:eastAsia="仿宋_GB2312"/>
          <w:b/>
          <w:sz w:val="32"/>
        </w:rPr>
        <w:t>二是深化教育赋能科技创新。</w:t>
      </w:r>
      <w:r>
        <w:rPr>
          <w:rFonts w:hint="eastAsia" w:ascii="仿宋_GB2312" w:hAnsi="仿宋_GB2312" w:eastAsia="仿宋_GB2312"/>
          <w:sz w:val="32"/>
        </w:rPr>
        <w:t>推动高校创新链对接企业产业链，用好昌平创新联合基金，推行校企协同攻关机制，布局未来技术、交叉学科相关专业，培育技术转移专业人才。</w:t>
      </w:r>
      <w:r>
        <w:rPr>
          <w:rFonts w:hint="eastAsia" w:ascii="仿宋_GB2312" w:hAnsi="仿宋_GB2312" w:eastAsia="仿宋_GB2312"/>
          <w:b/>
          <w:sz w:val="32"/>
        </w:rPr>
        <w:t>三是强化人才赋能科技创新。</w:t>
      </w:r>
      <w:r>
        <w:rPr>
          <w:rFonts w:hint="eastAsia" w:ascii="仿宋_GB2312" w:hAnsi="仿宋_GB2312" w:eastAsia="仿宋_GB2312"/>
          <w:sz w:val="32"/>
        </w:rPr>
        <w:t>升级“昌聚工程”</w:t>
      </w:r>
      <w:r>
        <w:rPr>
          <w:rFonts w:hint="eastAsia" w:ascii="仿宋_GB2312" w:hAnsi="仿宋_GB2312" w:eastAsia="仿宋_GB2312"/>
          <w:sz w:val="32"/>
          <w:lang w:eastAsia="zh-CN"/>
        </w:rPr>
        <w:t>等</w:t>
      </w:r>
      <w:r>
        <w:rPr>
          <w:rFonts w:hint="eastAsia" w:ascii="仿宋_GB2312" w:hAnsi="仿宋_GB2312" w:eastAsia="仿宋_GB2312"/>
          <w:sz w:val="32"/>
        </w:rPr>
        <w:t>系列人才计划，创新“科技副总”引才模式，完善卓越工程师引育路径，发挥青年人才创新创业生态区优势，激发人才创新创业活力</w:t>
      </w:r>
      <w:r>
        <w:rPr>
          <w:rFonts w:hint="eastAsia" w:ascii="仿宋_GB2312" w:hAnsi="仿宋_GB2312" w:eastAsia="仿宋_GB2312"/>
          <w:color w:val="000000"/>
          <w:kern w:val="0"/>
          <w:sz w:val="32"/>
        </w:rPr>
        <w:t>。</w:t>
      </w:r>
    </w:p>
    <w:p w14:paraId="115AA0FB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3"/>
        <w:textAlignment w:val="auto"/>
        <w:rPr>
          <w:rFonts w:hint="eastAsia" w:ascii="仿宋_GB2312" w:hAnsi="仿宋_GB2312" w:eastAsia="仿宋_GB2312"/>
          <w:color w:val="000000"/>
          <w:kern w:val="0"/>
          <w:sz w:val="32"/>
        </w:rPr>
      </w:pPr>
      <w:r>
        <w:rPr>
          <w:rFonts w:hint="eastAsia" w:ascii="仿宋_GB2312" w:hAnsi="仿宋_GB2312" w:eastAsia="仿宋_GB2312"/>
          <w:b/>
          <w:color w:val="000000"/>
          <w:kern w:val="0"/>
          <w:sz w:val="32"/>
        </w:rPr>
        <w:t>5.多维提升，全面构建科技创新新生态。一是发挥科技服务、科创金融创新支撑作用。</w:t>
      </w:r>
      <w:r>
        <w:rPr>
          <w:rFonts w:hint="eastAsia" w:ascii="仿宋_GB2312" w:hAnsi="仿宋_GB2312" w:eastAsia="仿宋_GB2312"/>
          <w:color w:val="000000"/>
          <w:kern w:val="0"/>
          <w:sz w:val="32"/>
        </w:rPr>
        <w:t>集聚优质科技服务主体，完善科创服务载体建设。依托中关村科创金融改革试验区，做大创投基金，创新投贷联动、科技保险等金融工具，强化对科创企业全周期资金支持。</w:t>
      </w:r>
      <w:r>
        <w:rPr>
          <w:rFonts w:hint="eastAsia" w:ascii="仿宋_GB2312" w:hAnsi="仿宋_GB2312" w:eastAsia="仿宋_GB2312"/>
          <w:b/>
          <w:color w:val="000000"/>
          <w:kern w:val="0"/>
          <w:sz w:val="32"/>
        </w:rPr>
        <w:t>二是推动开放合作，塑造开放合作共赢环境。</w:t>
      </w:r>
      <w:r>
        <w:rPr>
          <w:rFonts w:hint="eastAsia" w:ascii="仿宋_GB2312" w:hAnsi="仿宋_GB2312" w:eastAsia="仿宋_GB2312"/>
          <w:color w:val="000000"/>
          <w:kern w:val="0"/>
          <w:sz w:val="32"/>
        </w:rPr>
        <w:t>加强“三城一区”联动建设，融入首都都市圈创新资源共享，深化“两区”建设，放大重点科创论坛品牌效应，拓宽对外创新合作渠道。</w:t>
      </w:r>
      <w:r>
        <w:rPr>
          <w:rFonts w:hint="eastAsia" w:ascii="仿宋_GB2312" w:hAnsi="仿宋_GB2312" w:eastAsia="仿宋_GB2312"/>
          <w:b/>
          <w:color w:val="000000"/>
          <w:kern w:val="0"/>
          <w:sz w:val="32"/>
        </w:rPr>
        <w:t>三是强化企业获得，打造国际一流营商环境。</w:t>
      </w:r>
      <w:r>
        <w:rPr>
          <w:rFonts w:hint="eastAsia" w:ascii="仿宋_GB2312" w:hAnsi="仿宋_GB2312" w:eastAsia="仿宋_GB2312"/>
          <w:color w:val="000000"/>
          <w:kern w:val="0"/>
          <w:sz w:val="32"/>
        </w:rPr>
        <w:t>用好“</w:t>
      </w:r>
      <w:r>
        <w:rPr>
          <w:rFonts w:hint="eastAsia" w:ascii="仿宋_GB2312" w:hAnsi="仿宋_GB2312" w:eastAsia="仿宋_GB2312"/>
          <w:color w:val="000000"/>
          <w:kern w:val="0"/>
          <w:sz w:val="32"/>
          <w:lang w:eastAsia="zh-CN"/>
        </w:rPr>
        <w:t>昌平服务</w:t>
      </w:r>
      <w:r>
        <w:rPr>
          <w:rFonts w:hint="eastAsia" w:ascii="仿宋_GB2312" w:hAnsi="仿宋_GB2312" w:eastAsia="仿宋_GB2312"/>
          <w:color w:val="000000"/>
          <w:kern w:val="0"/>
          <w:sz w:val="32"/>
        </w:rPr>
        <w:t>”等服务品牌，深化审批改革，强化知识产权全链条保护，依托各类服务驿站精准对接企业需求，打通科创服务落地最后一公里。</w:t>
      </w:r>
      <w:r>
        <w:rPr>
          <w:rFonts w:hint="eastAsia" w:ascii="仿宋_GB2312" w:hAnsi="仿宋_GB2312" w:eastAsia="仿宋_GB2312"/>
          <w:b/>
          <w:color w:val="000000"/>
          <w:kern w:val="0"/>
          <w:sz w:val="32"/>
        </w:rPr>
        <w:t>四是推动科技普及，广泛传播科学创新精神。</w:t>
      </w:r>
      <w:r>
        <w:rPr>
          <w:rFonts w:hint="eastAsia" w:ascii="仿宋_GB2312" w:hAnsi="仿宋_GB2312" w:eastAsia="仿宋_GB2312"/>
          <w:color w:val="000000"/>
          <w:kern w:val="0"/>
          <w:sz w:val="32"/>
        </w:rPr>
        <w:t>压实各类创新主体科普责任，丰富数字化科普产品供给，打造本土科普特色品牌，构建创新与科普双向赋能的良性生态。</w:t>
      </w:r>
    </w:p>
    <w:p w14:paraId="5EADF0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0" w:firstLineChars="200"/>
        <w:textAlignment w:val="auto"/>
        <w:outlineLvl w:val="1"/>
        <w:rPr>
          <w:rFonts w:hint="eastAsia" w:ascii="楷体_GB2312" w:hAnsi="楷体_GB2312" w:eastAsia="楷体_GB2312"/>
          <w:color w:val="000000"/>
          <w:sz w:val="32"/>
        </w:rPr>
      </w:pPr>
      <w:r>
        <w:rPr>
          <w:rFonts w:hint="eastAsia" w:ascii="楷体_GB2312" w:hAnsi="楷体_GB2312" w:eastAsia="楷体_GB2312"/>
          <w:color w:val="000000"/>
          <w:sz w:val="32"/>
        </w:rPr>
        <w:t>（五）保障措施</w:t>
      </w:r>
    </w:p>
    <w:p w14:paraId="0CBE40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/>
          <w:sz w:val="21"/>
        </w:rPr>
      </w:pPr>
      <w:r>
        <w:rPr>
          <w:rFonts w:hint="eastAsia" w:ascii="仿宋_GB2312" w:hAnsi="仿宋_GB2312" w:eastAsia="仿宋_GB2312"/>
          <w:b/>
          <w:color w:val="000000"/>
          <w:sz w:val="32"/>
        </w:rPr>
        <w:t>一是强化组织保障。</w:t>
      </w:r>
      <w:r>
        <w:rPr>
          <w:rFonts w:hint="eastAsia" w:ascii="仿宋_GB2312" w:hAnsi="仿宋_GB2312" w:eastAsia="仿宋_GB2312"/>
          <w:color w:val="000000"/>
          <w:sz w:val="32"/>
        </w:rPr>
        <w:t>坚持党对科创工作全面领导，由区委区政府统筹科创重大战略、项目与改革任务，定期调度破解难点，压实各方责任分工，构建齐抓共管工作格局。</w:t>
      </w:r>
      <w:r>
        <w:rPr>
          <w:rFonts w:hint="eastAsia" w:ascii="仿宋_GB2312" w:hAnsi="仿宋_GB2312" w:eastAsia="仿宋_GB2312"/>
          <w:b/>
          <w:color w:val="000000"/>
          <w:sz w:val="32"/>
        </w:rPr>
        <w:t>二是</w:t>
      </w:r>
      <w:r>
        <w:rPr>
          <w:rFonts w:hint="eastAsia" w:ascii="仿宋_GB2312" w:hAnsi="仿宋_GB2312" w:eastAsia="仿宋_GB2312"/>
          <w:b/>
          <w:bCs/>
          <w:color w:val="000000"/>
          <w:sz w:val="32"/>
        </w:rPr>
        <w:t>落实政策保障。</w:t>
      </w:r>
      <w:r>
        <w:rPr>
          <w:rFonts w:hint="eastAsia" w:ascii="仿宋_GB2312" w:hAnsi="仿宋_GB2312" w:eastAsia="仿宋_GB2312"/>
          <w:color w:val="000000"/>
          <w:sz w:val="32"/>
        </w:rPr>
        <w:t>对接国家、北京市科创相关部署，</w:t>
      </w:r>
      <w:r>
        <w:rPr>
          <w:rFonts w:hint="eastAsia" w:ascii="仿宋_GB2312" w:hAnsi="仿宋_GB2312"/>
          <w:color w:val="000000"/>
          <w:sz w:val="32"/>
          <w:lang w:eastAsia="zh-CN"/>
        </w:rPr>
        <w:t>承接</w:t>
      </w:r>
      <w:r>
        <w:rPr>
          <w:rFonts w:hint="eastAsia" w:ascii="仿宋_GB2312" w:hAnsi="仿宋_GB2312" w:eastAsia="仿宋_GB2312"/>
          <w:color w:val="000000"/>
          <w:sz w:val="32"/>
        </w:rPr>
        <w:t>中关村先行先试政策，细化成果转化、企业培育、研发投入扶持举措，做好政策宣讲解读。</w:t>
      </w:r>
      <w:r>
        <w:rPr>
          <w:rFonts w:hint="eastAsia" w:ascii="仿宋_GB2312" w:hAnsi="仿宋_GB2312" w:eastAsia="仿宋_GB2312"/>
          <w:b/>
          <w:color w:val="000000"/>
          <w:sz w:val="32"/>
        </w:rPr>
        <w:t>三是夯实要素保障。</w:t>
      </w:r>
      <w:r>
        <w:rPr>
          <w:rFonts w:hint="eastAsia" w:ascii="仿宋_GB2312" w:hAnsi="仿宋_GB2312" w:eastAsia="仿宋_GB2312"/>
          <w:color w:val="000000"/>
          <w:sz w:val="32"/>
        </w:rPr>
        <w:t>优化科创项目实施模式，聚焦技术攻关、平台建设、成果产业化落实主体责任，优先保障重大科创项目用地、配套条件，强化全过程监管与绩效管控。</w:t>
      </w:r>
      <w:r>
        <w:rPr>
          <w:rFonts w:hint="eastAsia" w:ascii="仿宋_GB2312" w:hAnsi="仿宋_GB2312" w:eastAsia="仿宋_GB2312"/>
          <w:b/>
          <w:color w:val="000000"/>
          <w:sz w:val="32"/>
        </w:rPr>
        <w:t>四是健全实施保障。</w:t>
      </w:r>
      <w:r>
        <w:rPr>
          <w:rFonts w:hint="eastAsia" w:ascii="仿宋_GB2312" w:hAnsi="仿宋_GB2312" w:eastAsia="仿宋_GB2312"/>
          <w:color w:val="000000"/>
          <w:sz w:val="32"/>
        </w:rPr>
        <w:t>建立跨部门协同联动和清单化管理机制，重大项目实施专班服务，协调破解落地堵点。实行年度会商研判，动态调整工作举措，保障规划落地实施。</w:t>
      </w:r>
    </w:p>
    <w:p w14:paraId="4A6C6F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right="0" w:rightChars="0" w:firstLine="0" w:firstLineChars="0"/>
        <w:textAlignment w:val="auto"/>
        <w:rPr>
          <w:rFonts w:hint="eastAsia" w:ascii="仿宋_GB2312" w:hAnsi="仿宋_GB2312"/>
          <w:szCs w:val="32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PMingLiU">
    <w:altName w:val="思源黑体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3C5C59"/>
    <w:multiLevelType w:val="multilevel"/>
    <w:tmpl w:val="3B3C5C59"/>
    <w:lvl w:ilvl="0" w:tentative="0">
      <w:start w:val="2"/>
      <w:numFmt w:val="chineseCounting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6AE05AFD"/>
    <w:multiLevelType w:val="multilevel"/>
    <w:tmpl w:val="6AE05AFD"/>
    <w:lvl w:ilvl="0" w:tentative="0">
      <w:start w:val="2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DAD"/>
    <w:rsid w:val="00005AD5"/>
    <w:rsid w:val="000072C0"/>
    <w:rsid w:val="00011826"/>
    <w:rsid w:val="000138EF"/>
    <w:rsid w:val="0001464F"/>
    <w:rsid w:val="00017AF7"/>
    <w:rsid w:val="00017EC3"/>
    <w:rsid w:val="00021902"/>
    <w:rsid w:val="0002629D"/>
    <w:rsid w:val="00027295"/>
    <w:rsid w:val="00031FE3"/>
    <w:rsid w:val="000328B7"/>
    <w:rsid w:val="0003638A"/>
    <w:rsid w:val="00036665"/>
    <w:rsid w:val="00036E99"/>
    <w:rsid w:val="000373CD"/>
    <w:rsid w:val="00040C73"/>
    <w:rsid w:val="00042657"/>
    <w:rsid w:val="0004373A"/>
    <w:rsid w:val="00044D37"/>
    <w:rsid w:val="00047A78"/>
    <w:rsid w:val="00050C6F"/>
    <w:rsid w:val="000516DB"/>
    <w:rsid w:val="00051CA9"/>
    <w:rsid w:val="00051EF2"/>
    <w:rsid w:val="00052FFD"/>
    <w:rsid w:val="000545FB"/>
    <w:rsid w:val="00060D88"/>
    <w:rsid w:val="00065825"/>
    <w:rsid w:val="00066934"/>
    <w:rsid w:val="00073C1B"/>
    <w:rsid w:val="0007715F"/>
    <w:rsid w:val="00080604"/>
    <w:rsid w:val="000809A5"/>
    <w:rsid w:val="00080D70"/>
    <w:rsid w:val="00081089"/>
    <w:rsid w:val="00083028"/>
    <w:rsid w:val="00083FE9"/>
    <w:rsid w:val="00087467"/>
    <w:rsid w:val="000907E7"/>
    <w:rsid w:val="00091323"/>
    <w:rsid w:val="00094BA3"/>
    <w:rsid w:val="000950A5"/>
    <w:rsid w:val="00095683"/>
    <w:rsid w:val="00096F06"/>
    <w:rsid w:val="000A1BF0"/>
    <w:rsid w:val="000A50F6"/>
    <w:rsid w:val="000B163F"/>
    <w:rsid w:val="000B284A"/>
    <w:rsid w:val="000B3BAA"/>
    <w:rsid w:val="000B5BC1"/>
    <w:rsid w:val="000B75D3"/>
    <w:rsid w:val="000C077A"/>
    <w:rsid w:val="000C4B47"/>
    <w:rsid w:val="000C57A4"/>
    <w:rsid w:val="000C7420"/>
    <w:rsid w:val="000D0539"/>
    <w:rsid w:val="000D15D5"/>
    <w:rsid w:val="000D19DF"/>
    <w:rsid w:val="000D4CE1"/>
    <w:rsid w:val="000D5FEF"/>
    <w:rsid w:val="000D6B2B"/>
    <w:rsid w:val="000E35EB"/>
    <w:rsid w:val="000E4E4C"/>
    <w:rsid w:val="000E509C"/>
    <w:rsid w:val="000E5D77"/>
    <w:rsid w:val="000E6E4F"/>
    <w:rsid w:val="000E7CA5"/>
    <w:rsid w:val="000E7F4B"/>
    <w:rsid w:val="000F218F"/>
    <w:rsid w:val="000F30C3"/>
    <w:rsid w:val="000F6407"/>
    <w:rsid w:val="000F7AF0"/>
    <w:rsid w:val="00102D69"/>
    <w:rsid w:val="00103991"/>
    <w:rsid w:val="00104FB7"/>
    <w:rsid w:val="00105C11"/>
    <w:rsid w:val="0010608E"/>
    <w:rsid w:val="00107BFE"/>
    <w:rsid w:val="00110420"/>
    <w:rsid w:val="00111DC8"/>
    <w:rsid w:val="00112CA7"/>
    <w:rsid w:val="00114484"/>
    <w:rsid w:val="00114A36"/>
    <w:rsid w:val="001150F2"/>
    <w:rsid w:val="00116B01"/>
    <w:rsid w:val="00120E74"/>
    <w:rsid w:val="00122200"/>
    <w:rsid w:val="0012425F"/>
    <w:rsid w:val="0012639C"/>
    <w:rsid w:val="00126E18"/>
    <w:rsid w:val="00127C77"/>
    <w:rsid w:val="00127F7B"/>
    <w:rsid w:val="00130202"/>
    <w:rsid w:val="0013741F"/>
    <w:rsid w:val="001375AC"/>
    <w:rsid w:val="0014370C"/>
    <w:rsid w:val="00150E49"/>
    <w:rsid w:val="0015381C"/>
    <w:rsid w:val="00154067"/>
    <w:rsid w:val="00155CA6"/>
    <w:rsid w:val="001562EB"/>
    <w:rsid w:val="00161BC5"/>
    <w:rsid w:val="00165732"/>
    <w:rsid w:val="001666FB"/>
    <w:rsid w:val="001712F7"/>
    <w:rsid w:val="00173D93"/>
    <w:rsid w:val="00181CA6"/>
    <w:rsid w:val="00184130"/>
    <w:rsid w:val="00185554"/>
    <w:rsid w:val="001857B6"/>
    <w:rsid w:val="001859A8"/>
    <w:rsid w:val="00186376"/>
    <w:rsid w:val="00186A78"/>
    <w:rsid w:val="001924F5"/>
    <w:rsid w:val="00192828"/>
    <w:rsid w:val="00192EC4"/>
    <w:rsid w:val="001937DE"/>
    <w:rsid w:val="001A0FAF"/>
    <w:rsid w:val="001A492B"/>
    <w:rsid w:val="001A7525"/>
    <w:rsid w:val="001B3F46"/>
    <w:rsid w:val="001B71D7"/>
    <w:rsid w:val="001C071D"/>
    <w:rsid w:val="001C21B9"/>
    <w:rsid w:val="001C64E7"/>
    <w:rsid w:val="001D0E14"/>
    <w:rsid w:val="001D3E89"/>
    <w:rsid w:val="001D68A4"/>
    <w:rsid w:val="001D6911"/>
    <w:rsid w:val="001E04AA"/>
    <w:rsid w:val="001E1C35"/>
    <w:rsid w:val="001E30D7"/>
    <w:rsid w:val="001E340F"/>
    <w:rsid w:val="001F07E2"/>
    <w:rsid w:val="001F30A5"/>
    <w:rsid w:val="001F3863"/>
    <w:rsid w:val="001F4177"/>
    <w:rsid w:val="001F548F"/>
    <w:rsid w:val="001F5507"/>
    <w:rsid w:val="001F76A9"/>
    <w:rsid w:val="00202350"/>
    <w:rsid w:val="00202872"/>
    <w:rsid w:val="0020479A"/>
    <w:rsid w:val="00204FF4"/>
    <w:rsid w:val="0020772B"/>
    <w:rsid w:val="002113CE"/>
    <w:rsid w:val="00212B31"/>
    <w:rsid w:val="0021325E"/>
    <w:rsid w:val="00214DB4"/>
    <w:rsid w:val="0021551B"/>
    <w:rsid w:val="00216CEF"/>
    <w:rsid w:val="00217D31"/>
    <w:rsid w:val="00220E22"/>
    <w:rsid w:val="0022163A"/>
    <w:rsid w:val="00221816"/>
    <w:rsid w:val="00222BA9"/>
    <w:rsid w:val="00223B35"/>
    <w:rsid w:val="00223F47"/>
    <w:rsid w:val="00225B12"/>
    <w:rsid w:val="00226BF3"/>
    <w:rsid w:val="00227C9E"/>
    <w:rsid w:val="002304CF"/>
    <w:rsid w:val="00232AF4"/>
    <w:rsid w:val="00234F2F"/>
    <w:rsid w:val="0023561D"/>
    <w:rsid w:val="0023561E"/>
    <w:rsid w:val="002368A2"/>
    <w:rsid w:val="00237DAC"/>
    <w:rsid w:val="0024223B"/>
    <w:rsid w:val="00242739"/>
    <w:rsid w:val="00245981"/>
    <w:rsid w:val="00245E72"/>
    <w:rsid w:val="0024722F"/>
    <w:rsid w:val="0024745E"/>
    <w:rsid w:val="00251501"/>
    <w:rsid w:val="00251784"/>
    <w:rsid w:val="00252555"/>
    <w:rsid w:val="002527AF"/>
    <w:rsid w:val="00253324"/>
    <w:rsid w:val="002539F8"/>
    <w:rsid w:val="00254A92"/>
    <w:rsid w:val="00255DC4"/>
    <w:rsid w:val="00257052"/>
    <w:rsid w:val="00257B82"/>
    <w:rsid w:val="00260E46"/>
    <w:rsid w:val="0026127C"/>
    <w:rsid w:val="0026357D"/>
    <w:rsid w:val="0026496A"/>
    <w:rsid w:val="00271A3F"/>
    <w:rsid w:val="00273134"/>
    <w:rsid w:val="00273DC4"/>
    <w:rsid w:val="002757F5"/>
    <w:rsid w:val="00281811"/>
    <w:rsid w:val="00284C6F"/>
    <w:rsid w:val="00284E9E"/>
    <w:rsid w:val="00284FB9"/>
    <w:rsid w:val="00293540"/>
    <w:rsid w:val="0029366F"/>
    <w:rsid w:val="00293C00"/>
    <w:rsid w:val="00294EF0"/>
    <w:rsid w:val="00295277"/>
    <w:rsid w:val="002A1FBC"/>
    <w:rsid w:val="002A3677"/>
    <w:rsid w:val="002A3AC9"/>
    <w:rsid w:val="002B4BE9"/>
    <w:rsid w:val="002B5788"/>
    <w:rsid w:val="002B62DF"/>
    <w:rsid w:val="002B691A"/>
    <w:rsid w:val="002C2E9D"/>
    <w:rsid w:val="002C2FD3"/>
    <w:rsid w:val="002C3A28"/>
    <w:rsid w:val="002C7337"/>
    <w:rsid w:val="002D09E7"/>
    <w:rsid w:val="002D1A35"/>
    <w:rsid w:val="002D3C3D"/>
    <w:rsid w:val="002D51A5"/>
    <w:rsid w:val="002E02F9"/>
    <w:rsid w:val="002E3DD2"/>
    <w:rsid w:val="002E4CF7"/>
    <w:rsid w:val="002E57D7"/>
    <w:rsid w:val="002E5F61"/>
    <w:rsid w:val="002E6C34"/>
    <w:rsid w:val="002E775F"/>
    <w:rsid w:val="002F2DD5"/>
    <w:rsid w:val="002F3301"/>
    <w:rsid w:val="002F6A2D"/>
    <w:rsid w:val="003023E4"/>
    <w:rsid w:val="0030499B"/>
    <w:rsid w:val="00306BA7"/>
    <w:rsid w:val="0030752F"/>
    <w:rsid w:val="00310485"/>
    <w:rsid w:val="00313A2C"/>
    <w:rsid w:val="0031517F"/>
    <w:rsid w:val="00317BDB"/>
    <w:rsid w:val="003215E7"/>
    <w:rsid w:val="00322888"/>
    <w:rsid w:val="00324869"/>
    <w:rsid w:val="00325935"/>
    <w:rsid w:val="00330569"/>
    <w:rsid w:val="00331603"/>
    <w:rsid w:val="00332979"/>
    <w:rsid w:val="0033362D"/>
    <w:rsid w:val="003349FF"/>
    <w:rsid w:val="0033781B"/>
    <w:rsid w:val="00340748"/>
    <w:rsid w:val="00345AA9"/>
    <w:rsid w:val="00345DBE"/>
    <w:rsid w:val="003478F0"/>
    <w:rsid w:val="00347EB5"/>
    <w:rsid w:val="003529A3"/>
    <w:rsid w:val="00353928"/>
    <w:rsid w:val="00354105"/>
    <w:rsid w:val="003557AD"/>
    <w:rsid w:val="00355864"/>
    <w:rsid w:val="003577C4"/>
    <w:rsid w:val="00360223"/>
    <w:rsid w:val="00361ADF"/>
    <w:rsid w:val="003635D6"/>
    <w:rsid w:val="00366301"/>
    <w:rsid w:val="00366F30"/>
    <w:rsid w:val="0036776F"/>
    <w:rsid w:val="00370DED"/>
    <w:rsid w:val="00371549"/>
    <w:rsid w:val="003723DB"/>
    <w:rsid w:val="00373507"/>
    <w:rsid w:val="0037445B"/>
    <w:rsid w:val="00375244"/>
    <w:rsid w:val="00375837"/>
    <w:rsid w:val="00375BDC"/>
    <w:rsid w:val="00376581"/>
    <w:rsid w:val="0037765E"/>
    <w:rsid w:val="00382116"/>
    <w:rsid w:val="00384EAE"/>
    <w:rsid w:val="00386E12"/>
    <w:rsid w:val="003917BA"/>
    <w:rsid w:val="00393BA7"/>
    <w:rsid w:val="00393C33"/>
    <w:rsid w:val="003A3B56"/>
    <w:rsid w:val="003A5441"/>
    <w:rsid w:val="003A66A6"/>
    <w:rsid w:val="003A768C"/>
    <w:rsid w:val="003A7AEF"/>
    <w:rsid w:val="003B0674"/>
    <w:rsid w:val="003B0E9F"/>
    <w:rsid w:val="003B1F95"/>
    <w:rsid w:val="003C0B48"/>
    <w:rsid w:val="003C5E0B"/>
    <w:rsid w:val="003C7067"/>
    <w:rsid w:val="003C7FE6"/>
    <w:rsid w:val="003D3DD9"/>
    <w:rsid w:val="003D4562"/>
    <w:rsid w:val="003D61C4"/>
    <w:rsid w:val="003E3562"/>
    <w:rsid w:val="003E6A1F"/>
    <w:rsid w:val="003E71CD"/>
    <w:rsid w:val="003F3BDE"/>
    <w:rsid w:val="003F65B5"/>
    <w:rsid w:val="003F6AF5"/>
    <w:rsid w:val="003F70EE"/>
    <w:rsid w:val="003F712F"/>
    <w:rsid w:val="003F7B61"/>
    <w:rsid w:val="004009F7"/>
    <w:rsid w:val="004015D2"/>
    <w:rsid w:val="004016E3"/>
    <w:rsid w:val="004019B5"/>
    <w:rsid w:val="00403193"/>
    <w:rsid w:val="00404E20"/>
    <w:rsid w:val="004052AE"/>
    <w:rsid w:val="0040709B"/>
    <w:rsid w:val="0040776F"/>
    <w:rsid w:val="004078AD"/>
    <w:rsid w:val="00410589"/>
    <w:rsid w:val="00410980"/>
    <w:rsid w:val="00411BE3"/>
    <w:rsid w:val="004140D4"/>
    <w:rsid w:val="00414CE1"/>
    <w:rsid w:val="00415A98"/>
    <w:rsid w:val="004203ED"/>
    <w:rsid w:val="0042235A"/>
    <w:rsid w:val="00422658"/>
    <w:rsid w:val="00424443"/>
    <w:rsid w:val="0042447F"/>
    <w:rsid w:val="00424D6C"/>
    <w:rsid w:val="00430164"/>
    <w:rsid w:val="00431164"/>
    <w:rsid w:val="004369A3"/>
    <w:rsid w:val="00436BB0"/>
    <w:rsid w:val="00437C48"/>
    <w:rsid w:val="00441474"/>
    <w:rsid w:val="00441996"/>
    <w:rsid w:val="00442171"/>
    <w:rsid w:val="00442A9A"/>
    <w:rsid w:val="00442E39"/>
    <w:rsid w:val="00442F3A"/>
    <w:rsid w:val="00444801"/>
    <w:rsid w:val="004450C9"/>
    <w:rsid w:val="00446426"/>
    <w:rsid w:val="0044682B"/>
    <w:rsid w:val="00446E8E"/>
    <w:rsid w:val="004470BC"/>
    <w:rsid w:val="00450344"/>
    <w:rsid w:val="0045145F"/>
    <w:rsid w:val="004552C8"/>
    <w:rsid w:val="00455877"/>
    <w:rsid w:val="00455B3A"/>
    <w:rsid w:val="004604EE"/>
    <w:rsid w:val="00461DB6"/>
    <w:rsid w:val="00462E99"/>
    <w:rsid w:val="004643F4"/>
    <w:rsid w:val="004658B4"/>
    <w:rsid w:val="00465EC9"/>
    <w:rsid w:val="00470501"/>
    <w:rsid w:val="00472A05"/>
    <w:rsid w:val="00473729"/>
    <w:rsid w:val="00476B01"/>
    <w:rsid w:val="00476DB6"/>
    <w:rsid w:val="004776C1"/>
    <w:rsid w:val="00481E70"/>
    <w:rsid w:val="004858A2"/>
    <w:rsid w:val="00487748"/>
    <w:rsid w:val="00491248"/>
    <w:rsid w:val="00493700"/>
    <w:rsid w:val="004939CD"/>
    <w:rsid w:val="0049441E"/>
    <w:rsid w:val="00494CF6"/>
    <w:rsid w:val="00496475"/>
    <w:rsid w:val="0049712C"/>
    <w:rsid w:val="00497F1E"/>
    <w:rsid w:val="004A1501"/>
    <w:rsid w:val="004A3D6C"/>
    <w:rsid w:val="004A4032"/>
    <w:rsid w:val="004A6AC9"/>
    <w:rsid w:val="004B037A"/>
    <w:rsid w:val="004B0A08"/>
    <w:rsid w:val="004B756D"/>
    <w:rsid w:val="004B793F"/>
    <w:rsid w:val="004B7943"/>
    <w:rsid w:val="004C243F"/>
    <w:rsid w:val="004C4B5F"/>
    <w:rsid w:val="004C4FCA"/>
    <w:rsid w:val="004C6EDC"/>
    <w:rsid w:val="004C7672"/>
    <w:rsid w:val="004D2EBF"/>
    <w:rsid w:val="004D36AF"/>
    <w:rsid w:val="004D3BA7"/>
    <w:rsid w:val="004D47CF"/>
    <w:rsid w:val="004D7C15"/>
    <w:rsid w:val="004E125B"/>
    <w:rsid w:val="004E4472"/>
    <w:rsid w:val="004E503C"/>
    <w:rsid w:val="004E5E17"/>
    <w:rsid w:val="004E7846"/>
    <w:rsid w:val="004F08D9"/>
    <w:rsid w:val="004F25AB"/>
    <w:rsid w:val="004F297D"/>
    <w:rsid w:val="004F2E69"/>
    <w:rsid w:val="004F377A"/>
    <w:rsid w:val="004F4FB3"/>
    <w:rsid w:val="005044ED"/>
    <w:rsid w:val="00504DB6"/>
    <w:rsid w:val="005072F4"/>
    <w:rsid w:val="00512DEC"/>
    <w:rsid w:val="00513AF2"/>
    <w:rsid w:val="00515494"/>
    <w:rsid w:val="00520DA5"/>
    <w:rsid w:val="00522763"/>
    <w:rsid w:val="005248D5"/>
    <w:rsid w:val="00525570"/>
    <w:rsid w:val="00526004"/>
    <w:rsid w:val="00527C6D"/>
    <w:rsid w:val="005305D1"/>
    <w:rsid w:val="00530AA0"/>
    <w:rsid w:val="00531162"/>
    <w:rsid w:val="0053158B"/>
    <w:rsid w:val="005316B8"/>
    <w:rsid w:val="00531743"/>
    <w:rsid w:val="00531F18"/>
    <w:rsid w:val="0053219F"/>
    <w:rsid w:val="00532BB5"/>
    <w:rsid w:val="00533D8D"/>
    <w:rsid w:val="00536210"/>
    <w:rsid w:val="005364D1"/>
    <w:rsid w:val="0054072A"/>
    <w:rsid w:val="00541D70"/>
    <w:rsid w:val="005420AF"/>
    <w:rsid w:val="00542E6E"/>
    <w:rsid w:val="00543068"/>
    <w:rsid w:val="00547CF9"/>
    <w:rsid w:val="00551922"/>
    <w:rsid w:val="00554264"/>
    <w:rsid w:val="00555D5B"/>
    <w:rsid w:val="00556B00"/>
    <w:rsid w:val="00561184"/>
    <w:rsid w:val="00561503"/>
    <w:rsid w:val="005627D4"/>
    <w:rsid w:val="005647AD"/>
    <w:rsid w:val="005674F1"/>
    <w:rsid w:val="0056799F"/>
    <w:rsid w:val="005802AF"/>
    <w:rsid w:val="00581B83"/>
    <w:rsid w:val="00582F67"/>
    <w:rsid w:val="00583304"/>
    <w:rsid w:val="00584E4E"/>
    <w:rsid w:val="0058645E"/>
    <w:rsid w:val="005907F1"/>
    <w:rsid w:val="00591418"/>
    <w:rsid w:val="00591F79"/>
    <w:rsid w:val="005926BD"/>
    <w:rsid w:val="0059376B"/>
    <w:rsid w:val="00593D86"/>
    <w:rsid w:val="005946A0"/>
    <w:rsid w:val="0059628E"/>
    <w:rsid w:val="00596AD3"/>
    <w:rsid w:val="00597B09"/>
    <w:rsid w:val="005A34FF"/>
    <w:rsid w:val="005A3F48"/>
    <w:rsid w:val="005A621B"/>
    <w:rsid w:val="005A6D6A"/>
    <w:rsid w:val="005A74A4"/>
    <w:rsid w:val="005A74FC"/>
    <w:rsid w:val="005A78A8"/>
    <w:rsid w:val="005B0A6F"/>
    <w:rsid w:val="005B42CF"/>
    <w:rsid w:val="005B5EE6"/>
    <w:rsid w:val="005B7591"/>
    <w:rsid w:val="005C0DEE"/>
    <w:rsid w:val="005C0F9E"/>
    <w:rsid w:val="005C1783"/>
    <w:rsid w:val="005C2224"/>
    <w:rsid w:val="005C2D3A"/>
    <w:rsid w:val="005C37FA"/>
    <w:rsid w:val="005C3BDE"/>
    <w:rsid w:val="005C3D56"/>
    <w:rsid w:val="005C4F3A"/>
    <w:rsid w:val="005C54BD"/>
    <w:rsid w:val="005D0B7E"/>
    <w:rsid w:val="005D36BC"/>
    <w:rsid w:val="005D443D"/>
    <w:rsid w:val="005D7991"/>
    <w:rsid w:val="005E0BB6"/>
    <w:rsid w:val="005E11AF"/>
    <w:rsid w:val="005E1551"/>
    <w:rsid w:val="005E18C4"/>
    <w:rsid w:val="005E1E4E"/>
    <w:rsid w:val="005E2A98"/>
    <w:rsid w:val="005E4427"/>
    <w:rsid w:val="005E648B"/>
    <w:rsid w:val="005F09F5"/>
    <w:rsid w:val="005F2CB8"/>
    <w:rsid w:val="005F2E7C"/>
    <w:rsid w:val="005F4C9D"/>
    <w:rsid w:val="005F5F9D"/>
    <w:rsid w:val="005F6C93"/>
    <w:rsid w:val="005F772C"/>
    <w:rsid w:val="005F7C39"/>
    <w:rsid w:val="00602DF0"/>
    <w:rsid w:val="00603E2C"/>
    <w:rsid w:val="006048C2"/>
    <w:rsid w:val="00607492"/>
    <w:rsid w:val="006131BB"/>
    <w:rsid w:val="00614EB3"/>
    <w:rsid w:val="00616D43"/>
    <w:rsid w:val="00617097"/>
    <w:rsid w:val="00617329"/>
    <w:rsid w:val="006204CF"/>
    <w:rsid w:val="00624E29"/>
    <w:rsid w:val="00625002"/>
    <w:rsid w:val="0062771F"/>
    <w:rsid w:val="00631626"/>
    <w:rsid w:val="00631A9F"/>
    <w:rsid w:val="006354E9"/>
    <w:rsid w:val="0063558D"/>
    <w:rsid w:val="0063588C"/>
    <w:rsid w:val="006361D0"/>
    <w:rsid w:val="0063635E"/>
    <w:rsid w:val="00637634"/>
    <w:rsid w:val="00641CED"/>
    <w:rsid w:val="00642CB6"/>
    <w:rsid w:val="0064632D"/>
    <w:rsid w:val="0065159D"/>
    <w:rsid w:val="00651F6A"/>
    <w:rsid w:val="006530E5"/>
    <w:rsid w:val="00653FC6"/>
    <w:rsid w:val="00654865"/>
    <w:rsid w:val="00664257"/>
    <w:rsid w:val="0066536E"/>
    <w:rsid w:val="00666D69"/>
    <w:rsid w:val="006739DD"/>
    <w:rsid w:val="00674A15"/>
    <w:rsid w:val="00674B66"/>
    <w:rsid w:val="006751B1"/>
    <w:rsid w:val="00680D35"/>
    <w:rsid w:val="0068123D"/>
    <w:rsid w:val="00682C64"/>
    <w:rsid w:val="006845A9"/>
    <w:rsid w:val="006877AD"/>
    <w:rsid w:val="00690100"/>
    <w:rsid w:val="00697834"/>
    <w:rsid w:val="006A05BF"/>
    <w:rsid w:val="006A2C4E"/>
    <w:rsid w:val="006A2D38"/>
    <w:rsid w:val="006A2E1E"/>
    <w:rsid w:val="006A31F2"/>
    <w:rsid w:val="006A5C5D"/>
    <w:rsid w:val="006A74BE"/>
    <w:rsid w:val="006B22E5"/>
    <w:rsid w:val="006B3354"/>
    <w:rsid w:val="006B3C37"/>
    <w:rsid w:val="006B5E43"/>
    <w:rsid w:val="006C0D48"/>
    <w:rsid w:val="006C3240"/>
    <w:rsid w:val="006C6B1D"/>
    <w:rsid w:val="006D61F5"/>
    <w:rsid w:val="006E080B"/>
    <w:rsid w:val="006E177F"/>
    <w:rsid w:val="006E1D3D"/>
    <w:rsid w:val="006E2FD6"/>
    <w:rsid w:val="006E5145"/>
    <w:rsid w:val="006E686E"/>
    <w:rsid w:val="006E6BCF"/>
    <w:rsid w:val="006E7590"/>
    <w:rsid w:val="006F0CEB"/>
    <w:rsid w:val="006F26FE"/>
    <w:rsid w:val="006F28D0"/>
    <w:rsid w:val="006F2DA4"/>
    <w:rsid w:val="006F2ECF"/>
    <w:rsid w:val="006F3379"/>
    <w:rsid w:val="006F4188"/>
    <w:rsid w:val="006F4733"/>
    <w:rsid w:val="00700122"/>
    <w:rsid w:val="00700E41"/>
    <w:rsid w:val="0070241B"/>
    <w:rsid w:val="00702880"/>
    <w:rsid w:val="00702CE9"/>
    <w:rsid w:val="00704FA6"/>
    <w:rsid w:val="0070573F"/>
    <w:rsid w:val="00707425"/>
    <w:rsid w:val="00712794"/>
    <w:rsid w:val="007137A5"/>
    <w:rsid w:val="007216DC"/>
    <w:rsid w:val="007230CD"/>
    <w:rsid w:val="007245A9"/>
    <w:rsid w:val="007254B1"/>
    <w:rsid w:val="007261F6"/>
    <w:rsid w:val="00730EB2"/>
    <w:rsid w:val="00731A78"/>
    <w:rsid w:val="007327D5"/>
    <w:rsid w:val="00732CA1"/>
    <w:rsid w:val="00735DD2"/>
    <w:rsid w:val="0073641D"/>
    <w:rsid w:val="0074053B"/>
    <w:rsid w:val="007427E7"/>
    <w:rsid w:val="00743F5B"/>
    <w:rsid w:val="007462E9"/>
    <w:rsid w:val="0074696D"/>
    <w:rsid w:val="00747D52"/>
    <w:rsid w:val="00752A72"/>
    <w:rsid w:val="00753032"/>
    <w:rsid w:val="00764DAC"/>
    <w:rsid w:val="00765D97"/>
    <w:rsid w:val="00765EEC"/>
    <w:rsid w:val="00766E48"/>
    <w:rsid w:val="00766F46"/>
    <w:rsid w:val="0077264E"/>
    <w:rsid w:val="00773462"/>
    <w:rsid w:val="007739BB"/>
    <w:rsid w:val="007770AC"/>
    <w:rsid w:val="007816C2"/>
    <w:rsid w:val="00781DB3"/>
    <w:rsid w:val="00782450"/>
    <w:rsid w:val="007832F6"/>
    <w:rsid w:val="007837CE"/>
    <w:rsid w:val="007846B4"/>
    <w:rsid w:val="00790EC0"/>
    <w:rsid w:val="00791B16"/>
    <w:rsid w:val="00792C9F"/>
    <w:rsid w:val="00793B03"/>
    <w:rsid w:val="00794926"/>
    <w:rsid w:val="007A3DDD"/>
    <w:rsid w:val="007A4F69"/>
    <w:rsid w:val="007A60D7"/>
    <w:rsid w:val="007A63F3"/>
    <w:rsid w:val="007A7A4D"/>
    <w:rsid w:val="007B08A4"/>
    <w:rsid w:val="007B094C"/>
    <w:rsid w:val="007B147B"/>
    <w:rsid w:val="007B2C01"/>
    <w:rsid w:val="007B2C99"/>
    <w:rsid w:val="007B3057"/>
    <w:rsid w:val="007B4549"/>
    <w:rsid w:val="007B46F9"/>
    <w:rsid w:val="007B6732"/>
    <w:rsid w:val="007B790E"/>
    <w:rsid w:val="007C318A"/>
    <w:rsid w:val="007C5AE0"/>
    <w:rsid w:val="007C7508"/>
    <w:rsid w:val="007D00C2"/>
    <w:rsid w:val="007D113D"/>
    <w:rsid w:val="007D3B9B"/>
    <w:rsid w:val="007D3DD5"/>
    <w:rsid w:val="007D3FD5"/>
    <w:rsid w:val="007D4F17"/>
    <w:rsid w:val="007D6BCE"/>
    <w:rsid w:val="007E083A"/>
    <w:rsid w:val="007E39B3"/>
    <w:rsid w:val="007E4FEB"/>
    <w:rsid w:val="007E667C"/>
    <w:rsid w:val="007F0F03"/>
    <w:rsid w:val="007F220A"/>
    <w:rsid w:val="007F232A"/>
    <w:rsid w:val="007F4203"/>
    <w:rsid w:val="00801370"/>
    <w:rsid w:val="00802F1B"/>
    <w:rsid w:val="0080332F"/>
    <w:rsid w:val="00803355"/>
    <w:rsid w:val="008037AC"/>
    <w:rsid w:val="00803BB9"/>
    <w:rsid w:val="00804ADF"/>
    <w:rsid w:val="00813001"/>
    <w:rsid w:val="00815A78"/>
    <w:rsid w:val="00816B76"/>
    <w:rsid w:val="008203D0"/>
    <w:rsid w:val="00821433"/>
    <w:rsid w:val="0082163A"/>
    <w:rsid w:val="00822D1A"/>
    <w:rsid w:val="0082373B"/>
    <w:rsid w:val="00824D48"/>
    <w:rsid w:val="00826CCC"/>
    <w:rsid w:val="00831D5D"/>
    <w:rsid w:val="0084631D"/>
    <w:rsid w:val="00847472"/>
    <w:rsid w:val="00847482"/>
    <w:rsid w:val="00847762"/>
    <w:rsid w:val="00850E46"/>
    <w:rsid w:val="0085180B"/>
    <w:rsid w:val="00851FF6"/>
    <w:rsid w:val="0085201B"/>
    <w:rsid w:val="0085235A"/>
    <w:rsid w:val="00852B0D"/>
    <w:rsid w:val="0085527B"/>
    <w:rsid w:val="00855B85"/>
    <w:rsid w:val="008566FA"/>
    <w:rsid w:val="00861681"/>
    <w:rsid w:val="0086177B"/>
    <w:rsid w:val="00862828"/>
    <w:rsid w:val="00862F84"/>
    <w:rsid w:val="008643E5"/>
    <w:rsid w:val="00871CA7"/>
    <w:rsid w:val="008734FB"/>
    <w:rsid w:val="00875E31"/>
    <w:rsid w:val="00876246"/>
    <w:rsid w:val="00882A87"/>
    <w:rsid w:val="00882B33"/>
    <w:rsid w:val="0088376E"/>
    <w:rsid w:val="008838CE"/>
    <w:rsid w:val="00883928"/>
    <w:rsid w:val="00884817"/>
    <w:rsid w:val="00884863"/>
    <w:rsid w:val="008870C1"/>
    <w:rsid w:val="00887CE6"/>
    <w:rsid w:val="008915E6"/>
    <w:rsid w:val="00891A8C"/>
    <w:rsid w:val="008A008E"/>
    <w:rsid w:val="008A0469"/>
    <w:rsid w:val="008A0560"/>
    <w:rsid w:val="008A1F06"/>
    <w:rsid w:val="008A5DAD"/>
    <w:rsid w:val="008A6F80"/>
    <w:rsid w:val="008A7D8F"/>
    <w:rsid w:val="008A7F25"/>
    <w:rsid w:val="008B1D80"/>
    <w:rsid w:val="008B2FD8"/>
    <w:rsid w:val="008B3334"/>
    <w:rsid w:val="008B4193"/>
    <w:rsid w:val="008B5F08"/>
    <w:rsid w:val="008B6361"/>
    <w:rsid w:val="008C07FA"/>
    <w:rsid w:val="008C1A6B"/>
    <w:rsid w:val="008C3910"/>
    <w:rsid w:val="008C4432"/>
    <w:rsid w:val="008C4B45"/>
    <w:rsid w:val="008C5622"/>
    <w:rsid w:val="008C5882"/>
    <w:rsid w:val="008C6184"/>
    <w:rsid w:val="008C70A7"/>
    <w:rsid w:val="008D1F90"/>
    <w:rsid w:val="008D3BBD"/>
    <w:rsid w:val="008D59FA"/>
    <w:rsid w:val="008D7E36"/>
    <w:rsid w:val="008E16E7"/>
    <w:rsid w:val="008E3F37"/>
    <w:rsid w:val="008E5D16"/>
    <w:rsid w:val="008F088D"/>
    <w:rsid w:val="008F32A8"/>
    <w:rsid w:val="008F3C4D"/>
    <w:rsid w:val="008F4E74"/>
    <w:rsid w:val="008F5615"/>
    <w:rsid w:val="008F5BB0"/>
    <w:rsid w:val="008F7DBC"/>
    <w:rsid w:val="009048EC"/>
    <w:rsid w:val="00904DB0"/>
    <w:rsid w:val="0090537A"/>
    <w:rsid w:val="0090609C"/>
    <w:rsid w:val="0091153D"/>
    <w:rsid w:val="0091167D"/>
    <w:rsid w:val="00914793"/>
    <w:rsid w:val="009154AA"/>
    <w:rsid w:val="00917283"/>
    <w:rsid w:val="00922BBD"/>
    <w:rsid w:val="00922E0A"/>
    <w:rsid w:val="00924041"/>
    <w:rsid w:val="00924408"/>
    <w:rsid w:val="00926B6B"/>
    <w:rsid w:val="00926BDA"/>
    <w:rsid w:val="0093198D"/>
    <w:rsid w:val="009325D3"/>
    <w:rsid w:val="0093416F"/>
    <w:rsid w:val="0094292B"/>
    <w:rsid w:val="00942AAF"/>
    <w:rsid w:val="00946215"/>
    <w:rsid w:val="00950613"/>
    <w:rsid w:val="00951473"/>
    <w:rsid w:val="00952C12"/>
    <w:rsid w:val="00954689"/>
    <w:rsid w:val="009558F2"/>
    <w:rsid w:val="00960969"/>
    <w:rsid w:val="00960E7B"/>
    <w:rsid w:val="0096258E"/>
    <w:rsid w:val="009635F3"/>
    <w:rsid w:val="009650EB"/>
    <w:rsid w:val="009664FE"/>
    <w:rsid w:val="00966A10"/>
    <w:rsid w:val="00970B45"/>
    <w:rsid w:val="009742DE"/>
    <w:rsid w:val="009767DA"/>
    <w:rsid w:val="00976891"/>
    <w:rsid w:val="00976FC3"/>
    <w:rsid w:val="0098277D"/>
    <w:rsid w:val="00982D7A"/>
    <w:rsid w:val="00985DBB"/>
    <w:rsid w:val="00985DE3"/>
    <w:rsid w:val="00990012"/>
    <w:rsid w:val="00994707"/>
    <w:rsid w:val="0099507E"/>
    <w:rsid w:val="00996A86"/>
    <w:rsid w:val="00997C1D"/>
    <w:rsid w:val="009A1F30"/>
    <w:rsid w:val="009B2ADF"/>
    <w:rsid w:val="009B38B8"/>
    <w:rsid w:val="009B3FA6"/>
    <w:rsid w:val="009B7653"/>
    <w:rsid w:val="009B7C06"/>
    <w:rsid w:val="009C1EE8"/>
    <w:rsid w:val="009C344E"/>
    <w:rsid w:val="009C464D"/>
    <w:rsid w:val="009C529F"/>
    <w:rsid w:val="009C643C"/>
    <w:rsid w:val="009C7321"/>
    <w:rsid w:val="009D0DA0"/>
    <w:rsid w:val="009D0FB9"/>
    <w:rsid w:val="009D2BF6"/>
    <w:rsid w:val="009D6103"/>
    <w:rsid w:val="009D62BB"/>
    <w:rsid w:val="009D676C"/>
    <w:rsid w:val="009E2260"/>
    <w:rsid w:val="009E2B8C"/>
    <w:rsid w:val="009F3FBB"/>
    <w:rsid w:val="009F67D4"/>
    <w:rsid w:val="009F6C81"/>
    <w:rsid w:val="00A03E31"/>
    <w:rsid w:val="00A05190"/>
    <w:rsid w:val="00A062D1"/>
    <w:rsid w:val="00A1231A"/>
    <w:rsid w:val="00A20665"/>
    <w:rsid w:val="00A21861"/>
    <w:rsid w:val="00A21E2A"/>
    <w:rsid w:val="00A22E12"/>
    <w:rsid w:val="00A26290"/>
    <w:rsid w:val="00A31CA1"/>
    <w:rsid w:val="00A33840"/>
    <w:rsid w:val="00A347E6"/>
    <w:rsid w:val="00A36916"/>
    <w:rsid w:val="00A36CBB"/>
    <w:rsid w:val="00A37F86"/>
    <w:rsid w:val="00A415D7"/>
    <w:rsid w:val="00A42622"/>
    <w:rsid w:val="00A47210"/>
    <w:rsid w:val="00A4728C"/>
    <w:rsid w:val="00A503E6"/>
    <w:rsid w:val="00A50EB5"/>
    <w:rsid w:val="00A528EE"/>
    <w:rsid w:val="00A53BDA"/>
    <w:rsid w:val="00A558FF"/>
    <w:rsid w:val="00A55F90"/>
    <w:rsid w:val="00A6021B"/>
    <w:rsid w:val="00A60399"/>
    <w:rsid w:val="00A60DA2"/>
    <w:rsid w:val="00A621AB"/>
    <w:rsid w:val="00A628EA"/>
    <w:rsid w:val="00A63BD7"/>
    <w:rsid w:val="00A65818"/>
    <w:rsid w:val="00A661EC"/>
    <w:rsid w:val="00A667EC"/>
    <w:rsid w:val="00A66989"/>
    <w:rsid w:val="00A713FD"/>
    <w:rsid w:val="00A727C9"/>
    <w:rsid w:val="00A72F90"/>
    <w:rsid w:val="00A73615"/>
    <w:rsid w:val="00A748D0"/>
    <w:rsid w:val="00A7495D"/>
    <w:rsid w:val="00A74A5B"/>
    <w:rsid w:val="00A76BFE"/>
    <w:rsid w:val="00A81CD0"/>
    <w:rsid w:val="00A83F07"/>
    <w:rsid w:val="00A868BD"/>
    <w:rsid w:val="00A87F81"/>
    <w:rsid w:val="00A94417"/>
    <w:rsid w:val="00A94E7A"/>
    <w:rsid w:val="00A96108"/>
    <w:rsid w:val="00A96D0E"/>
    <w:rsid w:val="00A9773D"/>
    <w:rsid w:val="00A97C9F"/>
    <w:rsid w:val="00AA2A78"/>
    <w:rsid w:val="00AA5379"/>
    <w:rsid w:val="00AA691D"/>
    <w:rsid w:val="00AA6A54"/>
    <w:rsid w:val="00AB0428"/>
    <w:rsid w:val="00AB0B6D"/>
    <w:rsid w:val="00AB1F63"/>
    <w:rsid w:val="00AB7AE3"/>
    <w:rsid w:val="00AB7BFD"/>
    <w:rsid w:val="00AC0A42"/>
    <w:rsid w:val="00AC21F3"/>
    <w:rsid w:val="00AC4507"/>
    <w:rsid w:val="00AC4658"/>
    <w:rsid w:val="00AC7580"/>
    <w:rsid w:val="00AD29FA"/>
    <w:rsid w:val="00AD6347"/>
    <w:rsid w:val="00AE036B"/>
    <w:rsid w:val="00AE11EC"/>
    <w:rsid w:val="00AE27A2"/>
    <w:rsid w:val="00AE6422"/>
    <w:rsid w:val="00AF1D5C"/>
    <w:rsid w:val="00B029DF"/>
    <w:rsid w:val="00B061B1"/>
    <w:rsid w:val="00B0718D"/>
    <w:rsid w:val="00B119C9"/>
    <w:rsid w:val="00B11F92"/>
    <w:rsid w:val="00B135E1"/>
    <w:rsid w:val="00B13B53"/>
    <w:rsid w:val="00B16294"/>
    <w:rsid w:val="00B20BFC"/>
    <w:rsid w:val="00B210FB"/>
    <w:rsid w:val="00B23A23"/>
    <w:rsid w:val="00B2556A"/>
    <w:rsid w:val="00B3028F"/>
    <w:rsid w:val="00B321DE"/>
    <w:rsid w:val="00B32DF8"/>
    <w:rsid w:val="00B3340A"/>
    <w:rsid w:val="00B34485"/>
    <w:rsid w:val="00B34B66"/>
    <w:rsid w:val="00B355CF"/>
    <w:rsid w:val="00B35A1F"/>
    <w:rsid w:val="00B36CE0"/>
    <w:rsid w:val="00B408FF"/>
    <w:rsid w:val="00B4435B"/>
    <w:rsid w:val="00B44ECD"/>
    <w:rsid w:val="00B453E6"/>
    <w:rsid w:val="00B4731D"/>
    <w:rsid w:val="00B50B40"/>
    <w:rsid w:val="00B515D5"/>
    <w:rsid w:val="00B51F23"/>
    <w:rsid w:val="00B576FF"/>
    <w:rsid w:val="00B67D1C"/>
    <w:rsid w:val="00B704B2"/>
    <w:rsid w:val="00B71502"/>
    <w:rsid w:val="00B74FFA"/>
    <w:rsid w:val="00B778BF"/>
    <w:rsid w:val="00B80B38"/>
    <w:rsid w:val="00B831EC"/>
    <w:rsid w:val="00B838F0"/>
    <w:rsid w:val="00B85314"/>
    <w:rsid w:val="00B85FD2"/>
    <w:rsid w:val="00B93E4F"/>
    <w:rsid w:val="00B9463C"/>
    <w:rsid w:val="00B96B7A"/>
    <w:rsid w:val="00BA07FB"/>
    <w:rsid w:val="00BA2E38"/>
    <w:rsid w:val="00BA42DF"/>
    <w:rsid w:val="00BB0A47"/>
    <w:rsid w:val="00BB231B"/>
    <w:rsid w:val="00BB31B5"/>
    <w:rsid w:val="00BB466E"/>
    <w:rsid w:val="00BB468C"/>
    <w:rsid w:val="00BB7947"/>
    <w:rsid w:val="00BC02F5"/>
    <w:rsid w:val="00BC0FA4"/>
    <w:rsid w:val="00BC3672"/>
    <w:rsid w:val="00BC4BDB"/>
    <w:rsid w:val="00BC6ADD"/>
    <w:rsid w:val="00BC6B1D"/>
    <w:rsid w:val="00BC6F7E"/>
    <w:rsid w:val="00BC7A55"/>
    <w:rsid w:val="00BD09E7"/>
    <w:rsid w:val="00BD1B1D"/>
    <w:rsid w:val="00BD32DE"/>
    <w:rsid w:val="00BD3C95"/>
    <w:rsid w:val="00BE1915"/>
    <w:rsid w:val="00BE37D9"/>
    <w:rsid w:val="00BE7714"/>
    <w:rsid w:val="00BF006E"/>
    <w:rsid w:val="00BF0187"/>
    <w:rsid w:val="00BF110C"/>
    <w:rsid w:val="00BF1348"/>
    <w:rsid w:val="00BF171A"/>
    <w:rsid w:val="00BF5BB4"/>
    <w:rsid w:val="00BF759C"/>
    <w:rsid w:val="00C01F2F"/>
    <w:rsid w:val="00C03609"/>
    <w:rsid w:val="00C0379A"/>
    <w:rsid w:val="00C05A3D"/>
    <w:rsid w:val="00C06057"/>
    <w:rsid w:val="00C078CE"/>
    <w:rsid w:val="00C12436"/>
    <w:rsid w:val="00C12B3F"/>
    <w:rsid w:val="00C12F6A"/>
    <w:rsid w:val="00C135D6"/>
    <w:rsid w:val="00C136B4"/>
    <w:rsid w:val="00C163DE"/>
    <w:rsid w:val="00C17C81"/>
    <w:rsid w:val="00C17C90"/>
    <w:rsid w:val="00C21B40"/>
    <w:rsid w:val="00C2206E"/>
    <w:rsid w:val="00C22F3C"/>
    <w:rsid w:val="00C3213D"/>
    <w:rsid w:val="00C33B28"/>
    <w:rsid w:val="00C345CA"/>
    <w:rsid w:val="00C352C0"/>
    <w:rsid w:val="00C40BD3"/>
    <w:rsid w:val="00C42721"/>
    <w:rsid w:val="00C45D22"/>
    <w:rsid w:val="00C462D4"/>
    <w:rsid w:val="00C47F99"/>
    <w:rsid w:val="00C50AD7"/>
    <w:rsid w:val="00C5364F"/>
    <w:rsid w:val="00C56EF7"/>
    <w:rsid w:val="00C62E58"/>
    <w:rsid w:val="00C630FD"/>
    <w:rsid w:val="00C63226"/>
    <w:rsid w:val="00C6355E"/>
    <w:rsid w:val="00C67534"/>
    <w:rsid w:val="00C70510"/>
    <w:rsid w:val="00C710C1"/>
    <w:rsid w:val="00C719B5"/>
    <w:rsid w:val="00C7458A"/>
    <w:rsid w:val="00C745DE"/>
    <w:rsid w:val="00C75C4C"/>
    <w:rsid w:val="00C779BE"/>
    <w:rsid w:val="00C83B0F"/>
    <w:rsid w:val="00C83C4D"/>
    <w:rsid w:val="00C8530C"/>
    <w:rsid w:val="00C85721"/>
    <w:rsid w:val="00C9324E"/>
    <w:rsid w:val="00C9453C"/>
    <w:rsid w:val="00C95B33"/>
    <w:rsid w:val="00CA0A6B"/>
    <w:rsid w:val="00CA0B70"/>
    <w:rsid w:val="00CA1F73"/>
    <w:rsid w:val="00CA70F6"/>
    <w:rsid w:val="00CA7E5F"/>
    <w:rsid w:val="00CB1492"/>
    <w:rsid w:val="00CB4C31"/>
    <w:rsid w:val="00CB5337"/>
    <w:rsid w:val="00CB6D85"/>
    <w:rsid w:val="00CB7007"/>
    <w:rsid w:val="00CC15D0"/>
    <w:rsid w:val="00CC3286"/>
    <w:rsid w:val="00CC5EF0"/>
    <w:rsid w:val="00CC7891"/>
    <w:rsid w:val="00CC7CC9"/>
    <w:rsid w:val="00CD1BCB"/>
    <w:rsid w:val="00CD2981"/>
    <w:rsid w:val="00CD2D70"/>
    <w:rsid w:val="00CD4F0B"/>
    <w:rsid w:val="00CD55E2"/>
    <w:rsid w:val="00CD5B66"/>
    <w:rsid w:val="00CE1E40"/>
    <w:rsid w:val="00CE287C"/>
    <w:rsid w:val="00CE2B05"/>
    <w:rsid w:val="00CE2E96"/>
    <w:rsid w:val="00CE5886"/>
    <w:rsid w:val="00CF0653"/>
    <w:rsid w:val="00CF0CD2"/>
    <w:rsid w:val="00CF327A"/>
    <w:rsid w:val="00CF694D"/>
    <w:rsid w:val="00CF6BE9"/>
    <w:rsid w:val="00CF7536"/>
    <w:rsid w:val="00D00DB2"/>
    <w:rsid w:val="00D0316F"/>
    <w:rsid w:val="00D052A5"/>
    <w:rsid w:val="00D056FD"/>
    <w:rsid w:val="00D1233E"/>
    <w:rsid w:val="00D13D7C"/>
    <w:rsid w:val="00D13EB4"/>
    <w:rsid w:val="00D13F8E"/>
    <w:rsid w:val="00D178F4"/>
    <w:rsid w:val="00D20DD1"/>
    <w:rsid w:val="00D2112B"/>
    <w:rsid w:val="00D2210E"/>
    <w:rsid w:val="00D2223D"/>
    <w:rsid w:val="00D23663"/>
    <w:rsid w:val="00D2664B"/>
    <w:rsid w:val="00D33148"/>
    <w:rsid w:val="00D3474C"/>
    <w:rsid w:val="00D361E2"/>
    <w:rsid w:val="00D36DB9"/>
    <w:rsid w:val="00D42425"/>
    <w:rsid w:val="00D44DAA"/>
    <w:rsid w:val="00D47B4E"/>
    <w:rsid w:val="00D5044E"/>
    <w:rsid w:val="00D50CB0"/>
    <w:rsid w:val="00D512E8"/>
    <w:rsid w:val="00D51B06"/>
    <w:rsid w:val="00D52BF8"/>
    <w:rsid w:val="00D54B01"/>
    <w:rsid w:val="00D54D96"/>
    <w:rsid w:val="00D60464"/>
    <w:rsid w:val="00D611C1"/>
    <w:rsid w:val="00D61ABC"/>
    <w:rsid w:val="00D61E9A"/>
    <w:rsid w:val="00D637C7"/>
    <w:rsid w:val="00D640D7"/>
    <w:rsid w:val="00D66837"/>
    <w:rsid w:val="00D736BD"/>
    <w:rsid w:val="00D75827"/>
    <w:rsid w:val="00D76020"/>
    <w:rsid w:val="00D806D7"/>
    <w:rsid w:val="00D81781"/>
    <w:rsid w:val="00D8261B"/>
    <w:rsid w:val="00D833B2"/>
    <w:rsid w:val="00D84295"/>
    <w:rsid w:val="00D84C83"/>
    <w:rsid w:val="00D84EB9"/>
    <w:rsid w:val="00D86AA7"/>
    <w:rsid w:val="00D91E15"/>
    <w:rsid w:val="00D93462"/>
    <w:rsid w:val="00DA01C9"/>
    <w:rsid w:val="00DA175A"/>
    <w:rsid w:val="00DA208D"/>
    <w:rsid w:val="00DA39AD"/>
    <w:rsid w:val="00DA4290"/>
    <w:rsid w:val="00DB4117"/>
    <w:rsid w:val="00DB4399"/>
    <w:rsid w:val="00DB536D"/>
    <w:rsid w:val="00DB572E"/>
    <w:rsid w:val="00DC29B1"/>
    <w:rsid w:val="00DC32C9"/>
    <w:rsid w:val="00DC6E07"/>
    <w:rsid w:val="00DD23DC"/>
    <w:rsid w:val="00DD4435"/>
    <w:rsid w:val="00DD7981"/>
    <w:rsid w:val="00DE0333"/>
    <w:rsid w:val="00DE2CF2"/>
    <w:rsid w:val="00DE34EE"/>
    <w:rsid w:val="00DE5A63"/>
    <w:rsid w:val="00DF5935"/>
    <w:rsid w:val="00E00AE9"/>
    <w:rsid w:val="00E0108C"/>
    <w:rsid w:val="00E0219B"/>
    <w:rsid w:val="00E047A0"/>
    <w:rsid w:val="00E05091"/>
    <w:rsid w:val="00E07094"/>
    <w:rsid w:val="00E1194D"/>
    <w:rsid w:val="00E12C38"/>
    <w:rsid w:val="00E13306"/>
    <w:rsid w:val="00E16A3D"/>
    <w:rsid w:val="00E22793"/>
    <w:rsid w:val="00E23003"/>
    <w:rsid w:val="00E267E1"/>
    <w:rsid w:val="00E26A11"/>
    <w:rsid w:val="00E302FB"/>
    <w:rsid w:val="00E36E74"/>
    <w:rsid w:val="00E4157C"/>
    <w:rsid w:val="00E507C9"/>
    <w:rsid w:val="00E51125"/>
    <w:rsid w:val="00E531E2"/>
    <w:rsid w:val="00E54C07"/>
    <w:rsid w:val="00E55CE5"/>
    <w:rsid w:val="00E5611A"/>
    <w:rsid w:val="00E5631D"/>
    <w:rsid w:val="00E64C30"/>
    <w:rsid w:val="00E657EF"/>
    <w:rsid w:val="00E65EAB"/>
    <w:rsid w:val="00E66DB6"/>
    <w:rsid w:val="00E72F5E"/>
    <w:rsid w:val="00E8045A"/>
    <w:rsid w:val="00E81363"/>
    <w:rsid w:val="00E86967"/>
    <w:rsid w:val="00E86A4F"/>
    <w:rsid w:val="00E9087B"/>
    <w:rsid w:val="00E95AD1"/>
    <w:rsid w:val="00EA3157"/>
    <w:rsid w:val="00EB06DD"/>
    <w:rsid w:val="00EB3297"/>
    <w:rsid w:val="00EB36A6"/>
    <w:rsid w:val="00EB3907"/>
    <w:rsid w:val="00EB5063"/>
    <w:rsid w:val="00EB57F7"/>
    <w:rsid w:val="00EC0BEB"/>
    <w:rsid w:val="00EC114F"/>
    <w:rsid w:val="00EC3A0F"/>
    <w:rsid w:val="00EC5CDE"/>
    <w:rsid w:val="00EC6D3E"/>
    <w:rsid w:val="00ED0BEE"/>
    <w:rsid w:val="00ED0CEB"/>
    <w:rsid w:val="00ED476B"/>
    <w:rsid w:val="00ED5154"/>
    <w:rsid w:val="00ED5ACD"/>
    <w:rsid w:val="00ED7D59"/>
    <w:rsid w:val="00EE0637"/>
    <w:rsid w:val="00EE0972"/>
    <w:rsid w:val="00EE293F"/>
    <w:rsid w:val="00EE4970"/>
    <w:rsid w:val="00EF320A"/>
    <w:rsid w:val="00EF6D81"/>
    <w:rsid w:val="00F00A3F"/>
    <w:rsid w:val="00F0237B"/>
    <w:rsid w:val="00F023C8"/>
    <w:rsid w:val="00F0430E"/>
    <w:rsid w:val="00F046E8"/>
    <w:rsid w:val="00F04E8B"/>
    <w:rsid w:val="00F077C9"/>
    <w:rsid w:val="00F14D52"/>
    <w:rsid w:val="00F1634C"/>
    <w:rsid w:val="00F203E4"/>
    <w:rsid w:val="00F213F6"/>
    <w:rsid w:val="00F2196E"/>
    <w:rsid w:val="00F236CB"/>
    <w:rsid w:val="00F23F5B"/>
    <w:rsid w:val="00F250E4"/>
    <w:rsid w:val="00F2533F"/>
    <w:rsid w:val="00F26886"/>
    <w:rsid w:val="00F278E6"/>
    <w:rsid w:val="00F30DA1"/>
    <w:rsid w:val="00F31120"/>
    <w:rsid w:val="00F3318C"/>
    <w:rsid w:val="00F357B1"/>
    <w:rsid w:val="00F37B64"/>
    <w:rsid w:val="00F45A9A"/>
    <w:rsid w:val="00F478C0"/>
    <w:rsid w:val="00F50084"/>
    <w:rsid w:val="00F51A7A"/>
    <w:rsid w:val="00F52EFB"/>
    <w:rsid w:val="00F531BF"/>
    <w:rsid w:val="00F54017"/>
    <w:rsid w:val="00F5420B"/>
    <w:rsid w:val="00F549AC"/>
    <w:rsid w:val="00F54ADF"/>
    <w:rsid w:val="00F57149"/>
    <w:rsid w:val="00F62B83"/>
    <w:rsid w:val="00F62CB4"/>
    <w:rsid w:val="00F63E1C"/>
    <w:rsid w:val="00F66887"/>
    <w:rsid w:val="00F70EEB"/>
    <w:rsid w:val="00F70FB6"/>
    <w:rsid w:val="00F7318A"/>
    <w:rsid w:val="00F74112"/>
    <w:rsid w:val="00F75424"/>
    <w:rsid w:val="00F82E3A"/>
    <w:rsid w:val="00F90340"/>
    <w:rsid w:val="00F9414D"/>
    <w:rsid w:val="00F9558D"/>
    <w:rsid w:val="00F95E9F"/>
    <w:rsid w:val="00F9648B"/>
    <w:rsid w:val="00F97BA1"/>
    <w:rsid w:val="00FA10C9"/>
    <w:rsid w:val="00FA12A8"/>
    <w:rsid w:val="00FA1A29"/>
    <w:rsid w:val="00FA4471"/>
    <w:rsid w:val="00FA547A"/>
    <w:rsid w:val="00FA7268"/>
    <w:rsid w:val="00FA7802"/>
    <w:rsid w:val="00FB03B2"/>
    <w:rsid w:val="00FB12EB"/>
    <w:rsid w:val="00FB2B5F"/>
    <w:rsid w:val="00FB309A"/>
    <w:rsid w:val="00FB3273"/>
    <w:rsid w:val="00FB3768"/>
    <w:rsid w:val="00FB6652"/>
    <w:rsid w:val="00FB7423"/>
    <w:rsid w:val="00FC0051"/>
    <w:rsid w:val="00FC059F"/>
    <w:rsid w:val="00FC1B11"/>
    <w:rsid w:val="00FC49E2"/>
    <w:rsid w:val="00FD247F"/>
    <w:rsid w:val="00FD283B"/>
    <w:rsid w:val="00FD520D"/>
    <w:rsid w:val="00FE3FDB"/>
    <w:rsid w:val="00FE4ED5"/>
    <w:rsid w:val="00FE5AE0"/>
    <w:rsid w:val="00FE731E"/>
    <w:rsid w:val="00FF0F72"/>
    <w:rsid w:val="00FF6818"/>
    <w:rsid w:val="00FF72FB"/>
    <w:rsid w:val="00FF7CF4"/>
    <w:rsid w:val="012E0548"/>
    <w:rsid w:val="013F5DC1"/>
    <w:rsid w:val="01D57A45"/>
    <w:rsid w:val="02101DBC"/>
    <w:rsid w:val="022C0D40"/>
    <w:rsid w:val="0259538F"/>
    <w:rsid w:val="0260204B"/>
    <w:rsid w:val="03141ABC"/>
    <w:rsid w:val="035B32C6"/>
    <w:rsid w:val="04DF9992"/>
    <w:rsid w:val="062D102C"/>
    <w:rsid w:val="06E810BE"/>
    <w:rsid w:val="070B1B9D"/>
    <w:rsid w:val="0C7E4170"/>
    <w:rsid w:val="0CF935FB"/>
    <w:rsid w:val="0D640491"/>
    <w:rsid w:val="0DED4086"/>
    <w:rsid w:val="0EC82135"/>
    <w:rsid w:val="0F146333"/>
    <w:rsid w:val="0F4C25E3"/>
    <w:rsid w:val="0F910E6F"/>
    <w:rsid w:val="10E46664"/>
    <w:rsid w:val="11BD26D8"/>
    <w:rsid w:val="11C6373B"/>
    <w:rsid w:val="128A5328"/>
    <w:rsid w:val="147124C5"/>
    <w:rsid w:val="14B63835"/>
    <w:rsid w:val="14E92E92"/>
    <w:rsid w:val="157F11D4"/>
    <w:rsid w:val="1698760E"/>
    <w:rsid w:val="16C8187C"/>
    <w:rsid w:val="195A7CEF"/>
    <w:rsid w:val="1AA40091"/>
    <w:rsid w:val="1B8E1EDA"/>
    <w:rsid w:val="1BF05C5F"/>
    <w:rsid w:val="1C013945"/>
    <w:rsid w:val="1DE624EC"/>
    <w:rsid w:val="1E8C36BA"/>
    <w:rsid w:val="1E8E3DC2"/>
    <w:rsid w:val="1E962B13"/>
    <w:rsid w:val="1FFDEB3F"/>
    <w:rsid w:val="21871366"/>
    <w:rsid w:val="232D4EAD"/>
    <w:rsid w:val="236E67DF"/>
    <w:rsid w:val="238E5147"/>
    <w:rsid w:val="23C04FCB"/>
    <w:rsid w:val="297558A9"/>
    <w:rsid w:val="2B36644A"/>
    <w:rsid w:val="2D0651E1"/>
    <w:rsid w:val="2D335420"/>
    <w:rsid w:val="2D881E98"/>
    <w:rsid w:val="30507876"/>
    <w:rsid w:val="308355D9"/>
    <w:rsid w:val="329F0A2A"/>
    <w:rsid w:val="336D2119"/>
    <w:rsid w:val="34520126"/>
    <w:rsid w:val="3539313C"/>
    <w:rsid w:val="35434684"/>
    <w:rsid w:val="356C376C"/>
    <w:rsid w:val="36D93EB8"/>
    <w:rsid w:val="36F6263F"/>
    <w:rsid w:val="39FE6840"/>
    <w:rsid w:val="3A7B45C0"/>
    <w:rsid w:val="3D027DDB"/>
    <w:rsid w:val="3E396EA5"/>
    <w:rsid w:val="3E3F7244"/>
    <w:rsid w:val="3FF30BE1"/>
    <w:rsid w:val="434A2EEC"/>
    <w:rsid w:val="43AB39D0"/>
    <w:rsid w:val="468A6029"/>
    <w:rsid w:val="46950BCD"/>
    <w:rsid w:val="479E5769"/>
    <w:rsid w:val="480D3BBE"/>
    <w:rsid w:val="4A934DCB"/>
    <w:rsid w:val="4AA24825"/>
    <w:rsid w:val="4B081990"/>
    <w:rsid w:val="4B8E6C14"/>
    <w:rsid w:val="4E0B42F6"/>
    <w:rsid w:val="4E890E22"/>
    <w:rsid w:val="4EB80183"/>
    <w:rsid w:val="4F693130"/>
    <w:rsid w:val="50775E46"/>
    <w:rsid w:val="510F5C41"/>
    <w:rsid w:val="511E6D78"/>
    <w:rsid w:val="51A50AF3"/>
    <w:rsid w:val="56071D71"/>
    <w:rsid w:val="562E7FB9"/>
    <w:rsid w:val="564467CF"/>
    <w:rsid w:val="5719290D"/>
    <w:rsid w:val="57874F44"/>
    <w:rsid w:val="57F80C60"/>
    <w:rsid w:val="58316676"/>
    <w:rsid w:val="58A5111B"/>
    <w:rsid w:val="59C33DE8"/>
    <w:rsid w:val="59D82730"/>
    <w:rsid w:val="5A8A539B"/>
    <w:rsid w:val="5AFA6522"/>
    <w:rsid w:val="5D004DB2"/>
    <w:rsid w:val="5E200413"/>
    <w:rsid w:val="5E375089"/>
    <w:rsid w:val="5FB54A36"/>
    <w:rsid w:val="60B37D0D"/>
    <w:rsid w:val="64AE2A58"/>
    <w:rsid w:val="64D863FA"/>
    <w:rsid w:val="65170455"/>
    <w:rsid w:val="674433B5"/>
    <w:rsid w:val="68126058"/>
    <w:rsid w:val="682A25FF"/>
    <w:rsid w:val="6B0F0940"/>
    <w:rsid w:val="6BAE6D7A"/>
    <w:rsid w:val="6C520033"/>
    <w:rsid w:val="6DE74460"/>
    <w:rsid w:val="6E66590C"/>
    <w:rsid w:val="7037192E"/>
    <w:rsid w:val="72473BE1"/>
    <w:rsid w:val="72D67240"/>
    <w:rsid w:val="78140757"/>
    <w:rsid w:val="78357119"/>
    <w:rsid w:val="788F5CFC"/>
    <w:rsid w:val="79BD1D04"/>
    <w:rsid w:val="7C975EDC"/>
    <w:rsid w:val="7D1744C8"/>
    <w:rsid w:val="7D6243AE"/>
    <w:rsid w:val="7DF63BE1"/>
    <w:rsid w:val="7E0C2F51"/>
    <w:rsid w:val="7E191883"/>
    <w:rsid w:val="7E3C2C77"/>
    <w:rsid w:val="B7CEF28B"/>
    <w:rsid w:val="E5E3F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qFormat="1" w:unhideWhenUsed="0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56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link w:val="34"/>
    <w:qFormat/>
    <w:uiPriority w:val="9"/>
    <w:pPr>
      <w:keepNext/>
      <w:keepLines/>
      <w:spacing w:before="480" w:after="80" w:line="278" w:lineRule="auto"/>
      <w:ind w:firstLine="0" w:firstLineChars="0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35"/>
    <w:unhideWhenUsed/>
    <w:qFormat/>
    <w:uiPriority w:val="9"/>
    <w:pPr>
      <w:keepNext/>
      <w:keepLines/>
      <w:spacing w:before="160" w:after="80" w:line="278" w:lineRule="auto"/>
      <w:ind w:firstLine="0" w:firstLineChars="0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36"/>
    <w:unhideWhenUsed/>
    <w:qFormat/>
    <w:uiPriority w:val="9"/>
    <w:pPr>
      <w:keepNext/>
      <w:keepLines/>
      <w:spacing w:before="160" w:after="80" w:line="278" w:lineRule="auto"/>
      <w:ind w:firstLine="0" w:firstLineChars="0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  <w14:ligatures w14:val="standardContextual"/>
    </w:rPr>
  </w:style>
  <w:style w:type="paragraph" w:styleId="6">
    <w:name w:val="heading 4"/>
    <w:basedOn w:val="1"/>
    <w:next w:val="1"/>
    <w:link w:val="37"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38"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39"/>
    <w:unhideWhenUsed/>
    <w:qFormat/>
    <w:uiPriority w:val="9"/>
    <w:pPr>
      <w:keepNext/>
      <w:keepLines/>
      <w:spacing w:before="40" w:after="0" w:line="278" w:lineRule="auto"/>
      <w:ind w:firstLine="0" w:firstLineChars="0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40"/>
    <w:unhideWhenUsed/>
    <w:qFormat/>
    <w:uiPriority w:val="9"/>
    <w:pPr>
      <w:keepNext/>
      <w:keepLines/>
      <w:spacing w:before="40" w:after="0" w:line="278" w:lineRule="auto"/>
      <w:ind w:firstLine="0" w:firstLineChars="0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41"/>
    <w:unhideWhenUsed/>
    <w:qFormat/>
    <w:uiPriority w:val="9"/>
    <w:pPr>
      <w:keepNext/>
      <w:keepLines/>
      <w:spacing w:after="0" w:line="278" w:lineRule="auto"/>
      <w:ind w:firstLine="0" w:firstLineChars="0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42"/>
    <w:unhideWhenUsed/>
    <w:qFormat/>
    <w:uiPriority w:val="9"/>
    <w:pPr>
      <w:keepNext/>
      <w:keepLines/>
      <w:spacing w:after="0" w:line="278" w:lineRule="auto"/>
      <w:ind w:firstLine="0" w:firstLineChars="0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28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link w:val="59"/>
    <w:qFormat/>
    <w:uiPriority w:val="0"/>
    <w:pPr>
      <w:spacing w:after="0"/>
      <w:ind w:firstLine="880"/>
    </w:pPr>
    <w:rPr>
      <w:rFonts w:ascii="宋体" w:hAnsi="Courier New" w:cstheme="minorBidi"/>
      <w:szCs w:val="24"/>
    </w:rPr>
  </w:style>
  <w:style w:type="paragraph" w:styleId="12">
    <w:name w:val="Normal Indent"/>
    <w:basedOn w:val="1"/>
    <w:next w:val="13"/>
    <w:qFormat/>
    <w:uiPriority w:val="0"/>
    <w:pPr>
      <w:spacing w:after="0" w:line="240" w:lineRule="auto"/>
      <w:ind w:firstLine="420"/>
    </w:pPr>
    <w:rPr>
      <w:rFonts w:eastAsia="宋体"/>
      <w:sz w:val="21"/>
      <w:szCs w:val="24"/>
    </w:rPr>
  </w:style>
  <w:style w:type="paragraph" w:styleId="13">
    <w:name w:val="Body Text Indent"/>
    <w:basedOn w:val="1"/>
    <w:next w:val="12"/>
    <w:unhideWhenUsed/>
    <w:qFormat/>
    <w:uiPriority w:val="99"/>
    <w:pPr>
      <w:suppressAutoHyphens/>
      <w:spacing w:beforeLines="0" w:afterLines="0" w:line="460" w:lineRule="exact"/>
      <w:ind w:left="1285" w:hanging="1285"/>
    </w:pPr>
    <w:rPr>
      <w:rFonts w:hint="eastAsia" w:ascii="仿宋_GB2312" w:hAnsi="仿宋_GB2312" w:eastAsia="仿宋_GB2312"/>
      <w:b/>
      <w:kern w:val="1"/>
      <w:sz w:val="32"/>
      <w:lang w:eastAsia="ar-SA"/>
    </w:rPr>
  </w:style>
  <w:style w:type="paragraph" w:styleId="14">
    <w:name w:val="annotation text"/>
    <w:basedOn w:val="1"/>
    <w:unhideWhenUsed/>
    <w:qFormat/>
    <w:uiPriority w:val="99"/>
    <w:pPr>
      <w:jc w:val="left"/>
    </w:pPr>
  </w:style>
  <w:style w:type="paragraph" w:styleId="15">
    <w:name w:val="Body Text"/>
    <w:basedOn w:val="1"/>
    <w:next w:val="1"/>
    <w:link w:val="60"/>
    <w:qFormat/>
    <w:uiPriority w:val="0"/>
    <w:pPr>
      <w:spacing w:after="0" w:line="240" w:lineRule="auto"/>
      <w:ind w:firstLine="0" w:firstLineChars="0"/>
    </w:pPr>
    <w:rPr>
      <w:rFonts w:ascii="仿宋_GB2312"/>
      <w:szCs w:val="24"/>
    </w:rPr>
  </w:style>
  <w:style w:type="paragraph" w:styleId="16">
    <w:name w:val="Block Text"/>
    <w:basedOn w:val="1"/>
    <w:unhideWhenUsed/>
    <w:qFormat/>
    <w:uiPriority w:val="99"/>
    <w:pPr>
      <w:autoSpaceDE w:val="0"/>
      <w:autoSpaceDN w:val="0"/>
      <w:adjustRightInd w:val="0"/>
      <w:spacing w:beforeLines="0" w:after="240" w:afterLines="0"/>
    </w:pPr>
    <w:rPr>
      <w:rFonts w:hint="default" w:eastAsia="PMingLiU"/>
      <w:kern w:val="0"/>
      <w:sz w:val="24"/>
    </w:rPr>
  </w:style>
  <w:style w:type="paragraph" w:styleId="17">
    <w:name w:val="toc 3"/>
    <w:basedOn w:val="1"/>
    <w:next w:val="1"/>
    <w:qFormat/>
    <w:uiPriority w:val="39"/>
    <w:pPr>
      <w:ind w:left="840" w:leftChars="400"/>
    </w:pPr>
  </w:style>
  <w:style w:type="paragraph" w:styleId="18">
    <w:name w:val="footer"/>
    <w:basedOn w:val="1"/>
    <w:link w:val="5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9">
    <w:name w:val="header"/>
    <w:basedOn w:val="1"/>
    <w:link w:val="5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20">
    <w:name w:val="toc 1"/>
    <w:basedOn w:val="1"/>
    <w:next w:val="1"/>
    <w:qFormat/>
    <w:uiPriority w:val="39"/>
    <w:pPr>
      <w:tabs>
        <w:tab w:val="right" w:leader="dot" w:pos="8834"/>
      </w:tabs>
      <w:spacing w:line="480" w:lineRule="exact"/>
    </w:pPr>
    <w:rPr>
      <w:rFonts w:cs="黑体"/>
      <w:b/>
      <w:bCs/>
      <w:kern w:val="0"/>
      <w:sz w:val="30"/>
    </w:rPr>
  </w:style>
  <w:style w:type="paragraph" w:styleId="21">
    <w:name w:val="Subtitle"/>
    <w:basedOn w:val="1"/>
    <w:next w:val="1"/>
    <w:link w:val="44"/>
    <w:qFormat/>
    <w:uiPriority w:val="11"/>
    <w:pPr>
      <w:spacing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22">
    <w:name w:val="footnote text"/>
    <w:basedOn w:val="1"/>
    <w:link w:val="58"/>
    <w:qFormat/>
    <w:uiPriority w:val="99"/>
    <w:pPr>
      <w:snapToGrid w:val="0"/>
      <w:spacing w:after="0" w:line="240" w:lineRule="auto"/>
      <w:ind w:firstLine="0" w:firstLineChars="0"/>
      <w:jc w:val="left"/>
    </w:pPr>
    <w:rPr>
      <w:rFonts w:ascii="宋体" w:hAnsi="宋体" w:eastAsia="宋体"/>
      <w:sz w:val="18"/>
      <w:szCs w:val="24"/>
    </w:rPr>
  </w:style>
  <w:style w:type="paragraph" w:styleId="23">
    <w:name w:val="toc 2"/>
    <w:basedOn w:val="1"/>
    <w:next w:val="1"/>
    <w:qFormat/>
    <w:uiPriority w:val="39"/>
    <w:pPr>
      <w:ind w:left="420" w:leftChars="200"/>
    </w:pPr>
  </w:style>
  <w:style w:type="paragraph" w:styleId="2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5">
    <w:name w:val="Title"/>
    <w:basedOn w:val="1"/>
    <w:next w:val="1"/>
    <w:link w:val="43"/>
    <w:qFormat/>
    <w:uiPriority w:val="10"/>
    <w:pPr>
      <w:spacing w:after="80" w:line="240" w:lineRule="auto"/>
      <w:ind w:firstLine="0" w:firstLineChars="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27">
    <w:name w:val="Table Grid"/>
    <w:basedOn w:val="2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0"/>
    <w:rPr>
      <w:b/>
    </w:rPr>
  </w:style>
  <w:style w:type="character" w:styleId="30">
    <w:name w:val="FollowedHyperlink"/>
    <w:basedOn w:val="28"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31">
    <w:name w:val="Hyperlink"/>
    <w:basedOn w:val="2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2">
    <w:name w:val="annotation reference"/>
    <w:basedOn w:val="28"/>
    <w:unhideWhenUsed/>
    <w:qFormat/>
    <w:uiPriority w:val="99"/>
    <w:rPr>
      <w:sz w:val="21"/>
      <w:szCs w:val="21"/>
    </w:rPr>
  </w:style>
  <w:style w:type="character" w:styleId="33">
    <w:name w:val="footnote reference"/>
    <w:qFormat/>
    <w:uiPriority w:val="99"/>
    <w:rPr>
      <w:rFonts w:ascii="Times New Roman" w:hAnsi="Times New Roman" w:eastAsia="宋体"/>
      <w:vertAlign w:val="superscript"/>
    </w:rPr>
  </w:style>
  <w:style w:type="character" w:customStyle="1" w:styleId="34">
    <w:name w:val="标题 1 字符"/>
    <w:basedOn w:val="28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35">
    <w:name w:val="标题 2 字符"/>
    <w:basedOn w:val="28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6">
    <w:name w:val="标题 3 字符"/>
    <w:basedOn w:val="28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7">
    <w:name w:val="标题 4 字符"/>
    <w:basedOn w:val="28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8">
    <w:name w:val="标题 5 字符"/>
    <w:basedOn w:val="28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39">
    <w:name w:val="标题 6 字符"/>
    <w:basedOn w:val="28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40">
    <w:name w:val="标题 7 字符"/>
    <w:basedOn w:val="28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1">
    <w:name w:val="标题 8 字符"/>
    <w:basedOn w:val="28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2">
    <w:name w:val="标题 9 字符"/>
    <w:basedOn w:val="28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3">
    <w:name w:val="标题 字符"/>
    <w:basedOn w:val="28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4">
    <w:name w:val="副标题 字符"/>
    <w:basedOn w:val="28"/>
    <w:link w:val="2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45">
    <w:name w:val="引用1"/>
    <w:basedOn w:val="1"/>
    <w:next w:val="1"/>
    <w:link w:val="46"/>
    <w:qFormat/>
    <w:uiPriority w:val="29"/>
    <w:pPr>
      <w:spacing w:before="160" w:line="278" w:lineRule="auto"/>
      <w:ind w:firstLine="0" w:firstLineChars="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46">
    <w:name w:val="引用 字符"/>
    <w:basedOn w:val="28"/>
    <w:link w:val="4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7">
    <w:name w:val="列表段落1"/>
    <w:basedOn w:val="1"/>
    <w:qFormat/>
    <w:uiPriority w:val="34"/>
    <w:pPr>
      <w:spacing w:line="278" w:lineRule="auto"/>
      <w:ind w:left="720" w:firstLine="0" w:firstLineChars="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48">
    <w:name w:val="明显强调1"/>
    <w:basedOn w:val="28"/>
    <w:qFormat/>
    <w:uiPriority w:val="21"/>
    <w:rPr>
      <w:i/>
      <w:iCs/>
      <w:color w:val="104862" w:themeColor="accent1" w:themeShade="BF"/>
    </w:rPr>
  </w:style>
  <w:style w:type="paragraph" w:customStyle="1" w:styleId="49">
    <w:name w:val="明显引用1"/>
    <w:basedOn w:val="1"/>
    <w:next w:val="1"/>
    <w:link w:val="5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 w:firstLine="0" w:firstLineChars="0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50">
    <w:name w:val="明显引用 字符"/>
    <w:basedOn w:val="28"/>
    <w:link w:val="49"/>
    <w:qFormat/>
    <w:uiPriority w:val="30"/>
    <w:rPr>
      <w:i/>
      <w:iCs/>
      <w:color w:val="104862" w:themeColor="accent1" w:themeShade="BF"/>
    </w:rPr>
  </w:style>
  <w:style w:type="character" w:customStyle="1" w:styleId="51">
    <w:name w:val="明显参考1"/>
    <w:basedOn w:val="2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52">
    <w:name w:val="未处理的提及1"/>
    <w:basedOn w:val="28"/>
    <w:unhideWhenUsed/>
    <w:qFormat/>
    <w:uiPriority w:val="99"/>
    <w:rPr>
      <w:color w:val="605E5C"/>
      <w:shd w:val="clear" w:color="auto" w:fill="E1DFDD"/>
    </w:rPr>
  </w:style>
  <w:style w:type="character" w:customStyle="1" w:styleId="53">
    <w:name w:val="NormalCharacter"/>
    <w:semiHidden/>
    <w:qFormat/>
    <w:uiPriority w:val="0"/>
  </w:style>
  <w:style w:type="paragraph" w:customStyle="1" w:styleId="54">
    <w:name w:val="正文-未来城"/>
    <w:basedOn w:val="1"/>
    <w:link w:val="55"/>
    <w:qFormat/>
    <w:uiPriority w:val="0"/>
    <w:pPr>
      <w:ind w:firstLine="600"/>
    </w:pPr>
    <w:rPr>
      <w:bCs/>
      <w:kern w:val="0"/>
      <w:szCs w:val="32"/>
      <w:lang w:val="zh-CN"/>
    </w:rPr>
  </w:style>
  <w:style w:type="character" w:customStyle="1" w:styleId="55">
    <w:name w:val="正文-未来城 Char"/>
    <w:link w:val="54"/>
    <w:qFormat/>
    <w:uiPriority w:val="0"/>
    <w:rPr>
      <w:rFonts w:ascii="Times New Roman" w:hAnsi="Times New Roman" w:eastAsia="仿宋_GB2312" w:cs="Times New Roman"/>
      <w:bCs/>
      <w:kern w:val="0"/>
      <w:sz w:val="32"/>
      <w:szCs w:val="32"/>
      <w:lang w:val="zh-CN"/>
      <w14:ligatures w14:val="none"/>
    </w:rPr>
  </w:style>
  <w:style w:type="character" w:customStyle="1" w:styleId="56">
    <w:name w:val="页眉 字符"/>
    <w:basedOn w:val="28"/>
    <w:link w:val="19"/>
    <w:qFormat/>
    <w:uiPriority w:val="99"/>
    <w:rPr>
      <w:rFonts w:ascii="Times New Roman" w:hAnsi="Times New Roman" w:eastAsia="仿宋_GB2312" w:cs="Times New Roman"/>
      <w:sz w:val="18"/>
      <w:szCs w:val="18"/>
      <w14:ligatures w14:val="none"/>
    </w:rPr>
  </w:style>
  <w:style w:type="character" w:customStyle="1" w:styleId="57">
    <w:name w:val="页脚 字符"/>
    <w:basedOn w:val="28"/>
    <w:link w:val="18"/>
    <w:qFormat/>
    <w:uiPriority w:val="99"/>
    <w:rPr>
      <w:rFonts w:ascii="Times New Roman" w:hAnsi="Times New Roman" w:eastAsia="仿宋_GB2312" w:cs="Times New Roman"/>
      <w:sz w:val="18"/>
      <w:szCs w:val="18"/>
      <w14:ligatures w14:val="none"/>
    </w:rPr>
  </w:style>
  <w:style w:type="character" w:customStyle="1" w:styleId="58">
    <w:name w:val="脚注文本 字符"/>
    <w:basedOn w:val="28"/>
    <w:link w:val="22"/>
    <w:qFormat/>
    <w:uiPriority w:val="99"/>
    <w:rPr>
      <w:rFonts w:ascii="宋体" w:hAnsi="宋体" w:eastAsia="宋体" w:cs="Times New Roman"/>
      <w:sz w:val="18"/>
      <w14:ligatures w14:val="none"/>
    </w:rPr>
  </w:style>
  <w:style w:type="character" w:customStyle="1" w:styleId="59">
    <w:name w:val="纯文本 字符"/>
    <w:basedOn w:val="28"/>
    <w:link w:val="2"/>
    <w:qFormat/>
    <w:uiPriority w:val="0"/>
    <w:rPr>
      <w:rFonts w:ascii="宋体" w:hAnsi="Courier New" w:eastAsia="仿宋_GB2312"/>
      <w:sz w:val="32"/>
      <w14:ligatures w14:val="none"/>
    </w:rPr>
  </w:style>
  <w:style w:type="character" w:customStyle="1" w:styleId="60">
    <w:name w:val="正文文本 字符"/>
    <w:basedOn w:val="28"/>
    <w:link w:val="15"/>
    <w:qFormat/>
    <w:uiPriority w:val="0"/>
    <w:rPr>
      <w:rFonts w:ascii="仿宋_GB2312" w:hAnsi="Times New Roman" w:eastAsia="仿宋_GB2312" w:cs="Times New Roman"/>
      <w:sz w:val="32"/>
      <w14:ligatures w14:val="none"/>
    </w:rPr>
  </w:style>
  <w:style w:type="table" w:customStyle="1" w:styleId="61">
    <w:name w:val="无格式表格 21"/>
    <w:basedOn w:val="26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blPr/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blPr/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paragraph" w:customStyle="1" w:styleId="62">
    <w:name w:val="TOC 标题1"/>
    <w:basedOn w:val="3"/>
    <w:next w:val="1"/>
    <w:unhideWhenUsed/>
    <w:qFormat/>
    <w:uiPriority w:val="39"/>
    <w:pPr>
      <w:widowControl/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customStyle="1" w:styleId="63">
    <w:name w:val="修订1"/>
    <w:hidden/>
    <w:unhideWhenUsed/>
    <w:qFormat/>
    <w:uiPriority w:val="99"/>
    <w:pPr>
      <w:spacing w:after="160" w:line="278" w:lineRule="auto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64">
    <w:name w:val="样式6-正文"/>
    <w:basedOn w:val="1"/>
    <w:link w:val="65"/>
    <w:qFormat/>
    <w:uiPriority w:val="0"/>
    <w:pPr>
      <w:spacing w:after="0"/>
      <w:ind w:firstLine="420"/>
    </w:pPr>
    <w:rPr>
      <w:rFonts w:ascii="仿宋_GB2312" w:hAnsi="仿宋_GB2312"/>
      <w:szCs w:val="24"/>
    </w:rPr>
  </w:style>
  <w:style w:type="character" w:customStyle="1" w:styleId="65">
    <w:name w:val="样式6-正文 Char1"/>
    <w:link w:val="64"/>
    <w:qFormat/>
    <w:uiPriority w:val="0"/>
    <w:rPr>
      <w:rFonts w:ascii="仿宋_GB2312" w:hAnsi="仿宋_GB2312" w:eastAsia="仿宋_GB2312"/>
      <w:kern w:val="2"/>
      <w:sz w:val="32"/>
      <w:szCs w:val="24"/>
    </w:rPr>
  </w:style>
  <w:style w:type="paragraph" w:customStyle="1" w:styleId="66">
    <w:name w:val="Revision"/>
    <w: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67">
    <w:name w:val="Unresolved Mention"/>
    <w:basedOn w:val="28"/>
    <w:unhideWhenUsed/>
    <w:qFormat/>
    <w:uiPriority w:val="99"/>
    <w:rPr>
      <w:color w:val="605E5C"/>
      <w:shd w:val="clear" w:color="auto" w:fill="E1DFDD"/>
    </w:rPr>
  </w:style>
  <w:style w:type="paragraph" w:customStyle="1" w:styleId="68">
    <w:name w:val="正文（缩进）"/>
    <w:basedOn w:val="1"/>
    <w:unhideWhenUsed/>
    <w:qFormat/>
    <w:uiPriority w:val="0"/>
    <w:pPr>
      <w:spacing w:beforeLines="50" w:afterLines="50" w:line="360" w:lineRule="auto"/>
      <w:ind w:firstLine="480" w:firstLineChars="200"/>
    </w:pPr>
    <w:rPr>
      <w:rFonts w:hint="default"/>
      <w:sz w:val="21"/>
    </w:rPr>
  </w:style>
  <w:style w:type="paragraph" w:customStyle="1" w:styleId="69">
    <w:name w:val="p0"/>
    <w:basedOn w:val="1"/>
    <w:unhideWhenUsed/>
    <w:qFormat/>
    <w:uiPriority w:val="0"/>
    <w:pPr>
      <w:widowControl/>
      <w:spacing w:beforeLines="0" w:afterLines="0"/>
    </w:pPr>
    <w:rPr>
      <w:rFonts w:hint="default"/>
      <w:kern w:val="0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2E323E7F-1C13-AE43-A52A-81DE2EDB20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1505</Words>
  <Characters>8581</Characters>
  <Lines>71</Lines>
  <Paragraphs>20</Paragraphs>
  <TotalTime>0</TotalTime>
  <ScaleCrop>false</ScaleCrop>
  <LinksUpToDate>false</LinksUpToDate>
  <CharactersWithSpaces>10066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2026-10-12T23:18:00Z</dcterms:created>
  <dc:creator>l liu</dc:creator>
  <cp:lastModifiedBy>HIGC</cp:lastModifiedBy>
  <cp:lastPrinted>2026-10-16T22:35:00Z</cp:lastPrinted>
  <dcterms:modified xsi:type="dcterms:W3CDTF">2026-11-02T16:17:40Z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eyJoZGlkIjoiMDljYzUzMWQ4OWI0YzBkYjYzMDRhZTY5ZjZkYmFmYTgiLCJ1c2VySWQiOiI0MDMyNjc2MjgifQ==</vt:lpwstr>
  </property>
  <property fmtid="{D5CDD505-2E9C-101B-9397-08002B2CF9AE}" pid="3" name="KSOProductBuildVer">
    <vt:lpwstr>2052-12.8.2.20327</vt:lpwstr>
  </property>
  <property fmtid="{D5CDD505-2E9C-101B-9397-08002B2CF9AE}" pid="4" name="ICV">
    <vt:lpwstr>22BE43C9E721476CAAA3195A28B4D88D_13</vt:lpwstr>
  </property>
</Properties>
</file>