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87ECE">
      <w:pPr>
        <w:spacing w:after="0"/>
        <w:ind w:firstLine="0" w:firstLineChars="0"/>
        <w:jc w:val="left"/>
        <w:rPr>
          <w:rFonts w:hint="eastAsia" w:ascii="黑体" w:hAnsi="黑体" w:eastAsia="黑体" w:cs="黑体"/>
          <w:sz w:val="32"/>
          <w:szCs w:val="32"/>
          <w:lang w:val="en-US" w:eastAsia="zh-CN"/>
          <w14:ligatures w14:val="standardContextual"/>
        </w:rPr>
      </w:pPr>
      <w:bookmarkStart w:id="87" w:name="_GoBack"/>
      <w:r>
        <w:rPr>
          <w:rFonts w:hint="eastAsia" w:ascii="黑体" w:hAnsi="黑体" w:eastAsia="黑体" w:cs="黑体"/>
          <w:sz w:val="32"/>
          <w:szCs w:val="32"/>
          <w:lang w:eastAsia="zh-CN"/>
          <w14:ligatures w14:val="standardContextual"/>
        </w:rPr>
        <w:t>附件</w:t>
      </w:r>
      <w:r>
        <w:rPr>
          <w:rFonts w:hint="eastAsia" w:ascii="黑体" w:hAnsi="黑体" w:eastAsia="黑体" w:cs="黑体"/>
          <w:sz w:val="32"/>
          <w:szCs w:val="32"/>
          <w:lang w:val="en-US" w:eastAsia="zh-CN"/>
          <w14:ligatures w14:val="standardContextual"/>
        </w:rPr>
        <w:t>1</w:t>
      </w:r>
    </w:p>
    <w:bookmarkEnd w:id="87"/>
    <w:p w14:paraId="618985F6">
      <w:pPr>
        <w:spacing w:after="0"/>
        <w:ind w:firstLine="0" w:firstLineChars="0"/>
        <w:jc w:val="center"/>
        <w:rPr>
          <w:rFonts w:hint="eastAsia" w:ascii="仿宋_GB2312" w:hAnsi="仿宋_GB2312"/>
          <w:szCs w:val="32"/>
          <w14:ligatures w14:val="standardContextual"/>
        </w:rPr>
      </w:pPr>
    </w:p>
    <w:p w14:paraId="359F3305">
      <w:pPr>
        <w:spacing w:after="0"/>
        <w:ind w:firstLine="0" w:firstLineChars="0"/>
        <w:jc w:val="center"/>
        <w:rPr>
          <w:rFonts w:hint="eastAsia" w:ascii="仿宋_GB2312" w:hAnsi="仿宋_GB2312"/>
          <w:szCs w:val="32"/>
          <w14:ligatures w14:val="standardContextual"/>
        </w:rPr>
      </w:pPr>
    </w:p>
    <w:p w14:paraId="7B39F718">
      <w:pPr>
        <w:spacing w:after="0"/>
        <w:ind w:firstLine="0" w:firstLineChars="0"/>
        <w:jc w:val="center"/>
        <w:rPr>
          <w:rFonts w:hint="eastAsia" w:ascii="黑体" w:hAnsi="黑体" w:eastAsia="黑体"/>
          <w:b/>
          <w:bCs/>
          <w:sz w:val="48"/>
          <w:szCs w:val="48"/>
          <w14:ligatures w14:val="standardContextual"/>
        </w:rPr>
      </w:pPr>
      <w:r>
        <w:rPr>
          <w:rFonts w:hint="eastAsia" w:ascii="黑体" w:hAnsi="黑体" w:eastAsia="黑体"/>
          <w:b/>
          <w:bCs/>
          <w:sz w:val="48"/>
          <w:szCs w:val="48"/>
          <w14:ligatures w14:val="standardContextual"/>
        </w:rPr>
        <w:t>昌平区“十五五”时期科技创新</w:t>
      </w:r>
    </w:p>
    <w:p w14:paraId="127979BC">
      <w:pPr>
        <w:spacing w:after="0"/>
        <w:ind w:firstLine="0" w:firstLineChars="0"/>
        <w:jc w:val="center"/>
        <w:rPr>
          <w:rFonts w:hint="eastAsia" w:ascii="黑体" w:hAnsi="黑体" w:eastAsia="黑体"/>
          <w:b/>
          <w:bCs/>
          <w:sz w:val="48"/>
          <w:szCs w:val="48"/>
          <w14:ligatures w14:val="standardContextual"/>
        </w:rPr>
      </w:pPr>
      <w:r>
        <w:rPr>
          <w:rFonts w:hint="eastAsia" w:ascii="黑体" w:hAnsi="黑体" w:eastAsia="黑体"/>
          <w:b/>
          <w:bCs/>
          <w:sz w:val="48"/>
          <w:szCs w:val="48"/>
          <w14:ligatures w14:val="standardContextual"/>
        </w:rPr>
        <w:t>发展规划</w:t>
      </w:r>
    </w:p>
    <w:p w14:paraId="74CDC758">
      <w:pPr>
        <w:spacing w:after="0"/>
        <w:ind w:firstLine="0" w:firstLineChars="0"/>
        <w:jc w:val="center"/>
        <w:rPr>
          <w:rFonts w:hint="eastAsia" w:ascii="仿宋_GB2312" w:hAnsi="仿宋_GB2312"/>
          <w:szCs w:val="32"/>
          <w14:ligatures w14:val="standardContextual"/>
        </w:rPr>
      </w:pPr>
      <w:r>
        <w:rPr>
          <w:color w:val="auto"/>
          <w:szCs w:val="32"/>
        </w:rPr>
        <w:t>（征求意见稿）</w:t>
      </w:r>
    </w:p>
    <w:p w14:paraId="2140ACEB">
      <w:pPr>
        <w:spacing w:after="0"/>
        <w:ind w:firstLine="0" w:firstLineChars="0"/>
        <w:jc w:val="center"/>
        <w:rPr>
          <w:rFonts w:hint="eastAsia" w:ascii="仿宋_GB2312" w:hAnsi="仿宋_GB2312"/>
          <w:szCs w:val="32"/>
          <w14:ligatures w14:val="standardContextual"/>
        </w:rPr>
      </w:pPr>
    </w:p>
    <w:p w14:paraId="51B09399">
      <w:pPr>
        <w:spacing w:after="0"/>
        <w:ind w:firstLine="0" w:firstLineChars="0"/>
        <w:jc w:val="center"/>
        <w:rPr>
          <w:rFonts w:hint="eastAsia" w:ascii="仿宋_GB2312" w:hAnsi="仿宋_GB2312"/>
          <w:szCs w:val="32"/>
          <w14:ligatures w14:val="standardContextual"/>
        </w:rPr>
      </w:pPr>
    </w:p>
    <w:p w14:paraId="40FEFDEB">
      <w:pPr>
        <w:spacing w:after="0"/>
        <w:ind w:firstLine="0" w:firstLineChars="0"/>
        <w:jc w:val="center"/>
        <w:rPr>
          <w:rFonts w:hint="eastAsia" w:ascii="仿宋_GB2312" w:hAnsi="仿宋_GB2312"/>
          <w:szCs w:val="32"/>
          <w14:ligatures w14:val="standardContextual"/>
        </w:rPr>
      </w:pPr>
    </w:p>
    <w:p w14:paraId="082CDA05">
      <w:pPr>
        <w:spacing w:after="0"/>
        <w:ind w:firstLine="640"/>
        <w:rPr>
          <w:rFonts w:hint="eastAsia" w:ascii="仿宋_GB2312" w:hAnsi="仿宋_GB2312"/>
          <w:szCs w:val="32"/>
          <w14:ligatures w14:val="standardContextual"/>
        </w:rPr>
      </w:pPr>
    </w:p>
    <w:p w14:paraId="30CC0C08">
      <w:pPr>
        <w:spacing w:after="0"/>
        <w:ind w:firstLine="0" w:firstLineChars="0"/>
        <w:jc w:val="center"/>
        <w:rPr>
          <w:rFonts w:hint="eastAsia" w:ascii="仿宋_GB2312" w:hAnsi="仿宋_GB2312"/>
          <w:szCs w:val="32"/>
          <w14:ligatures w14:val="standardContextual"/>
        </w:rPr>
      </w:pPr>
    </w:p>
    <w:p w14:paraId="1FF274B3">
      <w:pPr>
        <w:spacing w:after="0"/>
        <w:ind w:firstLine="0" w:firstLineChars="0"/>
        <w:jc w:val="center"/>
        <w:rPr>
          <w:rFonts w:hint="eastAsia" w:ascii="仿宋_GB2312" w:hAnsi="仿宋_GB2312"/>
          <w:szCs w:val="32"/>
          <w14:ligatures w14:val="standardContextual"/>
        </w:rPr>
      </w:pPr>
    </w:p>
    <w:p w14:paraId="5B691128">
      <w:pPr>
        <w:spacing w:after="0"/>
        <w:ind w:firstLine="0" w:firstLineChars="0"/>
        <w:jc w:val="center"/>
        <w:rPr>
          <w:rFonts w:hint="eastAsia" w:ascii="仿宋_GB2312" w:hAnsi="仿宋_GB2312"/>
          <w:szCs w:val="32"/>
          <w14:ligatures w14:val="standardContextual"/>
        </w:rPr>
      </w:pPr>
    </w:p>
    <w:p w14:paraId="48BB71E4">
      <w:pPr>
        <w:spacing w:after="0"/>
        <w:ind w:firstLine="0" w:firstLineChars="0"/>
        <w:jc w:val="center"/>
        <w:rPr>
          <w:rFonts w:hint="eastAsia" w:ascii="仿宋_GB2312" w:hAnsi="仿宋_GB2312"/>
          <w:szCs w:val="32"/>
          <w14:ligatures w14:val="standardContextual"/>
        </w:rPr>
      </w:pPr>
    </w:p>
    <w:p w14:paraId="2585B21F">
      <w:pPr>
        <w:spacing w:after="0"/>
        <w:ind w:firstLine="0" w:firstLineChars="0"/>
        <w:jc w:val="center"/>
        <w:rPr>
          <w:rFonts w:hint="eastAsia" w:ascii="仿宋_GB2312" w:hAnsi="仿宋_GB2312"/>
          <w:b/>
          <w:bCs/>
          <w:szCs w:val="32"/>
          <w14:ligatures w14:val="standardContextual"/>
        </w:rPr>
      </w:pPr>
      <w:r>
        <w:rPr>
          <w:rFonts w:hint="eastAsia" w:ascii="仿宋_GB2312" w:hAnsi="仿宋_GB2312"/>
          <w:b/>
          <w:bCs/>
          <w:szCs w:val="32"/>
          <w14:ligatures w14:val="standardContextual"/>
        </w:rPr>
        <w:t>2026.10</w:t>
      </w:r>
    </w:p>
    <w:p w14:paraId="4247D369">
      <w:pPr>
        <w:spacing w:after="0"/>
        <w:ind w:firstLine="0" w:firstLineChars="0"/>
        <w:jc w:val="center"/>
        <w:rPr>
          <w:rFonts w:hint="eastAsia" w:ascii="仿宋_GB2312" w:hAnsi="仿宋_GB2312"/>
          <w:szCs w:val="32"/>
          <w14:ligatures w14:val="standardContextual"/>
        </w:rPr>
      </w:pPr>
    </w:p>
    <w:p w14:paraId="0D6E16CB">
      <w:pPr>
        <w:spacing w:after="0"/>
        <w:ind w:firstLine="0" w:firstLineChars="0"/>
        <w:jc w:val="center"/>
        <w:rPr>
          <w:rFonts w:hint="eastAsia" w:ascii="仿宋_GB2312" w:hAnsi="仿宋_GB2312"/>
          <w:szCs w:val="32"/>
          <w14:ligatures w14:val="standardContextual"/>
        </w:rPr>
      </w:pPr>
    </w:p>
    <w:p w14:paraId="1B4F77AC">
      <w:pPr>
        <w:widowControl/>
        <w:spacing w:after="0"/>
        <w:ind w:firstLine="0" w:firstLineChars="0"/>
        <w:rPr>
          <w:rFonts w:hint="eastAsia" w:ascii="仿宋_GB2312" w:hAnsi="仿宋_GB2312"/>
          <w:szCs w:val="32"/>
          <w14:ligatures w14:val="standardContextual"/>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cols w:space="0" w:num="1"/>
          <w:docGrid w:type="lines" w:linePitch="439" w:charSpace="0"/>
        </w:sectPr>
      </w:pPr>
    </w:p>
    <w:p w14:paraId="208486D2">
      <w:pPr>
        <w:widowControl/>
        <w:spacing w:after="0"/>
        <w:ind w:firstLine="0" w:firstLineChars="0"/>
        <w:jc w:val="center"/>
        <w:rPr>
          <w:rFonts w:hint="eastAsia" w:ascii="黑体" w:hAnsi="黑体" w:eastAsia="黑体"/>
          <w:b/>
          <w:bCs/>
          <w:sz w:val="40"/>
          <w:szCs w:val="40"/>
          <w14:ligatures w14:val="standardContextual"/>
        </w:rPr>
      </w:pPr>
      <w:r>
        <w:rPr>
          <w:rFonts w:hint="eastAsia" w:ascii="黑体" w:hAnsi="黑体" w:eastAsia="黑体"/>
          <w:b/>
          <w:bCs/>
          <w:sz w:val="40"/>
          <w:szCs w:val="40"/>
          <w14:ligatures w14:val="standardContextual"/>
        </w:rPr>
        <w:t>目  录</w:t>
      </w:r>
    </w:p>
    <w:p w14:paraId="091AFA41">
      <w:pPr>
        <w:spacing w:after="0" w:line="400" w:lineRule="exact"/>
        <w:ind w:firstLine="640"/>
        <w:rPr>
          <w:rFonts w:hint="eastAsia" w:ascii="Songti SC" w:hAnsi="Songti SC" w:eastAsia="Songti SC"/>
          <w:szCs w:val="32"/>
        </w:rPr>
      </w:pPr>
      <w:bookmarkStart w:id="0" w:name="OLE_LINK21"/>
    </w:p>
    <w:p w14:paraId="661C5ECE">
      <w:pPr>
        <w:pStyle w:val="18"/>
        <w:spacing w:line="400" w:lineRule="exact"/>
        <w:ind w:firstLine="643"/>
        <w:rPr>
          <w:rFonts w:hint="eastAsia" w:asciiTheme="minorHAnsi" w:hAnsiTheme="minorHAnsi" w:eastAsiaTheme="minorEastAsia" w:cstheme="minorBidi"/>
          <w:b w:val="0"/>
          <w:bCs w:val="0"/>
          <w:kern w:val="2"/>
          <w:sz w:val="21"/>
          <w:szCs w:val="24"/>
        </w:rPr>
      </w:pPr>
      <w:r>
        <w:rPr>
          <w:rFonts w:ascii="Songti SC" w:hAnsi="Songti SC" w:eastAsia="Songti SC"/>
          <w:sz w:val="32"/>
          <w:szCs w:val="32"/>
        </w:rPr>
        <w:fldChar w:fldCharType="begin"/>
      </w:r>
      <w:r>
        <w:rPr>
          <w:rFonts w:ascii="Songti SC" w:hAnsi="Songti SC" w:eastAsia="Songti SC"/>
          <w:sz w:val="32"/>
          <w:szCs w:val="32"/>
        </w:rPr>
        <w:instrText xml:space="preserve"> TOC \o "1-3" \h \z \u </w:instrText>
      </w:r>
      <w:r>
        <w:rPr>
          <w:rFonts w:ascii="Songti SC" w:hAnsi="Songti SC" w:eastAsia="Songti SC"/>
          <w:sz w:val="32"/>
          <w:szCs w:val="32"/>
        </w:rPr>
        <w:fldChar w:fldCharType="separate"/>
      </w:r>
      <w:r>
        <w:fldChar w:fldCharType="begin"/>
      </w:r>
      <w:r>
        <w:instrText xml:space="preserve"> HYPERLINK \l "_Toc235453730" </w:instrText>
      </w:r>
      <w:r>
        <w:fldChar w:fldCharType="separate"/>
      </w:r>
      <w:r>
        <w:rPr>
          <w:rStyle w:val="29"/>
          <w:rFonts w:ascii="黑体" w:hAnsi="黑体" w:eastAsia="黑体"/>
          <w:color w:val="auto"/>
        </w:rPr>
        <w:t>一、发展基础与现状</w:t>
      </w:r>
      <w:r>
        <w:tab/>
      </w:r>
      <w:r>
        <w:fldChar w:fldCharType="begin"/>
      </w:r>
      <w:r>
        <w:instrText xml:space="preserve"> PAGEREF _Toc235453730 \h </w:instrText>
      </w:r>
      <w:r>
        <w:fldChar w:fldCharType="separate"/>
      </w:r>
      <w:r>
        <w:t>4</w:t>
      </w:r>
      <w:r>
        <w:fldChar w:fldCharType="end"/>
      </w:r>
      <w:r>
        <w:fldChar w:fldCharType="end"/>
      </w:r>
    </w:p>
    <w:p w14:paraId="11DA050C">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"_Toc235453731" </w:instrText>
      </w:r>
      <w:r>
        <w:fldChar w:fldCharType="separate"/>
      </w:r>
      <w:r>
        <w:rPr>
          <w:rStyle w:val="29"/>
          <w:rFonts w:ascii="仿宋_GB2312" w:hAnsi="黑体"/>
          <w:b/>
          <w:bCs/>
          <w:color w:val="auto"/>
        </w:rPr>
        <w:t>（一）发展基础</w:t>
      </w:r>
      <w:r>
        <w:tab/>
      </w:r>
      <w:r>
        <w:fldChar w:fldCharType="begin"/>
      </w:r>
      <w:r>
        <w:instrText xml:space="preserve"> PAGEREF _Toc235453731 \h </w:instrText>
      </w:r>
      <w:r>
        <w:fldChar w:fldCharType="separate"/>
      </w:r>
      <w:r>
        <w:t>4</w:t>
      </w:r>
      <w:r>
        <w:fldChar w:fldCharType="end"/>
      </w:r>
      <w:r>
        <w:fldChar w:fldCharType="end"/>
      </w:r>
    </w:p>
    <w:p w14:paraId="38EDE927">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"_Toc235453732" </w:instrText>
      </w:r>
      <w:r>
        <w:fldChar w:fldCharType="separate"/>
      </w:r>
      <w:r>
        <w:rPr>
          <w:rStyle w:val="29"/>
          <w:rFonts w:ascii="仿宋_GB2312" w:hAnsi="黑体"/>
          <w:b/>
          <w:bCs/>
          <w:color w:val="auto"/>
        </w:rPr>
        <w:t>（二）发展问题与制约</w:t>
      </w:r>
      <w:r>
        <w:tab/>
      </w:r>
      <w:r>
        <w:fldChar w:fldCharType="begin"/>
      </w:r>
      <w:r>
        <w:instrText xml:space="preserve"> PAGEREF _Toc235453732 \h </w:instrText>
      </w:r>
      <w:r>
        <w:fldChar w:fldCharType="separate"/>
      </w:r>
      <w:r>
        <w:t>6</w:t>
      </w:r>
      <w:r>
        <w:fldChar w:fldCharType="end"/>
      </w:r>
      <w:r>
        <w:fldChar w:fldCharType="end"/>
      </w:r>
    </w:p>
    <w:p w14:paraId="01EACCEA">
      <w:pPr>
        <w:pStyle w:val="18"/>
        <w:spacing w:line="400" w:lineRule="exact"/>
        <w:ind w:firstLine="602"/>
        <w:rPr>
          <w:rFonts w:hint="eastAsia" w:asciiTheme="minorHAnsi" w:hAnsiTheme="minorHAnsi" w:eastAsiaTheme="minorEastAsia" w:cstheme="minorBidi"/>
          <w:b w:val="0"/>
          <w:bCs w:val="0"/>
          <w:kern w:val="2"/>
          <w:sz w:val="21"/>
          <w:szCs w:val="24"/>
        </w:rPr>
      </w:pPr>
      <w:r>
        <w:fldChar w:fldCharType="begin"/>
      </w:r>
      <w:r>
        <w:instrText xml:space="preserve"> HYPERLINK \l "_Toc235453733" </w:instrText>
      </w:r>
      <w:r>
        <w:fldChar w:fldCharType="separate"/>
      </w:r>
      <w:r>
        <w:rPr>
          <w:rStyle w:val="29"/>
          <w:rFonts w:ascii="黑体" w:hAnsi="黑体" w:eastAsia="黑体"/>
          <w:color w:val="auto"/>
        </w:rPr>
        <w:t>二、发展形势</w:t>
      </w:r>
      <w:r>
        <w:tab/>
      </w:r>
      <w:r>
        <w:fldChar w:fldCharType="begin"/>
      </w:r>
      <w:r>
        <w:instrText xml:space="preserve"> PAGEREF _Toc235453733 \h </w:instrText>
      </w:r>
      <w:r>
        <w:fldChar w:fldCharType="separate"/>
      </w:r>
      <w:r>
        <w:t>7</w:t>
      </w:r>
      <w:r>
        <w:fldChar w:fldCharType="end"/>
      </w:r>
      <w:r>
        <w:fldChar w:fldCharType="end"/>
      </w:r>
    </w:p>
    <w:p w14:paraId="0D71B2AE">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"_Toc235453734" </w:instrText>
      </w:r>
      <w:r>
        <w:fldChar w:fldCharType="separate"/>
      </w:r>
      <w:r>
        <w:rPr>
          <w:rStyle w:val="29"/>
          <w:rFonts w:ascii="仿宋_GB2312" w:hAnsi="黑体"/>
          <w:b/>
          <w:bCs/>
          <w:color w:val="auto"/>
        </w:rPr>
        <w:t>（一）发展机遇</w:t>
      </w:r>
      <w:r>
        <w:tab/>
      </w:r>
      <w:r>
        <w:fldChar w:fldCharType="begin"/>
      </w:r>
      <w:r>
        <w:instrText xml:space="preserve"> PAGEREF _Toc235453734 \h </w:instrText>
      </w:r>
      <w:r>
        <w:fldChar w:fldCharType="separate"/>
      </w:r>
      <w:r>
        <w:t>7</w:t>
      </w:r>
      <w:r>
        <w:fldChar w:fldCharType="end"/>
      </w:r>
      <w:r>
        <w:fldChar w:fldCharType="end"/>
      </w:r>
    </w:p>
    <w:p w14:paraId="5E9CA250">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"_Toc235453735" </w:instrText>
      </w:r>
      <w:r>
        <w:fldChar w:fldCharType="separate"/>
      </w:r>
      <w:r>
        <w:rPr>
          <w:rStyle w:val="29"/>
          <w:rFonts w:ascii="仿宋_GB2312" w:hAnsi="黑体"/>
          <w:b/>
          <w:bCs/>
          <w:color w:val="auto"/>
        </w:rPr>
        <w:t>（二）面临挑战</w:t>
      </w:r>
      <w:r>
        <w:tab/>
      </w:r>
      <w:r>
        <w:fldChar w:fldCharType="begin"/>
      </w:r>
      <w:r>
        <w:instrText xml:space="preserve"> PAGEREF _Toc235453735 \h </w:instrText>
      </w:r>
      <w:r>
        <w:fldChar w:fldCharType="separate"/>
      </w:r>
      <w:r>
        <w:t>8</w:t>
      </w:r>
      <w:r>
        <w:fldChar w:fldCharType="end"/>
      </w:r>
      <w:r>
        <w:fldChar w:fldCharType="end"/>
      </w:r>
    </w:p>
    <w:p w14:paraId="4F9771C8">
      <w:pPr>
        <w:pStyle w:val="18"/>
        <w:spacing w:line="400" w:lineRule="exact"/>
        <w:ind w:firstLine="602"/>
        <w:rPr>
          <w:rFonts w:hint="eastAsia" w:asciiTheme="minorHAnsi" w:hAnsiTheme="minorHAnsi" w:eastAsiaTheme="minorEastAsia" w:cstheme="minorBidi"/>
          <w:b w:val="0"/>
          <w:bCs w:val="0"/>
          <w:kern w:val="2"/>
          <w:sz w:val="21"/>
          <w:szCs w:val="24"/>
        </w:rPr>
      </w:pPr>
      <w:r>
        <w:fldChar w:fldCharType="begin"/>
      </w:r>
      <w:r>
        <w:instrText xml:space="preserve"> HYPERLINK \l "_Toc235453736" </w:instrText>
      </w:r>
      <w:r>
        <w:fldChar w:fldCharType="separate"/>
      </w:r>
      <w:r>
        <w:rPr>
          <w:rStyle w:val="29"/>
          <w:rFonts w:ascii="黑体" w:hAnsi="黑体" w:eastAsia="黑体"/>
          <w:color w:val="auto"/>
        </w:rPr>
        <w:t>三、总体思路</w:t>
      </w:r>
      <w:r>
        <w:tab/>
      </w:r>
      <w:r>
        <w:fldChar w:fldCharType="begin"/>
      </w:r>
      <w:r>
        <w:instrText xml:space="preserve"> PAGEREF _Toc235453736 \h </w:instrText>
      </w:r>
      <w:r>
        <w:fldChar w:fldCharType="separate"/>
      </w:r>
      <w:r>
        <w:t>8</w:t>
      </w:r>
      <w:r>
        <w:fldChar w:fldCharType="end"/>
      </w:r>
      <w:r>
        <w:fldChar w:fldCharType="end"/>
      </w:r>
    </w:p>
    <w:p w14:paraId="7347A791">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"_Toc235453737" </w:instrText>
      </w:r>
      <w:r>
        <w:fldChar w:fldCharType="separate"/>
      </w:r>
      <w:r>
        <w:rPr>
          <w:rStyle w:val="29"/>
          <w:rFonts w:ascii="仿宋_GB2312" w:hAnsi="黑体"/>
          <w:b/>
          <w:bCs/>
          <w:color w:val="auto"/>
        </w:rPr>
        <w:t>（一）指导思想</w:t>
      </w:r>
      <w:r>
        <w:tab/>
      </w:r>
      <w:r>
        <w:fldChar w:fldCharType="begin"/>
      </w:r>
      <w:r>
        <w:instrText xml:space="preserve"> PAGEREF _Toc235453737 \h </w:instrText>
      </w:r>
      <w:r>
        <w:fldChar w:fldCharType="separate"/>
      </w:r>
      <w:r>
        <w:t>8</w:t>
      </w:r>
      <w:r>
        <w:fldChar w:fldCharType="end"/>
      </w:r>
      <w:r>
        <w:fldChar w:fldCharType="end"/>
      </w:r>
    </w:p>
    <w:p w14:paraId="60EA9F58">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"_Toc235453738" </w:instrText>
      </w:r>
      <w:r>
        <w:fldChar w:fldCharType="separate"/>
      </w:r>
      <w:r>
        <w:rPr>
          <w:rStyle w:val="29"/>
          <w:rFonts w:ascii="仿宋_GB2312" w:hAnsi="黑体"/>
          <w:b/>
          <w:bCs/>
          <w:color w:val="auto"/>
        </w:rPr>
        <w:t>（二）基本原则</w:t>
      </w:r>
      <w:r>
        <w:tab/>
      </w:r>
      <w:r>
        <w:fldChar w:fldCharType="begin"/>
      </w:r>
      <w:r>
        <w:instrText xml:space="preserve"> PAGEREF _Toc235453738 \h </w:instrText>
      </w:r>
      <w:r>
        <w:fldChar w:fldCharType="separate"/>
      </w:r>
      <w:r>
        <w:t>9</w:t>
      </w:r>
      <w:r>
        <w:fldChar w:fldCharType="end"/>
      </w:r>
      <w:r>
        <w:fldChar w:fldCharType="end"/>
      </w:r>
    </w:p>
    <w:p w14:paraId="6E367E5F">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"_Toc235453739" </w:instrText>
      </w:r>
      <w:r>
        <w:fldChar w:fldCharType="separate"/>
      </w:r>
      <w:r>
        <w:rPr>
          <w:rStyle w:val="29"/>
          <w:rFonts w:ascii="仿宋_GB2312" w:hAnsi="黑体"/>
          <w:b/>
          <w:bCs/>
          <w:color w:val="auto"/>
        </w:rPr>
        <w:t>（三）发展目标</w:t>
      </w:r>
      <w:r>
        <w:tab/>
      </w:r>
      <w:r>
        <w:fldChar w:fldCharType="begin"/>
      </w:r>
      <w:r>
        <w:instrText xml:space="preserve"> PAGEREF _Toc235453739 \h </w:instrText>
      </w:r>
      <w:r>
        <w:fldChar w:fldCharType="separate"/>
      </w:r>
      <w:r>
        <w:t>10</w:t>
      </w:r>
      <w:r>
        <w:fldChar w:fldCharType="end"/>
      </w:r>
      <w:r>
        <w:fldChar w:fldCharType="end"/>
      </w:r>
    </w:p>
    <w:p w14:paraId="0ABC1FBA">
      <w:pPr>
        <w:pStyle w:val="18"/>
        <w:spacing w:line="400" w:lineRule="exact"/>
        <w:ind w:firstLine="602"/>
        <w:rPr>
          <w:rFonts w:hint="eastAsia" w:asciiTheme="minorHAnsi" w:hAnsiTheme="minorHAnsi" w:eastAsiaTheme="minorEastAsia" w:cstheme="minorBidi"/>
          <w:b w:val="0"/>
          <w:bCs w:val="0"/>
          <w:kern w:val="2"/>
          <w:sz w:val="21"/>
          <w:szCs w:val="24"/>
        </w:rPr>
      </w:pPr>
      <w:r>
        <w:fldChar w:fldCharType="begin"/>
      </w:r>
      <w:r>
        <w:instrText xml:space="preserve"> HYPERLINK \l "_Toc235453740" </w:instrText>
      </w:r>
      <w:r>
        <w:fldChar w:fldCharType="separate"/>
      </w:r>
      <w:r>
        <w:rPr>
          <w:rStyle w:val="29"/>
          <w:rFonts w:ascii="黑体" w:hAnsi="黑体" w:eastAsia="黑体"/>
          <w:color w:val="auto"/>
        </w:rPr>
        <w:t>四、重点任务</w:t>
      </w:r>
      <w:r>
        <w:tab/>
      </w:r>
      <w:r>
        <w:fldChar w:fldCharType="begin"/>
      </w:r>
      <w:r>
        <w:instrText xml:space="preserve"> PAGEREF _Toc235453740 \h </w:instrText>
      </w:r>
      <w:r>
        <w:fldChar w:fldCharType="separate"/>
      </w:r>
      <w:r>
        <w:t>12</w:t>
      </w:r>
      <w:r>
        <w:fldChar w:fldCharType="end"/>
      </w:r>
      <w:r>
        <w:fldChar w:fldCharType="end"/>
      </w:r>
    </w:p>
    <w:p w14:paraId="0A42DAED">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"_Toc235453741" </w:instrText>
      </w:r>
      <w:r>
        <w:fldChar w:fldCharType="separate"/>
      </w:r>
      <w:r>
        <w:rPr>
          <w:rStyle w:val="29"/>
          <w:rFonts w:ascii="仿宋_GB2312" w:hAnsi="黑体"/>
          <w:b/>
          <w:bCs/>
          <w:color w:val="auto"/>
        </w:rPr>
        <w:t>（一）科技策源，提升体系化科技创新能力</w:t>
      </w:r>
      <w:r>
        <w:tab/>
      </w:r>
      <w:r>
        <w:fldChar w:fldCharType="begin"/>
      </w:r>
      <w:r>
        <w:instrText xml:space="preserve"> PAGEREF _Toc235453741 \h </w:instrText>
      </w:r>
      <w:r>
        <w:fldChar w:fldCharType="separate"/>
      </w:r>
      <w:r>
        <w:t>12</w:t>
      </w:r>
      <w:r>
        <w:fldChar w:fldCharType="end"/>
      </w:r>
      <w:r>
        <w:fldChar w:fldCharType="end"/>
      </w:r>
    </w:p>
    <w:p w14:paraId="3FDDE504">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"_Toc235453742" </w:instrText>
      </w:r>
      <w:r>
        <w:fldChar w:fldCharType="separate"/>
      </w:r>
      <w:r>
        <w:rPr>
          <w:rStyle w:val="29"/>
          <w:rFonts w:ascii="仿宋_GB2312" w:hAnsi="黑体"/>
          <w:b/>
          <w:bCs/>
          <w:color w:val="auto"/>
        </w:rPr>
        <w:t>（二）统筹联动，强化有组织科技成果转化</w:t>
      </w:r>
      <w:r>
        <w:tab/>
      </w:r>
      <w:r>
        <w:fldChar w:fldCharType="begin"/>
      </w:r>
      <w:r>
        <w:instrText xml:space="preserve"> PAGEREF _Toc235453742 \h </w:instrText>
      </w:r>
      <w:r>
        <w:fldChar w:fldCharType="separate"/>
      </w:r>
      <w:r>
        <w:t>13</w:t>
      </w:r>
      <w:r>
        <w:fldChar w:fldCharType="end"/>
      </w:r>
      <w:r>
        <w:fldChar w:fldCharType="end"/>
      </w:r>
    </w:p>
    <w:p w14:paraId="7537BBEF">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"_Toc235453743" </w:instrText>
      </w:r>
      <w:r>
        <w:fldChar w:fldCharType="separate"/>
      </w:r>
      <w:r>
        <w:rPr>
          <w:rStyle w:val="29"/>
          <w:rFonts w:ascii="仿宋_GB2312" w:hAnsi="黑体"/>
          <w:b/>
          <w:bCs/>
          <w:color w:val="auto"/>
        </w:rPr>
        <w:t>（三）创新驱动，加快培育发展新质生产力</w:t>
      </w:r>
      <w:r>
        <w:tab/>
      </w:r>
      <w:r>
        <w:fldChar w:fldCharType="begin"/>
      </w:r>
      <w:r>
        <w:instrText xml:space="preserve"> PAGEREF _Toc235453743 \h </w:instrText>
      </w:r>
      <w:r>
        <w:fldChar w:fldCharType="separate"/>
      </w:r>
      <w:r>
        <w:t>14</w:t>
      </w:r>
      <w:r>
        <w:fldChar w:fldCharType="end"/>
      </w:r>
      <w:r>
        <w:fldChar w:fldCharType="end"/>
      </w:r>
    </w:p>
    <w:p w14:paraId="53C3514C">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"_Toc235453744" </w:instrText>
      </w:r>
      <w:r>
        <w:fldChar w:fldCharType="separate"/>
      </w:r>
      <w:r>
        <w:rPr>
          <w:rStyle w:val="29"/>
          <w:rFonts w:ascii="仿宋_GB2312" w:hAnsi="黑体"/>
          <w:b/>
          <w:bCs/>
          <w:color w:val="auto"/>
        </w:rPr>
        <w:t>（四）人才支撑，推进教育科技人才一体化</w:t>
      </w:r>
      <w:r>
        <w:tab/>
      </w:r>
      <w:r>
        <w:fldChar w:fldCharType="begin"/>
      </w:r>
      <w:r>
        <w:instrText xml:space="preserve"> PAGEREF _Toc235453744 \h </w:instrText>
      </w:r>
      <w:r>
        <w:fldChar w:fldCharType="separate"/>
      </w:r>
      <w:r>
        <w:t>15</w:t>
      </w:r>
      <w:r>
        <w:fldChar w:fldCharType="end"/>
      </w:r>
      <w:r>
        <w:fldChar w:fldCharType="end"/>
      </w:r>
    </w:p>
    <w:p w14:paraId="6FF5FD5C">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"_Toc235453745" </w:instrText>
      </w:r>
      <w:r>
        <w:fldChar w:fldCharType="separate"/>
      </w:r>
      <w:r>
        <w:rPr>
          <w:rStyle w:val="29"/>
          <w:rFonts w:ascii="仿宋_GB2312" w:hAnsi="黑体"/>
          <w:b/>
          <w:bCs/>
          <w:color w:val="auto"/>
        </w:rPr>
        <w:t>（五）多维提升，全面构建科技创新新生态</w:t>
      </w:r>
      <w:r>
        <w:tab/>
      </w:r>
      <w:r>
        <w:fldChar w:fldCharType="begin"/>
      </w:r>
      <w:r>
        <w:instrText xml:space="preserve"> PAGEREF _Toc235453745 \h </w:instrText>
      </w:r>
      <w:r>
        <w:fldChar w:fldCharType="separate"/>
      </w:r>
      <w:r>
        <w:t>16</w:t>
      </w:r>
      <w:r>
        <w:fldChar w:fldCharType="end"/>
      </w:r>
      <w:r>
        <w:fldChar w:fldCharType="end"/>
      </w:r>
    </w:p>
    <w:p w14:paraId="52FC72D1">
      <w:pPr>
        <w:pStyle w:val="18"/>
        <w:spacing w:line="400" w:lineRule="exact"/>
        <w:ind w:firstLine="602"/>
        <w:rPr>
          <w:rFonts w:hint="eastAsia" w:asciiTheme="minorHAnsi" w:hAnsiTheme="minorHAnsi" w:eastAsiaTheme="minorEastAsia" w:cstheme="minorBidi"/>
          <w:b w:val="0"/>
          <w:bCs w:val="0"/>
          <w:kern w:val="2"/>
          <w:sz w:val="21"/>
          <w:szCs w:val="24"/>
        </w:rPr>
      </w:pPr>
      <w:r>
        <w:fldChar w:fldCharType="begin"/>
      </w:r>
      <w:r>
        <w:instrText xml:space="preserve"> HYPERLINK \l "_Toc235453746" </w:instrText>
      </w:r>
      <w:r>
        <w:fldChar w:fldCharType="separate"/>
      </w:r>
      <w:r>
        <w:rPr>
          <w:rStyle w:val="29"/>
          <w:rFonts w:ascii="黑体" w:hAnsi="黑体" w:eastAsia="黑体"/>
          <w:color w:val="auto"/>
        </w:rPr>
        <w:t>五、保障措施</w:t>
      </w:r>
      <w:r>
        <w:tab/>
      </w:r>
      <w:r>
        <w:fldChar w:fldCharType="begin"/>
      </w:r>
      <w:r>
        <w:instrText xml:space="preserve"> PAGEREF _Toc235453746 \h </w:instrText>
      </w:r>
      <w:r>
        <w:fldChar w:fldCharType="separate"/>
      </w:r>
      <w:r>
        <w:t>18</w:t>
      </w:r>
      <w:r>
        <w:fldChar w:fldCharType="end"/>
      </w:r>
      <w:r>
        <w:fldChar w:fldCharType="end"/>
      </w:r>
    </w:p>
    <w:p w14:paraId="1BB5FB41">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"_Toc235453747" </w:instrText>
      </w:r>
      <w:r>
        <w:fldChar w:fldCharType="separate"/>
      </w:r>
      <w:r>
        <w:rPr>
          <w:rStyle w:val="29"/>
          <w:rFonts w:ascii="仿宋_GB2312" w:hAnsi="黑体"/>
          <w:b/>
          <w:bCs/>
          <w:color w:val="auto"/>
        </w:rPr>
        <w:t>（一）强化组织保障</w:t>
      </w:r>
      <w:r>
        <w:tab/>
      </w:r>
      <w:r>
        <w:fldChar w:fldCharType="begin"/>
      </w:r>
      <w:r>
        <w:instrText xml:space="preserve"> PAGEREF _Toc235453747 \h </w:instrText>
      </w:r>
      <w:r>
        <w:fldChar w:fldCharType="separate"/>
      </w:r>
      <w:r>
        <w:t>18</w:t>
      </w:r>
      <w:r>
        <w:fldChar w:fldCharType="end"/>
      </w:r>
      <w:r>
        <w:fldChar w:fldCharType="end"/>
      </w:r>
    </w:p>
    <w:p w14:paraId="0309C06A">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"_Toc235453748" </w:instrText>
      </w:r>
      <w:r>
        <w:fldChar w:fldCharType="separate"/>
      </w:r>
      <w:r>
        <w:rPr>
          <w:rStyle w:val="29"/>
          <w:rFonts w:ascii="仿宋_GB2312" w:hAnsi="黑体"/>
          <w:b/>
          <w:bCs/>
          <w:color w:val="auto"/>
        </w:rPr>
        <w:t>（二）落实政策保障</w:t>
      </w:r>
      <w:r>
        <w:tab/>
      </w:r>
      <w:r>
        <w:fldChar w:fldCharType="begin"/>
      </w:r>
      <w:r>
        <w:instrText xml:space="preserve"> PAGEREF _Toc235453748 \h </w:instrText>
      </w:r>
      <w:r>
        <w:fldChar w:fldCharType="separate"/>
      </w:r>
      <w:r>
        <w:t>18</w:t>
      </w:r>
      <w:r>
        <w:fldChar w:fldCharType="end"/>
      </w:r>
      <w:r>
        <w:fldChar w:fldCharType="end"/>
      </w:r>
    </w:p>
    <w:p w14:paraId="35929D32">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"_Toc235453749" </w:instrText>
      </w:r>
      <w:r>
        <w:fldChar w:fldCharType="separate"/>
      </w:r>
      <w:r>
        <w:rPr>
          <w:rStyle w:val="29"/>
          <w:rFonts w:ascii="仿宋_GB2312" w:hAnsi="黑体"/>
          <w:b/>
          <w:bCs/>
          <w:color w:val="auto"/>
        </w:rPr>
        <w:t>（三）夯实要素保障</w:t>
      </w:r>
      <w:r>
        <w:tab/>
      </w:r>
      <w:r>
        <w:fldChar w:fldCharType="begin"/>
      </w:r>
      <w:r>
        <w:instrText xml:space="preserve"> PAGEREF _Toc235453749 \h </w:instrText>
      </w:r>
      <w:r>
        <w:fldChar w:fldCharType="separate"/>
      </w:r>
      <w:r>
        <w:t>18</w:t>
      </w:r>
      <w:r>
        <w:fldChar w:fldCharType="end"/>
      </w:r>
      <w:r>
        <w:fldChar w:fldCharType="end"/>
      </w:r>
    </w:p>
    <w:p w14:paraId="660DAC4C">
      <w:pPr>
        <w:pStyle w:val="21"/>
        <w:tabs>
          <w:tab w:val="right" w:leader="dot" w:pos="8296"/>
        </w:tabs>
        <w:spacing w:line="400" w:lineRule="exact"/>
        <w:ind w:left="640" w:firstLine="640"/>
        <w:rPr>
          <w:rFonts w:hint="eastAsia" w:asciiTheme="minorHAnsi" w:hAnsiTheme="minorHAnsi" w:eastAsiaTheme="minorEastAsia" w:cstheme="minorBidi"/>
          <w:sz w:val="21"/>
          <w:szCs w:val="24"/>
        </w:rPr>
      </w:pPr>
      <w:r>
        <w:fldChar w:fldCharType="begin"/>
      </w:r>
      <w:r>
        <w:instrText xml:space="preserve"> HYPERLINK \l "_Toc235453750" </w:instrText>
      </w:r>
      <w:r>
        <w:fldChar w:fldCharType="separate"/>
      </w:r>
      <w:r>
        <w:rPr>
          <w:rStyle w:val="29"/>
          <w:rFonts w:ascii="仿宋_GB2312" w:hAnsi="黑体"/>
          <w:b/>
          <w:bCs/>
          <w:color w:val="auto"/>
        </w:rPr>
        <w:t>（四）健全实施保障</w:t>
      </w:r>
      <w:r>
        <w:tab/>
      </w:r>
      <w:r>
        <w:fldChar w:fldCharType="begin"/>
      </w:r>
      <w:r>
        <w:instrText xml:space="preserve"> PAGEREF _Toc235453750 \h </w:instrText>
      </w:r>
      <w:r>
        <w:fldChar w:fldCharType="separate"/>
      </w:r>
      <w:r>
        <w:t>18</w:t>
      </w:r>
      <w:r>
        <w:fldChar w:fldCharType="end"/>
      </w:r>
      <w:r>
        <w:fldChar w:fldCharType="end"/>
      </w:r>
    </w:p>
    <w:p w14:paraId="00726319">
      <w:pPr>
        <w:pageBreakBefore/>
        <w:spacing w:after="0"/>
        <w:ind w:firstLine="199" w:firstLineChars="62"/>
        <w:jc w:val="center"/>
        <w:rPr>
          <w:rFonts w:ascii="仿宋_GB2312"/>
          <w:b/>
          <w:bCs/>
          <w:szCs w:val="32"/>
        </w:rPr>
      </w:pPr>
      <w:r>
        <w:rPr>
          <w:rFonts w:ascii="Songti SC" w:hAnsi="Songti SC" w:eastAsia="Songti SC"/>
          <w:b/>
          <w:bCs/>
          <w:szCs w:val="32"/>
          <w:lang w:val="zh-CN"/>
        </w:rPr>
        <w:fldChar w:fldCharType="end"/>
      </w:r>
      <w:bookmarkEnd w:id="0"/>
      <w:r>
        <w:rPr>
          <w:rFonts w:hint="eastAsia" w:ascii="仿宋_GB2312"/>
          <w:b/>
          <w:bCs/>
          <w:szCs w:val="32"/>
        </w:rPr>
        <w:t>前   言</w:t>
      </w:r>
    </w:p>
    <w:p w14:paraId="7BC974CA">
      <w:pPr>
        <w:spacing w:after="0"/>
        <w:ind w:firstLine="640"/>
        <w:rPr>
          <w:rFonts w:ascii="仿宋_GB2312"/>
          <w:szCs w:val="32"/>
        </w:rPr>
      </w:pPr>
      <w:r>
        <w:rPr>
          <w:rFonts w:hint="eastAsia" w:ascii="仿宋_GB2312"/>
          <w:szCs w:val="32"/>
        </w:rPr>
        <w:t>“十五五”时期是基本实现社会主义现代化的关键时期，加强科技强国建设、提升创新体系整体效能、全面增强自主创新能力、抢占科技发展制高点成为“十五五”时期重要战略任务。北京市自觉从“两个大局”的高度把握科技创新工作，以科技创新发展作为率先实现社会主义现代化的重要支撑，锚定“十五五”末期全力建设北京（京津冀）国际科技创新中心的战略目标，充分发挥首都教育科技人才优势，积极融入全球创新网络，加快建成科技强国的战略支点。</w:t>
      </w:r>
    </w:p>
    <w:p w14:paraId="2AF09DD2">
      <w:pPr>
        <w:spacing w:after="0"/>
        <w:ind w:firstLine="640"/>
        <w:rPr>
          <w:rFonts w:ascii="仿宋_GB2312"/>
          <w:szCs w:val="32"/>
        </w:rPr>
      </w:pPr>
      <w:r>
        <w:rPr>
          <w:rFonts w:hint="eastAsia" w:ascii="仿宋_GB2312"/>
          <w:szCs w:val="32"/>
        </w:rPr>
        <w:t>在新的发展阶段，昌平区着力打造最年轻的平原新城、最具活力的未来之城，加快建设北京（京津冀）国际科技创新中心承载区。聚</w:t>
      </w:r>
      <w:r>
        <w:rPr>
          <w:rFonts w:hint="eastAsia" w:ascii="仿宋_GB2312" w:hAnsi="仿宋_GB2312" w:cs="仿宋_GB2312"/>
          <w:szCs w:val="32"/>
        </w:rPr>
        <w:t>焦未来科学城“三城一区”枢纽型主平台作用，持续提升生命谷发展能级、高效推进能源谷建设发展、强化沙河高教园</w:t>
      </w:r>
      <w:bookmarkStart w:id="1" w:name="OLE_LINK26"/>
      <w:r>
        <w:rPr>
          <w:rFonts w:hint="eastAsia" w:ascii="仿宋_GB2312" w:hAnsi="仿宋_GB2312" w:cs="仿宋_GB2312"/>
          <w:szCs w:val="32"/>
        </w:rPr>
        <w:t>产教与校城融合示范</w:t>
      </w:r>
      <w:bookmarkEnd w:id="1"/>
      <w:r>
        <w:rPr>
          <w:rFonts w:hint="eastAsia" w:ascii="仿宋_GB2312" w:hAnsi="仿宋_GB2312" w:cs="仿宋_GB2312"/>
          <w:szCs w:val="32"/>
        </w:rPr>
        <w:t>，加快建设高水平人才高地主阵地，优化科技创新生态，引领昌平跨越发展。本规划依据《中共中央办公厅 国务院办公厅关于推动科技创新和产业创新深度融合的意见》《“十五五”时期北京推进国际科技创新中心建设规划》等国家、北京市法规政策规划，以及《“十五五”时期昌平区国民经济和社会发展规划》《昌平分区规划(2017</w:t>
      </w:r>
      <w:r>
        <w:rPr>
          <w:rFonts w:hint="eastAsia" w:ascii="仿宋_GB2312"/>
          <w:szCs w:val="32"/>
        </w:rPr>
        <w:t>年-2035年)》等区级上位规划研究制定，是昌平推进科技创新发展的总纲领和行动指南，规划期为2026年至2030年。</w:t>
      </w:r>
    </w:p>
    <w:p w14:paraId="2964E552">
      <w:pPr>
        <w:spacing w:after="0"/>
        <w:ind w:firstLine="0" w:firstLineChars="0"/>
        <w:rPr>
          <w:rFonts w:ascii="仿宋_GB2312"/>
          <w:szCs w:val="32"/>
        </w:rPr>
      </w:pPr>
    </w:p>
    <w:p w14:paraId="75FB3ADA">
      <w:pPr>
        <w:pageBreakBefore/>
        <w:spacing w:after="0"/>
        <w:ind w:firstLine="643"/>
        <w:outlineLvl w:val="0"/>
        <w:rPr>
          <w:rFonts w:hint="eastAsia" w:ascii="黑体" w:hAnsi="黑体" w:eastAsia="黑体"/>
          <w:b/>
          <w:bCs/>
          <w:szCs w:val="32"/>
        </w:rPr>
      </w:pPr>
      <w:bookmarkStart w:id="2" w:name="_Toc235453730"/>
      <w:r>
        <w:rPr>
          <w:rFonts w:hint="eastAsia" w:ascii="黑体" w:hAnsi="黑体" w:eastAsia="黑体"/>
          <w:b/>
          <w:bCs/>
          <w:szCs w:val="32"/>
        </w:rPr>
        <w:t>一、发展基础与现状</w:t>
      </w:r>
      <w:bookmarkEnd w:id="2"/>
    </w:p>
    <w:p w14:paraId="0DC8987F">
      <w:pPr>
        <w:spacing w:after="0"/>
        <w:ind w:firstLine="640"/>
      </w:pPr>
      <w:r>
        <w:rPr>
          <w:rFonts w:hint="eastAsia" w:ascii="仿宋_GB2312" w:hAnsi="仿宋_GB2312"/>
          <w:szCs w:val="32"/>
        </w:rPr>
        <w:t>“十四五”时期，昌平区全力推动科技创新发展，推动科技创新和产业创新深度融合，</w:t>
      </w:r>
      <w:r>
        <w:rPr>
          <w:rFonts w:hint="eastAsia"/>
        </w:rPr>
        <w:t>采用“廊道牵引、组团联动、板块发展”的模式，大尺度规</w:t>
      </w:r>
      <w:r>
        <w:rPr>
          <w:rFonts w:hint="eastAsia" w:ascii="仿宋_GB2312" w:hAnsi="仿宋_GB2312" w:cs="仿宋_GB2312"/>
        </w:rPr>
        <w:t>划G6科创走廊、G45产</w:t>
      </w:r>
      <w:r>
        <w:rPr>
          <w:rFonts w:hint="eastAsia"/>
        </w:rPr>
        <w:t>业走廊，为科技创新与产业升级搭建了关键承载平台，集聚创新资源，持续增强科技创新和产业发展的支撑能力。</w:t>
      </w:r>
    </w:p>
    <w:p w14:paraId="5D5CC7C0">
      <w:pPr>
        <w:spacing w:after="0"/>
        <w:ind w:firstLine="643"/>
        <w:outlineLvl w:val="1"/>
        <w:rPr>
          <w:rFonts w:hint="eastAsia" w:ascii="仿宋_GB2312" w:hAnsi="黑体"/>
          <w:b/>
          <w:bCs/>
          <w:szCs w:val="32"/>
        </w:rPr>
      </w:pPr>
      <w:bookmarkStart w:id="3" w:name="_Toc235453731"/>
      <w:r>
        <w:rPr>
          <w:rFonts w:hint="eastAsia" w:ascii="仿宋_GB2312" w:hAnsi="黑体"/>
          <w:b/>
          <w:bCs/>
          <w:szCs w:val="32"/>
        </w:rPr>
        <w:t>（一）发展基础</w:t>
      </w:r>
      <w:bookmarkEnd w:id="3"/>
    </w:p>
    <w:p w14:paraId="4E671F59">
      <w:pPr>
        <w:spacing w:after="0"/>
        <w:ind w:firstLine="643"/>
        <w:rPr>
          <w:rFonts w:hint="eastAsia" w:ascii="仿宋_GB2312" w:hAnsi="仿宋_GB2312"/>
          <w:szCs w:val="32"/>
        </w:rPr>
      </w:pPr>
      <w:bookmarkStart w:id="4" w:name="_Toc225438071"/>
      <w:r>
        <w:rPr>
          <w:rFonts w:hint="eastAsia" w:ascii="仿宋_GB2312" w:hAnsi="黑体"/>
          <w:b/>
          <w:bCs/>
          <w:szCs w:val="32"/>
        </w:rPr>
        <w:t>实现科技创新发展格局重构。</w:t>
      </w:r>
      <w:r>
        <w:rPr>
          <w:rFonts w:hint="eastAsia" w:ascii="仿宋_GB2312" w:hAnsi="黑体"/>
          <w:szCs w:val="32"/>
        </w:rPr>
        <w:t>“十四五”时期，昌平区着力优化全区科技创新布局，</w:t>
      </w:r>
      <w:bookmarkStart w:id="5" w:name="OLE_LINK2"/>
      <w:r>
        <w:rPr>
          <w:rFonts w:hint="eastAsia" w:ascii="仿宋_GB2312" w:hAnsi="宋体" w:cs="仿宋_GB2312"/>
          <w:color w:val="000000"/>
          <w:szCs w:val="32"/>
        </w:rPr>
        <w:t>G6科创走廊、G45产业走廊成为重要增长极，新质生产力加快发展，新兴产业和未来产业集群进一步壮大，具有国际竞争力的现代化产业集群做优做强。</w:t>
      </w:r>
      <w:bookmarkEnd w:id="5"/>
      <w:r>
        <w:rPr>
          <w:rFonts w:hint="eastAsia" w:ascii="仿宋_GB2312" w:hAnsi="黑体"/>
          <w:szCs w:val="32"/>
        </w:rPr>
        <w:t>清华南口国重基地、北大产教研融合创新中心建设取得重要进展，</w:t>
      </w:r>
      <w:r>
        <w:rPr>
          <w:rFonts w:hint="eastAsia" w:ascii="仿宋_GB2312" w:hAnsi="仿宋_GB2312"/>
          <w:szCs w:val="32"/>
        </w:rPr>
        <w:t>“科学家的家、创业者的城”加速成型。未来科学城企业数量、产业收入、工业产值稳步增长，跻身全国科技城百强榜三甲。昌平区与10所高校共建未来大学科技园，沙河高教园获评北京市唯一“2025年度最具投资价值园区”和</w:t>
      </w:r>
      <w:r>
        <w:rPr>
          <w:rFonts w:hint="eastAsia"/>
          <w:szCs w:val="32"/>
        </w:rPr>
        <w:t>“</w:t>
      </w:r>
      <w:r>
        <w:rPr>
          <w:szCs w:val="32"/>
        </w:rPr>
        <w:t>中国产学研合作创新示范基地</w:t>
      </w:r>
      <w:r>
        <w:rPr>
          <w:rFonts w:hint="eastAsia"/>
          <w:szCs w:val="32"/>
        </w:rPr>
        <w:t>”。</w:t>
      </w:r>
      <w:bookmarkStart w:id="6" w:name="OLE_LINK5"/>
      <w:r>
        <w:rPr>
          <w:rFonts w:hint="eastAsia" w:ascii="仿宋_GB2312" w:hAnsi="仿宋_GB2312"/>
          <w:szCs w:val="32"/>
        </w:rPr>
        <w:t>中关村昌平园连续四年在中关村示范区创新发展综合评价中位列“其他分园”组别第一。</w:t>
      </w:r>
    </w:p>
    <w:bookmarkEnd w:id="6"/>
    <w:p w14:paraId="3C4D1B12">
      <w:pPr>
        <w:spacing w:after="0"/>
        <w:ind w:firstLine="643"/>
        <w:rPr>
          <w:rFonts w:hint="eastAsia" w:ascii="仿宋_GB2312" w:hAnsi="黑体"/>
          <w:szCs w:val="32"/>
        </w:rPr>
      </w:pPr>
      <w:r>
        <w:rPr>
          <w:rFonts w:hint="eastAsia" w:ascii="仿宋_GB2312" w:hAnsi="黑体"/>
          <w:b/>
          <w:bCs/>
          <w:szCs w:val="32"/>
        </w:rPr>
        <w:t>建构“四区”政策叠加优势。</w:t>
      </w:r>
      <w:r>
        <w:rPr>
          <w:rFonts w:hint="eastAsia" w:ascii="仿宋_GB2312" w:hAnsi="黑体"/>
          <w:szCs w:val="32"/>
        </w:rPr>
        <w:t>中关村国家自主创新示范区先行先试政策、中国自由贸易试验区科技创新片区开放政策、国家服务业扩大开放综合示范区建设政策、北京青年人才创新创业生态区政策落地，政策叠加优势更加显著。</w:t>
      </w:r>
      <w:bookmarkStart w:id="7" w:name="OLE_LINK6"/>
      <w:r>
        <w:rPr>
          <w:rFonts w:hint="eastAsia" w:ascii="仿宋_GB2312" w:hAnsi="黑体"/>
          <w:szCs w:val="32"/>
        </w:rPr>
        <w:t>“十四五”时期，</w:t>
      </w:r>
      <w:bookmarkStart w:id="8" w:name="OLE_LINK22"/>
      <w:r>
        <w:rPr>
          <w:rFonts w:hint="eastAsia" w:ascii="仿宋_GB2312" w:hAnsi="黑体"/>
          <w:szCs w:val="32"/>
        </w:rPr>
        <w:t>全区累计落实210项创新政策，</w:t>
      </w:r>
      <w:bookmarkEnd w:id="8"/>
      <w:r>
        <w:rPr>
          <w:rFonts w:hint="eastAsia" w:ascii="仿宋_GB2312" w:hAnsi="黑体"/>
          <w:szCs w:val="32"/>
        </w:rPr>
        <w:t>7个改革创新实践案例向全国或全市复制推广，中关村（昌平）合成生物制造产业园等6个园区获评中关村特色产业园。</w:t>
      </w:r>
      <w:bookmarkEnd w:id="7"/>
      <w:r>
        <w:rPr>
          <w:rFonts w:hint="eastAsia" w:ascii="仿宋_GB2312" w:hAnsi="黑体"/>
          <w:szCs w:val="32"/>
        </w:rPr>
        <w:t>率先突破医疗、增值电信等领域开放边界，率先实现外商投资企业注册“全程网办”。出台昌平青年人才创新创业“五个一批”一揽子政策，政策环境更加优越。</w:t>
      </w:r>
    </w:p>
    <w:p w14:paraId="1D61884B">
      <w:pPr>
        <w:spacing w:after="0"/>
        <w:ind w:firstLine="643"/>
        <w:rPr>
          <w:rFonts w:hint="eastAsia" w:ascii="仿宋_GB2312" w:hAnsi="黑体"/>
          <w:szCs w:val="32"/>
        </w:rPr>
      </w:pPr>
      <w:r>
        <w:rPr>
          <w:rFonts w:hint="eastAsia" w:ascii="仿宋_GB2312" w:hAnsi="黑体"/>
          <w:b/>
          <w:bCs/>
          <w:szCs w:val="32"/>
        </w:rPr>
        <w:t>科技创新能力大幅提升。</w:t>
      </w:r>
      <w:bookmarkStart w:id="9" w:name="OLE_LINK9"/>
      <w:r>
        <w:rPr>
          <w:rFonts w:hint="eastAsia" w:ascii="仿宋_GB2312" w:hAnsi="黑体"/>
          <w:szCs w:val="32"/>
        </w:rPr>
        <w:t>昌平国家实验室核心区及配套项目主体工程按期完工，在乙肝治疗、脑科学与脑机接口等领域取得一批突破性成果。全区已聚集14所“双一流”高校，已建设200余个国家和省部级科研平台。企业科技创新主体作用进一步凸显，“十四五”时期，全区“小巨人”企业达到93家、专精特新企业达971家、国高新企业达2108家，均排名平原新城首位</w:t>
      </w:r>
      <w:r>
        <w:rPr>
          <w:rFonts w:hint="eastAsia" w:ascii="仿宋_GB2312" w:hAnsi="仿宋_GB2312"/>
          <w:szCs w:val="32"/>
        </w:rPr>
        <w:t>。</w:t>
      </w:r>
      <w:r>
        <w:rPr>
          <w:rFonts w:hint="eastAsia" w:ascii="仿宋_GB2312" w:hAnsi="黑体"/>
          <w:szCs w:val="32"/>
        </w:rPr>
        <w:t>高水平人才队伍持续壮大，</w:t>
      </w:r>
      <w:bookmarkStart w:id="10" w:name="OLE_LINK8"/>
      <w:r>
        <w:rPr>
          <w:rFonts w:hint="eastAsia" w:ascii="仿宋_GB2312" w:hAnsi="仿宋_GB2312"/>
          <w:szCs w:val="32"/>
        </w:rPr>
        <w:t>全区</w:t>
      </w:r>
      <w:r>
        <w:rPr>
          <w:rFonts w:hint="eastAsia" w:ascii="仿宋_GB2312" w:hAnsi="黑体"/>
          <w:szCs w:val="32"/>
        </w:rPr>
        <w:t>汇聚3000余名行业领军人才、5.8万名科研人才。</w:t>
      </w:r>
      <w:bookmarkEnd w:id="10"/>
    </w:p>
    <w:bookmarkEnd w:id="9"/>
    <w:p w14:paraId="3E519018">
      <w:pPr>
        <w:spacing w:after="0"/>
        <w:ind w:firstLine="643"/>
        <w:rPr>
          <w:rFonts w:hint="eastAsia" w:ascii="仿宋_GB2312" w:hAnsi="黑体"/>
          <w:szCs w:val="32"/>
        </w:rPr>
      </w:pPr>
      <w:bookmarkStart w:id="11" w:name="OLE_LINK10"/>
      <w:r>
        <w:rPr>
          <w:rFonts w:hint="eastAsia" w:ascii="仿宋_GB2312" w:hAnsi="黑体"/>
          <w:b/>
          <w:bCs/>
          <w:szCs w:val="32"/>
        </w:rPr>
        <w:t>科技创新成果持续涌现。</w:t>
      </w:r>
      <w:r>
        <w:rPr>
          <w:rFonts w:hint="eastAsia" w:ascii="仿宋_GB2312" w:hAnsi="黑体"/>
          <w:szCs w:val="32"/>
        </w:rPr>
        <w:t>“十四五”时期，全区科技创新成果丰硕，截至2025年底，全区有效发明专利拥有量达3万余件，较五年前实现翻倍。中国首个生命科学领域的国家实验室投用，北生所、北脑所等一批高水平研发机构集聚，产出中国首款“十亿美元分子”新药泽布替尼、</w:t>
      </w:r>
      <w:bookmarkStart w:id="12" w:name="OLE_LINK34"/>
      <w:r>
        <w:rPr>
          <w:rFonts w:hint="eastAsia" w:ascii="仿宋_GB2312" w:hAnsi="黑体"/>
          <w:szCs w:val="32"/>
        </w:rPr>
        <w:t>我国首个高性能侵入式脑机接口“北脑二号”</w:t>
      </w:r>
      <w:bookmarkEnd w:id="12"/>
      <w:r>
        <w:rPr>
          <w:rFonts w:hint="eastAsia" w:ascii="仿宋_GB2312" w:hAnsi="黑体"/>
          <w:szCs w:val="32"/>
        </w:rPr>
        <w:t>等标志性成果，8项成果入选国务院国资委央企“十大国之重器”，涌现小米、三一重工等一批</w:t>
      </w:r>
      <w:bookmarkStart w:id="13" w:name="OLE_LINK4"/>
      <w:r>
        <w:rPr>
          <w:rFonts w:hint="eastAsia" w:ascii="仿宋_GB2312" w:hAnsi="黑体"/>
          <w:szCs w:val="32"/>
        </w:rPr>
        <w:t>卓越级智能工厂</w:t>
      </w:r>
      <w:bookmarkEnd w:id="13"/>
      <w:r>
        <w:rPr>
          <w:rFonts w:hint="eastAsia" w:ascii="仿宋_GB2312" w:hAnsi="黑体"/>
          <w:szCs w:val="32"/>
        </w:rPr>
        <w:t>，北京合成生物制造产业集聚区获评全国首个“中小企业特色产业集群”。</w:t>
      </w:r>
      <w:bookmarkEnd w:id="11"/>
      <w:bookmarkStart w:id="14" w:name="OLE_LINK11"/>
    </w:p>
    <w:bookmarkEnd w:id="14"/>
    <w:p w14:paraId="47FE39B0">
      <w:pPr>
        <w:spacing w:after="0"/>
        <w:ind w:firstLine="643"/>
        <w:rPr>
          <w:rFonts w:hint="eastAsia" w:ascii="仿宋_GB2312" w:hAnsi="黑体"/>
          <w:szCs w:val="32"/>
        </w:rPr>
      </w:pPr>
      <w:r>
        <w:rPr>
          <w:rFonts w:hint="eastAsia" w:ascii="仿宋_GB2312" w:hAnsi="黑体"/>
          <w:b/>
          <w:bCs/>
          <w:szCs w:val="32"/>
        </w:rPr>
        <w:t>科技创新生态更加优化。</w:t>
      </w:r>
      <w:bookmarkStart w:id="15" w:name="OLE_LINK12"/>
      <w:r>
        <w:rPr>
          <w:rFonts w:hint="eastAsia" w:ascii="仿宋_GB2312" w:hAnsi="黑体"/>
          <w:szCs w:val="32"/>
        </w:rPr>
        <w:t>“十四五”时期，全区科技服务业增加值占GDP比重达到9.7%，已成为全区第三大支柱产业。成功引入北京大学昆山概念验证中心，全国首家研究型医院、首个数字医疗加速器落地。</w:t>
      </w:r>
      <w:r>
        <w:rPr>
          <w:rFonts w:hint="eastAsia" w:ascii="仿宋_GB2312" w:hAnsi="仿宋_GB2312"/>
          <w:szCs w:val="32"/>
        </w:rPr>
        <w:t>先后出台57项政策及行动计划，打响</w:t>
      </w:r>
      <w:r>
        <w:rPr>
          <w:rFonts w:hint="eastAsia" w:ascii="仿宋_GB2312" w:hAnsi="黑体"/>
          <w:szCs w:val="32"/>
        </w:rPr>
        <w:t>“昌通办”“昌快干”两大服务品牌，打通服务科技创新企业的“最后一公里”。全区人才住房保障、商业配套方面投入持续增加，以产兴城、以城聚人、以人促产的良性循环逐步构建。</w:t>
      </w:r>
    </w:p>
    <w:bookmarkEnd w:id="15"/>
    <w:p w14:paraId="317F8227">
      <w:pPr>
        <w:spacing w:after="0"/>
        <w:ind w:firstLine="643"/>
        <w:rPr>
          <w:rFonts w:hint="eastAsia" w:ascii="仿宋_GB2312" w:hAnsi="仿宋_GB2312"/>
          <w:szCs w:val="32"/>
        </w:rPr>
      </w:pPr>
      <w:r>
        <w:rPr>
          <w:rFonts w:hint="eastAsia" w:ascii="仿宋_GB2312" w:hAnsi="黑体"/>
          <w:b/>
          <w:bCs/>
          <w:szCs w:val="32"/>
        </w:rPr>
        <w:t>全民科学素质不断提高</w:t>
      </w:r>
      <w:bookmarkEnd w:id="4"/>
      <w:r>
        <w:rPr>
          <w:rFonts w:hint="eastAsia" w:ascii="仿宋_GB2312" w:hAnsi="黑体"/>
          <w:b/>
          <w:bCs/>
          <w:szCs w:val="32"/>
        </w:rPr>
        <w:t>。</w:t>
      </w:r>
      <w:bookmarkStart w:id="16" w:name="OLE_LINK13"/>
      <w:r>
        <w:rPr>
          <w:rFonts w:hint="eastAsia" w:ascii="仿宋_GB2312" w:hAnsi="仿宋_GB2312"/>
          <w:szCs w:val="32"/>
        </w:rPr>
        <w:t>至“十四五”末，全区公民具备科学素质的比例达到23.2%，连续五年获评年度“全国科普示范区”称号。截止2025年底，全区共有国家级科普基地4家、市级科普基地12家、区级科普基地17家。“十四五”时期新建科普画廊83处，开展丰富多彩的科技周、科普日、科普讲座、科普（技）竞赛等科普宣传活动，高质量举办北京科技周昌平分会场、全国科普日、公民科学素质大赛等活动。</w:t>
      </w:r>
      <w:bookmarkEnd w:id="16"/>
    </w:p>
    <w:p w14:paraId="0D9B7715">
      <w:pPr>
        <w:spacing w:after="0"/>
        <w:ind w:firstLine="643"/>
        <w:outlineLvl w:val="1"/>
        <w:rPr>
          <w:rFonts w:hint="eastAsia" w:ascii="仿宋_GB2312" w:hAnsi="黑体"/>
          <w:b/>
          <w:bCs/>
          <w:szCs w:val="32"/>
        </w:rPr>
      </w:pPr>
      <w:bookmarkStart w:id="17" w:name="_Toc235453732"/>
      <w:r>
        <w:rPr>
          <w:rFonts w:hint="eastAsia" w:ascii="仿宋_GB2312" w:hAnsi="黑体"/>
          <w:b/>
          <w:bCs/>
          <w:szCs w:val="32"/>
        </w:rPr>
        <w:t>（二）发展问题与制约</w:t>
      </w:r>
      <w:bookmarkEnd w:id="17"/>
    </w:p>
    <w:p w14:paraId="126FE3F7">
      <w:pPr>
        <w:spacing w:after="0"/>
        <w:ind w:firstLine="640"/>
        <w:rPr>
          <w:rFonts w:hint="eastAsia" w:ascii="仿宋_GB2312" w:hAnsi="黑体"/>
          <w:szCs w:val="32"/>
        </w:rPr>
      </w:pPr>
      <w:r>
        <w:rPr>
          <w:rFonts w:hint="eastAsia" w:ascii="仿宋_GB2312" w:hAnsi="黑体"/>
          <w:szCs w:val="32"/>
        </w:rPr>
        <w:t>昌平区现状与建设</w:t>
      </w:r>
      <w:r>
        <w:rPr>
          <w:rFonts w:hint="eastAsia" w:ascii="仿宋_GB2312"/>
          <w:szCs w:val="32"/>
        </w:rPr>
        <w:t>北京（京津冀）国际科技创新中心</w:t>
      </w:r>
      <w:r>
        <w:rPr>
          <w:rFonts w:hint="eastAsia" w:ascii="仿宋_GB2312" w:hAnsi="黑体"/>
          <w:szCs w:val="32"/>
        </w:rPr>
        <w:t>和平原新城高质量发展新增长极的要求相比仍存在一定差距，突出表现在以下几个方面：</w:t>
      </w:r>
    </w:p>
    <w:p w14:paraId="7B18A9A7">
      <w:pPr>
        <w:spacing w:after="0"/>
        <w:ind w:firstLine="643"/>
        <w:rPr>
          <w:rFonts w:hint="eastAsia" w:ascii="仿宋_GB2312" w:hAnsi="黑体"/>
          <w:szCs w:val="32"/>
        </w:rPr>
      </w:pPr>
      <w:r>
        <w:rPr>
          <w:rFonts w:hint="eastAsia" w:ascii="仿宋_GB2312" w:hAnsi="黑体"/>
          <w:b/>
          <w:bCs/>
          <w:szCs w:val="32"/>
        </w:rPr>
        <w:t>一是创新主体联动不足。</w:t>
      </w:r>
      <w:bookmarkStart w:id="18" w:name="OLE_LINK14"/>
      <w:r>
        <w:rPr>
          <w:rFonts w:hint="eastAsia" w:ascii="仿宋_GB2312" w:hAnsi="黑体"/>
          <w:szCs w:val="32"/>
        </w:rPr>
        <w:t>昌平区科技创新主体类型多，创新模式复杂，各创新主体间联动创新难度大，大中小企业融通创新、企业高校院所间融合创新不够深入，创新优势发挥不充分。</w:t>
      </w:r>
    </w:p>
    <w:bookmarkEnd w:id="18"/>
    <w:p w14:paraId="38F0BA0F">
      <w:pPr>
        <w:spacing w:after="0"/>
        <w:ind w:firstLine="643"/>
        <w:rPr>
          <w:rFonts w:hint="eastAsia" w:ascii="仿宋_GB2312" w:hAnsi="黑体"/>
          <w:szCs w:val="32"/>
        </w:rPr>
      </w:pPr>
      <w:r>
        <w:rPr>
          <w:rFonts w:hint="eastAsia" w:ascii="仿宋_GB2312" w:hAnsi="黑体"/>
          <w:b/>
          <w:bCs/>
          <w:szCs w:val="32"/>
        </w:rPr>
        <w:t>二是科技成果转化统筹缺乏。</w:t>
      </w:r>
      <w:bookmarkStart w:id="19" w:name="OLE_LINK15"/>
      <w:r>
        <w:rPr>
          <w:rFonts w:hint="eastAsia" w:ascii="仿宋_GB2312" w:hAnsi="黑体"/>
          <w:szCs w:val="32"/>
        </w:rPr>
        <w:t>全区研发投入转化率不高，存在本地科技成果挖掘深度不够，概念验证、中试小试、检验检测等创新链重点环节仍存掣肘。从科技服务人才队伍看，存在以技术经理人为代表的专业服务人才缺乏问题，难以满足科技成果转移转化的实际需求。</w:t>
      </w:r>
    </w:p>
    <w:bookmarkEnd w:id="19"/>
    <w:p w14:paraId="5224CD61">
      <w:pPr>
        <w:spacing w:after="0"/>
        <w:ind w:firstLine="643"/>
        <w:rPr>
          <w:rFonts w:hint="eastAsia" w:ascii="仿宋_GB2312" w:hAnsi="黑体"/>
          <w:szCs w:val="32"/>
        </w:rPr>
      </w:pPr>
      <w:r>
        <w:rPr>
          <w:rFonts w:hint="eastAsia" w:ascii="仿宋_GB2312" w:hAnsi="黑体"/>
          <w:b/>
          <w:bCs/>
          <w:szCs w:val="32"/>
        </w:rPr>
        <w:t>三是高水平人才吸引力仍待提升。</w:t>
      </w:r>
      <w:bookmarkStart w:id="20" w:name="OLE_LINK16"/>
      <w:r>
        <w:rPr>
          <w:rFonts w:hint="eastAsia" w:ascii="仿宋_GB2312" w:hAnsi="黑体"/>
          <w:szCs w:val="32"/>
        </w:rPr>
        <w:t>昌平区仍面临“培养与留存失衡、高端人才引而难留”的问题，制约了区域人才高地建设和高质量发展的动能积累。支撑高水平人才技术攻坚、成果转化的高端岗位供给和全链条创新平台仍有欠缺。</w:t>
      </w:r>
    </w:p>
    <w:bookmarkEnd w:id="20"/>
    <w:p w14:paraId="175A2821">
      <w:pPr>
        <w:spacing w:after="0"/>
        <w:ind w:firstLine="643"/>
        <w:rPr>
          <w:rFonts w:hint="eastAsia" w:ascii="仿宋_GB2312" w:hAnsi="黑体"/>
          <w:szCs w:val="32"/>
        </w:rPr>
      </w:pPr>
      <w:r>
        <w:rPr>
          <w:rFonts w:hint="eastAsia" w:ascii="仿宋_GB2312" w:hAnsi="黑体"/>
          <w:b/>
          <w:bCs/>
          <w:szCs w:val="32"/>
        </w:rPr>
        <w:t>四是科创金融未能有效支撑发展需求。</w:t>
      </w:r>
      <w:r>
        <w:rPr>
          <w:rFonts w:hint="eastAsia" w:ascii="仿宋_GB2312" w:hAnsi="黑体"/>
          <w:szCs w:val="32"/>
        </w:rPr>
        <w:t>科技创新企业仍存融资难题，银行融资难以精准匹配企业融资需求，保险、基金等融资工具支持不到位，关键阶段资金缺位制约项目高质量成长。</w:t>
      </w:r>
    </w:p>
    <w:p w14:paraId="67295C47">
      <w:pPr>
        <w:spacing w:after="0"/>
        <w:ind w:firstLine="643"/>
        <w:outlineLvl w:val="0"/>
        <w:rPr>
          <w:rFonts w:hint="eastAsia" w:ascii="黑体" w:hAnsi="黑体" w:eastAsia="黑体"/>
          <w:b/>
          <w:bCs/>
          <w:szCs w:val="32"/>
        </w:rPr>
      </w:pPr>
      <w:bookmarkStart w:id="21" w:name="_Toc235453733"/>
      <w:r>
        <w:rPr>
          <w:rFonts w:hint="eastAsia" w:ascii="黑体" w:hAnsi="黑体" w:eastAsia="黑体"/>
          <w:b/>
          <w:bCs/>
          <w:szCs w:val="32"/>
        </w:rPr>
        <w:t>二、发展形势</w:t>
      </w:r>
      <w:bookmarkEnd w:id="21"/>
    </w:p>
    <w:p w14:paraId="735ADD6F">
      <w:pPr>
        <w:spacing w:after="0"/>
        <w:ind w:firstLine="643"/>
        <w:outlineLvl w:val="1"/>
        <w:rPr>
          <w:rFonts w:hint="eastAsia" w:ascii="仿宋_GB2312" w:hAnsi="黑体"/>
          <w:b/>
          <w:bCs/>
          <w:szCs w:val="32"/>
        </w:rPr>
      </w:pPr>
      <w:bookmarkStart w:id="22" w:name="_Toc235453734"/>
      <w:r>
        <w:rPr>
          <w:rFonts w:hint="eastAsia" w:ascii="仿宋_GB2312" w:hAnsi="黑体"/>
          <w:b/>
          <w:bCs/>
          <w:szCs w:val="32"/>
        </w:rPr>
        <w:t>（一）</w:t>
      </w:r>
      <w:bookmarkStart w:id="23" w:name="OLE_LINK17"/>
      <w:r>
        <w:rPr>
          <w:rFonts w:hint="eastAsia" w:ascii="仿宋_GB2312" w:hAnsi="黑体"/>
          <w:b/>
          <w:bCs/>
          <w:szCs w:val="32"/>
        </w:rPr>
        <w:t>发展机遇</w:t>
      </w:r>
      <w:bookmarkEnd w:id="22"/>
      <w:bookmarkEnd w:id="23"/>
    </w:p>
    <w:p w14:paraId="16284B92">
      <w:pPr>
        <w:spacing w:after="160"/>
        <w:ind w:firstLine="640"/>
        <w:rPr>
          <w:rFonts w:hint="eastAsia" w:ascii="仿宋_GB2312" w:hAnsi="仿宋_GB2312"/>
          <w:b/>
          <w:bCs/>
          <w:color w:val="auto"/>
          <w:szCs w:val="32"/>
        </w:rPr>
      </w:pPr>
      <w:r>
        <w:rPr>
          <w:rFonts w:ascii="仿宋_GB2312" w:hAnsi="仿宋_GB2312"/>
          <w:szCs w:val="32"/>
        </w:rPr>
        <w:t>当</w:t>
      </w:r>
      <w:r>
        <w:rPr>
          <w:rFonts w:ascii="仿宋_GB2312" w:hAnsi="仿宋_GB2312"/>
          <w:color w:val="auto"/>
          <w:szCs w:val="32"/>
        </w:rPr>
        <w:t>前</w:t>
      </w:r>
      <w:r>
        <w:rPr>
          <w:rFonts w:hint="eastAsia" w:ascii="仿宋_GB2312" w:hAnsi="仿宋_GB2312"/>
          <w:color w:val="auto"/>
          <w:szCs w:val="32"/>
        </w:rPr>
        <w:t>，</w:t>
      </w:r>
      <w:r>
        <w:rPr>
          <w:rFonts w:ascii="仿宋_GB2312" w:hAnsi="仿宋_GB2312"/>
          <w:color w:val="auto"/>
          <w:szCs w:val="32"/>
        </w:rPr>
        <w:t>新一轮科技革命与产业变革加速突破演进</w:t>
      </w:r>
      <w:r>
        <w:rPr>
          <w:rFonts w:hint="eastAsia" w:ascii="仿宋_GB2312" w:hAnsi="仿宋_GB2312"/>
          <w:color w:val="auto"/>
          <w:szCs w:val="32"/>
        </w:rPr>
        <w:t>，</w:t>
      </w:r>
      <w:r>
        <w:rPr>
          <w:rFonts w:ascii="仿宋_GB2312" w:hAnsi="仿宋_GB2312"/>
          <w:color w:val="auto"/>
          <w:szCs w:val="32"/>
        </w:rPr>
        <w:t>科技创新成为重塑全球竞争格局的核心要素</w:t>
      </w:r>
      <w:r>
        <w:rPr>
          <w:rFonts w:hint="eastAsia" w:ascii="仿宋_GB2312" w:hAnsi="仿宋_GB2312"/>
          <w:color w:val="auto"/>
          <w:szCs w:val="32"/>
        </w:rPr>
        <w:t>，</w:t>
      </w:r>
      <w:r>
        <w:rPr>
          <w:rFonts w:ascii="仿宋_GB2312" w:hAnsi="仿宋_GB2312"/>
          <w:color w:val="auto"/>
          <w:szCs w:val="32"/>
        </w:rPr>
        <w:t>人工智能、</w:t>
      </w:r>
      <w:r>
        <w:rPr>
          <w:rFonts w:hint="eastAsia" w:ascii="仿宋_GB2312" w:hAnsi="仿宋_GB2312"/>
          <w:color w:val="auto"/>
          <w:szCs w:val="32"/>
        </w:rPr>
        <w:t>具身</w:t>
      </w:r>
      <w:r>
        <w:rPr>
          <w:rFonts w:ascii="仿宋_GB2312" w:hAnsi="仿宋_GB2312"/>
          <w:color w:val="auto"/>
          <w:szCs w:val="32"/>
        </w:rPr>
        <w:t>机器人、脑机接口等</w:t>
      </w:r>
      <w:r>
        <w:rPr>
          <w:rFonts w:hint="eastAsia" w:ascii="仿宋_GB2312" w:hAnsi="仿宋_GB2312"/>
          <w:color w:val="auto"/>
          <w:szCs w:val="32"/>
        </w:rPr>
        <w:t>技术加速发展。</w:t>
      </w:r>
      <w:r>
        <w:rPr>
          <w:rFonts w:ascii="仿宋_GB2312" w:hAnsi="仿宋_GB2312"/>
          <w:color w:val="auto"/>
          <w:szCs w:val="32"/>
        </w:rPr>
        <w:t>国家层面明确培育发展新质生产力，坚持创新在我国现代化建设全局中的核心地位</w:t>
      </w:r>
      <w:r>
        <w:rPr>
          <w:rFonts w:hint="eastAsia" w:ascii="仿宋_GB2312" w:hAnsi="仿宋_GB2312"/>
          <w:color w:val="auto"/>
          <w:szCs w:val="32"/>
        </w:rPr>
        <w:t>。</w:t>
      </w:r>
      <w:r>
        <w:rPr>
          <w:rFonts w:ascii="仿宋_GB2312" w:hAnsi="仿宋_GB2312"/>
          <w:color w:val="auto"/>
          <w:szCs w:val="32"/>
        </w:rPr>
        <w:t>北京</w:t>
      </w:r>
      <w:r>
        <w:rPr>
          <w:rFonts w:hint="eastAsia" w:ascii="仿宋_GB2312" w:hAnsi="仿宋_GB2312"/>
          <w:color w:val="auto"/>
          <w:szCs w:val="32"/>
        </w:rPr>
        <w:t>市贯彻落实</w:t>
      </w:r>
      <w:r>
        <w:rPr>
          <w:rFonts w:ascii="仿宋_GB2312" w:hAnsi="仿宋_GB2312"/>
          <w:color w:val="auto"/>
          <w:szCs w:val="32"/>
        </w:rPr>
        <w:t>党中央将北京国际科技创新中心扩围至京津冀的重大部署，</w:t>
      </w:r>
      <w:r>
        <w:rPr>
          <w:rFonts w:hint="eastAsia" w:ascii="仿宋_GB2312" w:hAnsi="仿宋_GB2312"/>
          <w:b w:val="0"/>
          <w:bCs w:val="0"/>
          <w:color w:val="auto"/>
          <w:szCs w:val="32"/>
        </w:rPr>
        <w:t>构建科技创新和产业创新融合发展“北京模式”</w:t>
      </w:r>
      <w:r>
        <w:rPr>
          <w:rFonts w:hint="eastAsia" w:ascii="仿宋_GB2312" w:hAnsi="仿宋_GB2312"/>
          <w:color w:val="auto"/>
          <w:szCs w:val="32"/>
        </w:rPr>
        <w:t>。</w:t>
      </w:r>
      <w:r>
        <w:rPr>
          <w:rFonts w:ascii="仿宋_GB2312" w:hAnsi="仿宋_GB2312"/>
          <w:color w:val="auto"/>
          <w:szCs w:val="32"/>
        </w:rPr>
        <w:t>昌平坐</w:t>
      </w:r>
      <w:r>
        <w:rPr>
          <w:rFonts w:ascii="仿宋_GB2312" w:hAnsi="仿宋_GB2312"/>
          <w:szCs w:val="32"/>
        </w:rPr>
        <w:t>拥优质科教资源与扎实产业根基，</w:t>
      </w:r>
      <w:r>
        <w:rPr>
          <w:rFonts w:hint="eastAsia" w:ascii="仿宋_GB2312" w:hAnsi="仿宋_GB2312"/>
          <w:color w:val="auto"/>
          <w:szCs w:val="32"/>
        </w:rPr>
        <w:t>在</w:t>
      </w:r>
      <w:r>
        <w:rPr>
          <w:rFonts w:hint="eastAsia" w:ascii="仿宋_GB2312" w:hAnsi="仿宋_GB2312"/>
          <w:szCs w:val="32"/>
        </w:rPr>
        <w:t>合成生物、6G、脑科学与脑机接口等赛道具备先发优势。</w:t>
      </w:r>
      <w:r>
        <w:rPr>
          <w:rFonts w:hint="eastAsia" w:ascii="仿宋_GB2312"/>
          <w:szCs w:val="32"/>
        </w:rPr>
        <w:t>未来，依托G6科创走廊、G45产业走廊及生命谷、能源谷、沙河高教园等高能级创新载体，科技创新与产业创新深</w:t>
      </w:r>
      <w:r>
        <w:rPr>
          <w:rFonts w:hint="eastAsia" w:ascii="仿宋_GB2312"/>
          <w:color w:val="auto"/>
          <w:szCs w:val="32"/>
        </w:rPr>
        <w:t>度融合，昌平区将更有力支撑科技强国建设。</w:t>
      </w:r>
    </w:p>
    <w:p w14:paraId="1D475D7D">
      <w:pPr>
        <w:spacing w:after="0"/>
        <w:ind w:firstLine="643"/>
        <w:outlineLvl w:val="1"/>
        <w:rPr>
          <w:rFonts w:hint="eastAsia" w:ascii="仿宋_GB2312" w:hAnsi="黑体"/>
          <w:b/>
          <w:bCs/>
          <w:color w:val="auto"/>
          <w:szCs w:val="32"/>
        </w:rPr>
      </w:pPr>
      <w:bookmarkStart w:id="24" w:name="_Toc235453735"/>
      <w:r>
        <w:rPr>
          <w:rFonts w:hint="eastAsia" w:ascii="仿宋_GB2312" w:hAnsi="黑体"/>
          <w:b/>
          <w:bCs/>
          <w:color w:val="auto"/>
          <w:szCs w:val="32"/>
        </w:rPr>
        <w:t>（二）</w:t>
      </w:r>
      <w:bookmarkStart w:id="25" w:name="OLE_LINK18"/>
      <w:r>
        <w:rPr>
          <w:rFonts w:hint="eastAsia" w:ascii="仿宋_GB2312" w:hAnsi="黑体"/>
          <w:b/>
          <w:bCs/>
          <w:color w:val="auto"/>
          <w:szCs w:val="32"/>
        </w:rPr>
        <w:t>面临挑战</w:t>
      </w:r>
      <w:bookmarkEnd w:id="24"/>
      <w:bookmarkEnd w:id="25"/>
    </w:p>
    <w:p w14:paraId="63542D69">
      <w:pPr>
        <w:spacing w:after="0"/>
        <w:ind w:firstLine="640"/>
        <w:rPr>
          <w:rFonts w:hint="eastAsia" w:ascii="仿宋_GB2312" w:hAnsi="仿宋_GB2312"/>
          <w:color w:val="auto"/>
          <w:szCs w:val="32"/>
        </w:rPr>
      </w:pPr>
      <w:bookmarkStart w:id="26" w:name="OLE_LINK19"/>
      <w:r>
        <w:rPr>
          <w:rFonts w:ascii="仿宋_GB2312" w:hAnsi="仿宋_GB2312"/>
          <w:color w:val="auto"/>
          <w:szCs w:val="32"/>
        </w:rPr>
        <w:t>“十五五”时期世界百年未有之大变局加速演进，全球政治经济格局深度调整，大国博弈加剧</w:t>
      </w:r>
      <w:r>
        <w:rPr>
          <w:rFonts w:hint="eastAsia" w:ascii="仿宋_GB2312" w:hAnsi="仿宋_GB2312"/>
          <w:color w:val="auto"/>
          <w:szCs w:val="32"/>
        </w:rPr>
        <w:t>、</w:t>
      </w:r>
      <w:r>
        <w:rPr>
          <w:rFonts w:ascii="仿宋_GB2312" w:hAnsi="仿宋_GB2312"/>
          <w:color w:val="auto"/>
          <w:szCs w:val="32"/>
        </w:rPr>
        <w:t>单边保护主义抬头</w:t>
      </w:r>
      <w:r>
        <w:rPr>
          <w:rFonts w:hint="eastAsia" w:ascii="仿宋_GB2312" w:hAnsi="仿宋_GB2312"/>
          <w:color w:val="auto"/>
          <w:szCs w:val="32"/>
        </w:rPr>
        <w:t>。</w:t>
      </w:r>
      <w:r>
        <w:rPr>
          <w:rFonts w:ascii="仿宋_GB2312" w:hAnsi="仿宋_GB2312"/>
          <w:color w:val="auto"/>
          <w:szCs w:val="32"/>
        </w:rPr>
        <w:t>我国</w:t>
      </w:r>
      <w:r>
        <w:rPr>
          <w:rFonts w:hint="eastAsia" w:ascii="仿宋_GB2312" w:hAnsi="仿宋_GB2312"/>
          <w:color w:val="auto"/>
          <w:szCs w:val="32"/>
        </w:rPr>
        <w:t>科技创新</w:t>
      </w:r>
      <w:r>
        <w:rPr>
          <w:rFonts w:ascii="仿宋_GB2312" w:hAnsi="仿宋_GB2312"/>
          <w:color w:val="auto"/>
          <w:szCs w:val="32"/>
        </w:rPr>
        <w:t>发展仍存短板，重大原创突破能力</w:t>
      </w:r>
      <w:r>
        <w:rPr>
          <w:rFonts w:hint="eastAsia" w:ascii="仿宋_GB2312" w:hAnsi="仿宋_GB2312"/>
          <w:color w:val="auto"/>
          <w:szCs w:val="32"/>
        </w:rPr>
        <w:t>和</w:t>
      </w:r>
      <w:r>
        <w:rPr>
          <w:rFonts w:ascii="仿宋_GB2312" w:hAnsi="仿宋_GB2312"/>
          <w:color w:val="auto"/>
          <w:szCs w:val="32"/>
        </w:rPr>
        <w:t>全球科技话语权</w:t>
      </w:r>
      <w:r>
        <w:rPr>
          <w:rFonts w:hint="eastAsia" w:ascii="仿宋_GB2312" w:hAnsi="仿宋_GB2312"/>
          <w:color w:val="auto"/>
          <w:szCs w:val="32"/>
        </w:rPr>
        <w:t>有待进一步提升。</w:t>
      </w:r>
      <w:r>
        <w:rPr>
          <w:rFonts w:ascii="仿宋_GB2312" w:hAnsi="仿宋_GB2312"/>
          <w:color w:val="auto"/>
          <w:szCs w:val="32"/>
        </w:rPr>
        <w:t>但</w:t>
      </w:r>
      <w:r>
        <w:rPr>
          <w:rFonts w:hint="eastAsia" w:ascii="仿宋_GB2312" w:hAnsi="仿宋_GB2312"/>
          <w:color w:val="auto"/>
          <w:szCs w:val="32"/>
        </w:rPr>
        <w:t>世界</w:t>
      </w:r>
      <w:r>
        <w:rPr>
          <w:rFonts w:ascii="仿宋_GB2312" w:hAnsi="仿宋_GB2312"/>
          <w:color w:val="auto"/>
          <w:szCs w:val="32"/>
        </w:rPr>
        <w:t>多极化与经济全球化大势不变，我国依托坚实经济底盘主动强化基础研究与产业技术创新</w:t>
      </w:r>
      <w:r>
        <w:rPr>
          <w:rFonts w:hint="eastAsia" w:ascii="仿宋_GB2312" w:hAnsi="仿宋_GB2312"/>
          <w:color w:val="auto"/>
          <w:szCs w:val="32"/>
        </w:rPr>
        <w:t>，</w:t>
      </w:r>
      <w:r>
        <w:rPr>
          <w:rFonts w:ascii="仿宋_GB2312" w:hAnsi="仿宋_GB2312"/>
          <w:color w:val="auto"/>
          <w:szCs w:val="32"/>
        </w:rPr>
        <w:t>在科技策源、成果转化、培育新质生产力等领域</w:t>
      </w:r>
      <w:r>
        <w:rPr>
          <w:rFonts w:hint="eastAsia" w:ascii="仿宋_GB2312" w:hAnsi="仿宋_GB2312"/>
          <w:color w:val="auto"/>
          <w:szCs w:val="32"/>
        </w:rPr>
        <w:t>提供</w:t>
      </w:r>
      <w:r>
        <w:rPr>
          <w:rFonts w:ascii="仿宋_GB2312" w:hAnsi="仿宋_GB2312"/>
          <w:color w:val="auto"/>
          <w:szCs w:val="32"/>
        </w:rPr>
        <w:t>发展空间</w:t>
      </w:r>
      <w:r>
        <w:rPr>
          <w:rFonts w:hint="eastAsia" w:ascii="仿宋_GB2312" w:hAnsi="仿宋_GB2312"/>
          <w:color w:val="auto"/>
          <w:szCs w:val="32"/>
        </w:rPr>
        <w:t>。</w:t>
      </w:r>
      <w:r>
        <w:rPr>
          <w:rFonts w:ascii="仿宋_GB2312" w:hAnsi="仿宋_GB2312"/>
          <w:color w:val="auto"/>
          <w:szCs w:val="32"/>
        </w:rPr>
        <w:t>北京</w:t>
      </w:r>
      <w:r>
        <w:rPr>
          <w:rFonts w:hint="eastAsia" w:ascii="仿宋_GB2312" w:hAnsi="仿宋_GB2312"/>
          <w:color w:val="auto"/>
          <w:szCs w:val="32"/>
        </w:rPr>
        <w:t>市在</w:t>
      </w:r>
      <w:r>
        <w:rPr>
          <w:rFonts w:ascii="仿宋_GB2312" w:hAnsi="仿宋_GB2312"/>
          <w:color w:val="auto"/>
          <w:szCs w:val="32"/>
        </w:rPr>
        <w:t>建设</w:t>
      </w:r>
      <w:r>
        <w:rPr>
          <w:rFonts w:hint="eastAsia" w:ascii="仿宋_GB2312"/>
          <w:color w:val="auto"/>
          <w:szCs w:val="32"/>
        </w:rPr>
        <w:t>北京（京津冀）国际科技创新中心</w:t>
      </w:r>
      <w:r>
        <w:rPr>
          <w:rFonts w:hint="eastAsia" w:ascii="仿宋_GB2312" w:hAnsi="仿宋_GB2312"/>
          <w:color w:val="auto"/>
          <w:szCs w:val="32"/>
        </w:rPr>
        <w:t>过程中亦</w:t>
      </w:r>
      <w:r>
        <w:rPr>
          <w:rFonts w:ascii="仿宋_GB2312" w:hAnsi="仿宋_GB2312"/>
          <w:color w:val="auto"/>
          <w:szCs w:val="32"/>
        </w:rPr>
        <w:t>面临激烈竞争</w:t>
      </w:r>
      <w:r>
        <w:rPr>
          <w:rFonts w:hint="eastAsia" w:ascii="仿宋_GB2312" w:hAnsi="仿宋_GB2312"/>
          <w:color w:val="auto"/>
          <w:szCs w:val="32"/>
        </w:rPr>
        <w:t>，</w:t>
      </w:r>
      <w:r>
        <w:rPr>
          <w:rFonts w:ascii="仿宋_GB2312" w:hAnsi="仿宋_GB2312"/>
          <w:color w:val="auto"/>
          <w:szCs w:val="32"/>
        </w:rPr>
        <w:t>上海、粤港澳、合肥等多地持续加大科创投入、集聚前沿企业、完善</w:t>
      </w:r>
      <w:r>
        <w:rPr>
          <w:rFonts w:hint="eastAsia" w:ascii="仿宋_GB2312" w:hAnsi="仿宋_GB2312"/>
          <w:color w:val="auto"/>
          <w:szCs w:val="32"/>
        </w:rPr>
        <w:t>科技创新</w:t>
      </w:r>
      <w:r>
        <w:rPr>
          <w:rFonts w:ascii="仿宋_GB2312" w:hAnsi="仿宋_GB2312"/>
          <w:color w:val="auto"/>
          <w:szCs w:val="32"/>
        </w:rPr>
        <w:t>服务与引才政策</w:t>
      </w:r>
      <w:r>
        <w:rPr>
          <w:rFonts w:hint="eastAsia" w:ascii="仿宋_GB2312" w:hAnsi="仿宋_GB2312"/>
          <w:color w:val="auto"/>
          <w:szCs w:val="32"/>
        </w:rPr>
        <w:t>，</w:t>
      </w:r>
      <w:r>
        <w:rPr>
          <w:rFonts w:ascii="仿宋_GB2312" w:hAnsi="仿宋_GB2312"/>
          <w:color w:val="auto"/>
          <w:szCs w:val="32"/>
        </w:rPr>
        <w:t>北京竞争优势承压</w:t>
      </w:r>
      <w:r>
        <w:rPr>
          <w:rFonts w:hint="eastAsia" w:ascii="仿宋_GB2312" w:hAnsi="仿宋_GB2312"/>
          <w:color w:val="auto"/>
          <w:szCs w:val="32"/>
        </w:rPr>
        <w:t>。</w:t>
      </w:r>
      <w:r>
        <w:rPr>
          <w:rFonts w:ascii="仿宋_GB2312" w:hAnsi="仿宋_GB2312"/>
          <w:color w:val="auto"/>
          <w:szCs w:val="32"/>
        </w:rPr>
        <w:t>在此背景下</w:t>
      </w:r>
      <w:r>
        <w:rPr>
          <w:rFonts w:hint="eastAsia" w:ascii="仿宋_GB2312" w:hAnsi="仿宋_GB2312"/>
          <w:color w:val="auto"/>
          <w:szCs w:val="32"/>
        </w:rPr>
        <w:t>，</w:t>
      </w:r>
      <w:r>
        <w:rPr>
          <w:rFonts w:ascii="仿宋_GB2312" w:hAnsi="仿宋_GB2312"/>
          <w:color w:val="auto"/>
          <w:szCs w:val="32"/>
        </w:rPr>
        <w:t>昌平区需统筹各类科研创新主体，依托</w:t>
      </w:r>
      <w:r>
        <w:rPr>
          <w:rFonts w:hint="eastAsia" w:ascii="仿宋_GB2312" w:hAnsi="仿宋_GB2312"/>
          <w:color w:val="auto"/>
          <w:szCs w:val="32"/>
        </w:rPr>
        <w:t>高端创新平台集聚更多优质人才、项目，持续强化产业发展动能</w:t>
      </w:r>
      <w:r>
        <w:rPr>
          <w:rFonts w:ascii="仿宋_GB2312" w:hAnsi="仿宋_GB2312"/>
          <w:color w:val="auto"/>
          <w:szCs w:val="32"/>
        </w:rPr>
        <w:t>，持续提升转化效能，增强</w:t>
      </w:r>
      <w:r>
        <w:rPr>
          <w:rFonts w:hint="eastAsia" w:ascii="仿宋_GB2312" w:hAnsi="仿宋_GB2312"/>
          <w:color w:val="auto"/>
          <w:szCs w:val="32"/>
        </w:rPr>
        <w:t>发展动力、提升科技创新实力</w:t>
      </w:r>
      <w:r>
        <w:rPr>
          <w:rFonts w:ascii="仿宋_GB2312" w:hAnsi="仿宋_GB2312"/>
          <w:color w:val="auto"/>
          <w:szCs w:val="32"/>
        </w:rPr>
        <w:t>。</w:t>
      </w:r>
    </w:p>
    <w:bookmarkEnd w:id="26"/>
    <w:p w14:paraId="030D2BB7">
      <w:pPr>
        <w:spacing w:after="0"/>
        <w:ind w:firstLine="643"/>
        <w:outlineLvl w:val="0"/>
        <w:rPr>
          <w:rFonts w:hint="eastAsia" w:ascii="黑体" w:hAnsi="黑体" w:eastAsia="黑体"/>
          <w:b/>
          <w:bCs/>
          <w:szCs w:val="32"/>
        </w:rPr>
      </w:pPr>
      <w:bookmarkStart w:id="27" w:name="_Toc235453736"/>
      <w:r>
        <w:rPr>
          <w:rFonts w:hint="eastAsia" w:ascii="黑体" w:hAnsi="黑体" w:eastAsia="黑体"/>
          <w:b/>
          <w:bCs/>
          <w:szCs w:val="32"/>
        </w:rPr>
        <w:t>三、总体思路</w:t>
      </w:r>
      <w:bookmarkEnd w:id="27"/>
    </w:p>
    <w:p w14:paraId="3AA44531">
      <w:pPr>
        <w:spacing w:after="0"/>
        <w:ind w:firstLine="643"/>
        <w:outlineLvl w:val="1"/>
        <w:rPr>
          <w:rFonts w:hint="eastAsia" w:ascii="仿宋_GB2312" w:hAnsi="黑体"/>
          <w:b/>
          <w:bCs/>
          <w:szCs w:val="32"/>
        </w:rPr>
      </w:pPr>
      <w:bookmarkStart w:id="28" w:name="_Toc235453737"/>
      <w:r>
        <w:rPr>
          <w:rFonts w:hint="eastAsia" w:ascii="仿宋_GB2312" w:hAnsi="黑体"/>
          <w:b/>
          <w:bCs/>
          <w:szCs w:val="32"/>
        </w:rPr>
        <w:t>（一）指导思想</w:t>
      </w:r>
      <w:bookmarkEnd w:id="28"/>
    </w:p>
    <w:p w14:paraId="30720077">
      <w:pPr>
        <w:pStyle w:val="14"/>
        <w:adjustRightInd w:val="0"/>
        <w:snapToGrid w:val="0"/>
        <w:spacing w:line="560" w:lineRule="exact"/>
        <w:ind w:firstLine="640" w:firstLineChars="200"/>
        <w:rPr>
          <w:rFonts w:hint="eastAsia" w:hAnsi="仿宋_GB2312" w:cs="楷体_GB2312"/>
          <w:szCs w:val="32"/>
        </w:rPr>
      </w:pPr>
      <w:bookmarkStart w:id="29" w:name="OLE_LINK20"/>
      <w:r>
        <w:rPr>
          <w:rFonts w:hint="eastAsia" w:hAnsi="仿宋_GB2312" w:cs="楷体_GB2312"/>
          <w:szCs w:val="32"/>
        </w:rPr>
        <w:t>以习近平新时代中国特色社会主义思想为指导，深入贯彻党的二十大、二十届历次全会及习近平总书记关于科技创新的重要指示</w:t>
      </w:r>
      <w:r>
        <w:rPr>
          <w:rFonts w:hint="eastAsia" w:hAnsi="仿宋_GB2312" w:cs="楷体_GB2312"/>
          <w:color w:val="auto"/>
          <w:szCs w:val="32"/>
        </w:rPr>
        <w:t>，</w:t>
      </w:r>
      <w:r>
        <w:rPr>
          <w:rFonts w:hAnsi="仿宋_GB2312" w:cs="楷体_GB2312"/>
          <w:color w:val="auto"/>
          <w:szCs w:val="32"/>
        </w:rPr>
        <w:t>贯彻</w:t>
      </w:r>
      <w:r>
        <w:rPr>
          <w:rFonts w:hint="eastAsia" w:hAnsi="仿宋_GB2312" w:cs="楷体_GB2312"/>
          <w:color w:val="auto"/>
          <w:szCs w:val="32"/>
        </w:rPr>
        <w:t>落实</w:t>
      </w:r>
      <w:r>
        <w:rPr>
          <w:rFonts w:hAnsi="仿宋_GB2312" w:cs="楷体_GB2312"/>
          <w:color w:val="auto"/>
          <w:szCs w:val="32"/>
        </w:rPr>
        <w:t>习近平总书记考察北京重要讲话精神</w:t>
      </w:r>
      <w:r>
        <w:rPr>
          <w:rFonts w:hint="eastAsia" w:hAnsi="仿宋_GB2312" w:cs="楷体_GB2312"/>
          <w:color w:val="auto"/>
          <w:szCs w:val="32"/>
        </w:rPr>
        <w:t>，全面落实党中央、国务院决策部署和北</w:t>
      </w:r>
      <w:r>
        <w:rPr>
          <w:rFonts w:hint="eastAsia" w:hAnsi="仿宋_GB2312" w:cs="楷体_GB2312"/>
          <w:szCs w:val="32"/>
        </w:rPr>
        <w:t>京市委、市政府工作要求，立足昌平区发展实际，坚持创新驱动发展战略，积极融入全球创新网络，以强化国家战略科技力量为核心，以集聚创新主体为重点，以推动科技成果转化为关键，以优化科技创新生态为保障，统筹推进科技创新能力提升、产业集群发展、人才队伍建设，全力打造首都北部创新策源地，为北京建设</w:t>
      </w:r>
      <w:r>
        <w:rPr>
          <w:rFonts w:hint="eastAsia"/>
          <w:szCs w:val="32"/>
        </w:rPr>
        <w:t>北京（京津冀）国际科技创新中心</w:t>
      </w:r>
      <w:r>
        <w:rPr>
          <w:rFonts w:hint="eastAsia" w:hAnsi="仿宋_GB2312" w:cs="楷体_GB2312"/>
          <w:szCs w:val="32"/>
        </w:rPr>
        <w:t>、实现高水平科技自立自强贡献昌平力量。</w:t>
      </w:r>
    </w:p>
    <w:bookmarkEnd w:id="29"/>
    <w:p w14:paraId="5799C393">
      <w:pPr>
        <w:spacing w:after="0"/>
        <w:ind w:firstLine="643"/>
        <w:outlineLvl w:val="1"/>
        <w:rPr>
          <w:rFonts w:hint="eastAsia" w:ascii="仿宋_GB2312" w:hAnsi="黑体"/>
          <w:b/>
          <w:bCs/>
          <w:szCs w:val="32"/>
        </w:rPr>
      </w:pPr>
      <w:bookmarkStart w:id="30" w:name="_Toc235453738"/>
      <w:r>
        <w:rPr>
          <w:rFonts w:hint="eastAsia" w:ascii="仿宋_GB2312" w:hAnsi="黑体"/>
          <w:b/>
          <w:bCs/>
          <w:szCs w:val="32"/>
        </w:rPr>
        <w:t>（二）基本原则</w:t>
      </w:r>
      <w:bookmarkEnd w:id="30"/>
    </w:p>
    <w:p w14:paraId="120F7280">
      <w:pPr>
        <w:pStyle w:val="14"/>
        <w:adjustRightInd w:val="0"/>
        <w:snapToGrid w:val="0"/>
        <w:spacing w:line="560" w:lineRule="exact"/>
        <w:ind w:firstLine="643" w:firstLineChars="200"/>
        <w:rPr>
          <w:rFonts w:hint="eastAsia" w:hAnsi="仿宋_GB2312" w:cs="楷体_GB2312"/>
          <w:bCs/>
          <w:szCs w:val="32"/>
        </w:rPr>
      </w:pPr>
      <w:r>
        <w:rPr>
          <w:rFonts w:hint="eastAsia" w:hAnsi="仿宋_GB2312" w:cs="楷体_GB2312"/>
          <w:b/>
          <w:szCs w:val="32"/>
        </w:rPr>
        <w:t>坚持创新驱动、协同发展。</w:t>
      </w:r>
      <w:r>
        <w:rPr>
          <w:rFonts w:hint="eastAsia" w:hAnsi="仿宋_GB2312" w:cs="楷体_GB2312"/>
          <w:bCs/>
          <w:szCs w:val="32"/>
        </w:rPr>
        <w:t>坚持创新在现代化建设全局中的核心地位，充分发挥昌平教育科技人才优势，推动创新主体协同联动，高效配置创新资源，深化产学研协同，加快推动有组织的科技成果转化，进一步培育壮大新质生产力，带动区域经济高质量发展。</w:t>
      </w:r>
    </w:p>
    <w:p w14:paraId="1466FA39">
      <w:pPr>
        <w:pStyle w:val="14"/>
        <w:adjustRightInd w:val="0"/>
        <w:snapToGrid w:val="0"/>
        <w:spacing w:line="560" w:lineRule="exact"/>
        <w:ind w:firstLine="643" w:firstLineChars="200"/>
        <w:rPr>
          <w:rFonts w:hint="eastAsia" w:hAnsi="仿宋_GB2312" w:cs="楷体_GB2312"/>
          <w:b/>
          <w:szCs w:val="32"/>
        </w:rPr>
      </w:pPr>
      <w:r>
        <w:rPr>
          <w:rFonts w:hint="eastAsia" w:hAnsi="仿宋_GB2312" w:cs="楷体_GB2312"/>
          <w:b/>
          <w:szCs w:val="32"/>
        </w:rPr>
        <w:t>坚持重点聚焦、特色引领。</w:t>
      </w:r>
      <w:r>
        <w:rPr>
          <w:rFonts w:hint="eastAsia" w:hAnsi="仿宋_GB2312" w:cs="楷体_GB2312"/>
          <w:bCs/>
          <w:szCs w:val="32"/>
        </w:rPr>
        <w:t>推动医药健康、先进能源、先进制造三个主导产业不断扩大领先优势、提升国际竞争力，大力促进新兴产业集群壮大，积极抢占布局未来产业新赛道，聚力构建主导产业能级跃升、新兴产业壮大集聚、未来产业加速培育的高精尖产业结构。</w:t>
      </w:r>
    </w:p>
    <w:p w14:paraId="5C2A37C1">
      <w:pPr>
        <w:pStyle w:val="14"/>
        <w:adjustRightInd w:val="0"/>
        <w:snapToGrid w:val="0"/>
        <w:spacing w:line="560" w:lineRule="exact"/>
        <w:ind w:firstLine="643" w:firstLineChars="200"/>
        <w:rPr>
          <w:rFonts w:hint="eastAsia" w:hAnsi="仿宋_GB2312" w:cs="楷体_GB2312"/>
          <w:bCs/>
          <w:szCs w:val="32"/>
        </w:rPr>
      </w:pPr>
      <w:r>
        <w:rPr>
          <w:rFonts w:hint="eastAsia" w:hAnsi="仿宋_GB2312" w:cs="楷体_GB2312"/>
          <w:b/>
          <w:szCs w:val="32"/>
        </w:rPr>
        <w:t>坚持人才为本、优化环境。</w:t>
      </w:r>
      <w:r>
        <w:rPr>
          <w:rFonts w:hint="eastAsia" w:hAnsi="仿宋_GB2312" w:cs="楷体_GB2312"/>
          <w:bCs/>
          <w:szCs w:val="32"/>
        </w:rPr>
        <w:t>推进教育科技人才一体发展，加快培养吸引国家战略人才力量和关键核心技术攻关人才，完善人才政策体系，持续优化人才发展环境，激发人才创新创造活力，加快建设高水平人才高地。</w:t>
      </w:r>
    </w:p>
    <w:p w14:paraId="0DD0B553">
      <w:pPr>
        <w:pStyle w:val="14"/>
        <w:adjustRightInd w:val="0"/>
        <w:snapToGrid w:val="0"/>
        <w:spacing w:line="560" w:lineRule="exact"/>
        <w:ind w:firstLine="643" w:firstLineChars="200"/>
        <w:rPr>
          <w:rFonts w:hint="eastAsia" w:hAnsi="仿宋_GB2312" w:cs="楷体_GB2312"/>
          <w:b/>
          <w:szCs w:val="32"/>
        </w:rPr>
      </w:pPr>
      <w:r>
        <w:rPr>
          <w:rFonts w:hint="eastAsia" w:hAnsi="仿宋_GB2312" w:cs="楷体_GB2312"/>
          <w:b/>
          <w:szCs w:val="32"/>
        </w:rPr>
        <w:t>坚持开放合作、互利共赢。</w:t>
      </w:r>
      <w:r>
        <w:rPr>
          <w:rFonts w:hint="eastAsia" w:hAnsi="仿宋_GB2312" w:cs="楷体_GB2312"/>
          <w:bCs/>
          <w:szCs w:val="32"/>
        </w:rPr>
        <w:t>深化国际科技合作与交流，强化“三城一区”联动和京津冀协同发展，打造市场化、法治化、便利化、国际化一流营商环境，鼓励企业“走出去”“引进来”，集聚全球高端创新要素，提升区域在国际科技创新领域的影响力与竞争力。</w:t>
      </w:r>
    </w:p>
    <w:p w14:paraId="25E0B072">
      <w:pPr>
        <w:spacing w:after="0"/>
        <w:ind w:firstLine="643"/>
        <w:outlineLvl w:val="1"/>
        <w:rPr>
          <w:rFonts w:hint="eastAsia" w:ascii="仿宋_GB2312" w:hAnsi="黑体"/>
          <w:b/>
          <w:bCs/>
          <w:szCs w:val="32"/>
        </w:rPr>
      </w:pPr>
      <w:bookmarkStart w:id="31" w:name="_Toc235453739"/>
      <w:r>
        <w:rPr>
          <w:rFonts w:hint="eastAsia" w:ascii="仿宋_GB2312" w:hAnsi="黑体"/>
          <w:b/>
          <w:bCs/>
          <w:szCs w:val="32"/>
        </w:rPr>
        <w:t>（三）发展目标</w:t>
      </w:r>
      <w:bookmarkEnd w:id="31"/>
    </w:p>
    <w:p w14:paraId="0A8FE719">
      <w:pPr>
        <w:pStyle w:val="14"/>
        <w:adjustRightInd w:val="0"/>
        <w:snapToGrid w:val="0"/>
        <w:spacing w:line="560" w:lineRule="exact"/>
        <w:ind w:firstLine="640" w:firstLineChars="200"/>
        <w:rPr>
          <w:rFonts w:hint="eastAsia" w:hAnsi="仿宋_GB2312" w:cs="楷体_GB2312"/>
          <w:szCs w:val="32"/>
        </w:rPr>
      </w:pPr>
      <w:r>
        <w:rPr>
          <w:rFonts w:hint="eastAsia" w:hAnsi="仿宋_GB2312" w:cs="楷体_GB2312"/>
          <w:szCs w:val="32"/>
        </w:rPr>
        <w:t>力争到“十五五”末，昌平区科技创新实力、成果转化效能、创新生态质量整体跃升，科创引领高质量发展迈上新台阶。</w:t>
      </w:r>
    </w:p>
    <w:p w14:paraId="3EED94BA">
      <w:pPr>
        <w:pStyle w:val="14"/>
        <w:adjustRightInd w:val="0"/>
        <w:snapToGrid w:val="0"/>
        <w:spacing w:line="560" w:lineRule="exact"/>
        <w:ind w:firstLine="643" w:firstLineChars="200"/>
        <w:rPr>
          <w:rFonts w:hint="eastAsia" w:hAnsi="仿宋_GB2312" w:cs="楷体_GB2312"/>
          <w:szCs w:val="32"/>
        </w:rPr>
      </w:pPr>
      <w:r>
        <w:rPr>
          <w:rFonts w:hint="eastAsia" w:hAnsi="仿宋_GB2312" w:cs="楷体_GB2312"/>
          <w:b/>
          <w:bCs/>
          <w:szCs w:val="32"/>
        </w:rPr>
        <w:t>——</w:t>
      </w:r>
      <w:bookmarkStart w:id="32" w:name="_Hlk235457145"/>
      <w:r>
        <w:rPr>
          <w:rFonts w:hint="eastAsia" w:hAnsi="仿宋_GB2312" w:cs="楷体_GB2312"/>
          <w:b/>
          <w:bCs/>
          <w:szCs w:val="32"/>
        </w:rPr>
        <w:t>创新实力显著增强</w:t>
      </w:r>
      <w:bookmarkEnd w:id="32"/>
      <w:r>
        <w:rPr>
          <w:rFonts w:hint="eastAsia" w:hAnsi="仿宋_GB2312" w:cs="楷体_GB2312"/>
          <w:b/>
          <w:bCs/>
          <w:szCs w:val="32"/>
        </w:rPr>
        <w:t>。</w:t>
      </w:r>
      <w:bookmarkStart w:id="33" w:name="OLE_LINK23"/>
      <w:r>
        <w:rPr>
          <w:rFonts w:hint="eastAsia" w:hAnsi="仿宋_GB2312" w:cs="楷体_GB2312"/>
          <w:szCs w:val="32"/>
        </w:rPr>
        <w:t>到“十五五”末，全区研发投入强度大幅提升，全社会研发经费支出占地区生产总值比重达到6.5%左右，力争达到国际先进水平。在关键核心技术领域取得一系列重大突破，原始创新能力显著提升，科技创新对经济发展的贡献率显著提高。</w:t>
      </w:r>
    </w:p>
    <w:bookmarkEnd w:id="33"/>
    <w:p w14:paraId="096BF4BD">
      <w:pPr>
        <w:pStyle w:val="14"/>
        <w:adjustRightInd w:val="0"/>
        <w:snapToGrid w:val="0"/>
        <w:spacing w:line="560" w:lineRule="exact"/>
        <w:ind w:firstLine="643" w:firstLineChars="200"/>
        <w:rPr>
          <w:rFonts w:hint="eastAsia" w:hAnsi="仿宋_GB2312" w:cs="楷体_GB2312"/>
          <w:szCs w:val="32"/>
        </w:rPr>
      </w:pPr>
      <w:r>
        <w:rPr>
          <w:rFonts w:hint="eastAsia" w:hAnsi="仿宋_GB2312" w:cs="楷体_GB2312"/>
          <w:b/>
          <w:bCs/>
          <w:szCs w:val="32"/>
        </w:rPr>
        <w:t>——成果转化高效畅通。</w:t>
      </w:r>
      <w:bookmarkStart w:id="34" w:name="OLE_LINK24"/>
      <w:r>
        <w:rPr>
          <w:rFonts w:hint="eastAsia" w:hAnsi="仿宋_GB2312" w:cs="楷体_GB2312"/>
          <w:szCs w:val="32"/>
        </w:rPr>
        <w:t>科技成果转化机制更加健全，转化渠道更加畅通，落地一批具有国际影响力的重大科技成果转化项目，主导产业迈向全球价值链高端，国际竞争力显著增强。</w:t>
      </w:r>
    </w:p>
    <w:bookmarkEnd w:id="34"/>
    <w:p w14:paraId="477978D3">
      <w:pPr>
        <w:pStyle w:val="14"/>
        <w:adjustRightInd w:val="0"/>
        <w:snapToGrid w:val="0"/>
        <w:spacing w:line="560" w:lineRule="exact"/>
        <w:ind w:firstLine="643" w:firstLineChars="200"/>
        <w:rPr>
          <w:rFonts w:hint="eastAsia" w:hAnsi="仿宋_GB2312" w:cs="楷体_GB2312"/>
          <w:szCs w:val="32"/>
        </w:rPr>
      </w:pPr>
      <w:r>
        <w:rPr>
          <w:rFonts w:hint="eastAsia" w:hAnsi="仿宋_GB2312" w:cs="楷体_GB2312"/>
          <w:b/>
          <w:bCs/>
          <w:szCs w:val="32"/>
        </w:rPr>
        <w:t>——创新生态全面优化。</w:t>
      </w:r>
      <w:bookmarkStart w:id="35" w:name="OLE_LINK25"/>
      <w:r>
        <w:rPr>
          <w:rFonts w:hint="eastAsia" w:hAnsi="仿宋_GB2312" w:cs="楷体_GB2312"/>
          <w:szCs w:val="32"/>
        </w:rPr>
        <w:t>至“十五五”末，基本建成全方位、多层次、专业化、国际化的科技创新服务体系，对全球高端创新要素的吸引力和集聚力大幅增强，创新主体活力竞相迸发，科技服务业增加值比重力争达到14%。</w:t>
      </w:r>
    </w:p>
    <w:bookmarkEnd w:id="35"/>
    <w:p w14:paraId="25A4FD82">
      <w:pPr>
        <w:spacing w:after="0"/>
        <w:ind w:firstLine="0" w:firstLineChars="0"/>
        <w:rPr>
          <w:rFonts w:hint="eastAsia" w:ascii="仿宋_GB2312" w:hAnsi="仿宋_GB2312"/>
          <w:szCs w:val="32"/>
        </w:rPr>
      </w:pPr>
    </w:p>
    <w:p w14:paraId="4B965D78">
      <w:pPr>
        <w:spacing w:after="0"/>
        <w:ind w:firstLine="0" w:firstLineChars="0"/>
        <w:rPr>
          <w:rFonts w:hint="eastAsia" w:ascii="仿宋_GB2312" w:hAnsi="仿宋_GB2312"/>
          <w:szCs w:val="32"/>
        </w:rPr>
      </w:pPr>
    </w:p>
    <w:p w14:paraId="5E639C8D">
      <w:pPr>
        <w:spacing w:after="0"/>
        <w:ind w:firstLine="0" w:firstLineChars="0"/>
        <w:rPr>
          <w:rFonts w:hint="eastAsia" w:ascii="仿宋_GB2312" w:hAnsi="仿宋_GB2312"/>
          <w:szCs w:val="32"/>
        </w:rPr>
      </w:pPr>
    </w:p>
    <w:p w14:paraId="32748B89">
      <w:pPr>
        <w:pStyle w:val="2"/>
        <w:ind w:firstLine="640"/>
        <w:rPr>
          <w:rFonts w:hint="eastAsia" w:ascii="仿宋_GB2312" w:hAnsi="仿宋_GB2312"/>
          <w:szCs w:val="32"/>
        </w:rPr>
      </w:pPr>
    </w:p>
    <w:p w14:paraId="7F62D74E">
      <w:pPr>
        <w:ind w:firstLine="640"/>
        <w:rPr>
          <w:rFonts w:hint="eastAsia" w:ascii="仿宋_GB2312" w:hAnsi="仿宋_GB2312"/>
          <w:szCs w:val="32"/>
        </w:rPr>
      </w:pPr>
    </w:p>
    <w:p w14:paraId="10B700A7">
      <w:pPr>
        <w:ind w:firstLine="0" w:firstLineChars="0"/>
      </w:pPr>
      <w:r>
        <w:drawing>
          <wp:anchor distT="0" distB="0" distL="114300" distR="114300" simplePos="0" relativeHeight="251659264" behindDoc="0" locked="0" layoutInCell="1" allowOverlap="1">
            <wp:simplePos x="0" y="0"/>
            <wp:positionH relativeFrom="column">
              <wp:posOffset>248920</wp:posOffset>
            </wp:positionH>
            <wp:positionV relativeFrom="paragraph">
              <wp:posOffset>23495</wp:posOffset>
            </wp:positionV>
            <wp:extent cx="5057140" cy="7466965"/>
            <wp:effectExtent l="0" t="0" r="10160" b="63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057140" cy="7466965"/>
                    </a:xfrm>
                    <a:prstGeom prst="rect">
                      <a:avLst/>
                    </a:prstGeom>
                    <a:noFill/>
                    <a:ln w="9525">
                      <a:noFill/>
                    </a:ln>
                  </pic:spPr>
                </pic:pic>
              </a:graphicData>
            </a:graphic>
          </wp:anchor>
        </w:drawing>
      </w:r>
    </w:p>
    <w:p w14:paraId="3288F6B7">
      <w:pPr>
        <w:spacing w:after="0"/>
        <w:ind w:firstLine="643"/>
        <w:outlineLvl w:val="0"/>
        <w:rPr>
          <w:rFonts w:hint="eastAsia" w:ascii="黑体" w:hAnsi="黑体" w:eastAsia="黑体"/>
          <w:b/>
          <w:bCs/>
          <w:szCs w:val="32"/>
        </w:rPr>
      </w:pPr>
      <w:bookmarkStart w:id="36" w:name="_Toc235453740"/>
      <w:r>
        <w:rPr>
          <w:rFonts w:hint="eastAsia" w:ascii="黑体" w:hAnsi="黑体" w:eastAsia="黑体"/>
          <w:b/>
          <w:bCs/>
          <w:szCs w:val="32"/>
        </w:rPr>
        <w:t>四、重点任务</w:t>
      </w:r>
      <w:bookmarkEnd w:id="36"/>
    </w:p>
    <w:p w14:paraId="0D4D5AC3">
      <w:pPr>
        <w:spacing w:after="0"/>
        <w:ind w:firstLine="643"/>
        <w:outlineLvl w:val="1"/>
        <w:rPr>
          <w:rFonts w:hint="eastAsia" w:ascii="仿宋_GB2312" w:hAnsi="黑体"/>
          <w:b/>
          <w:bCs/>
          <w:szCs w:val="32"/>
        </w:rPr>
      </w:pPr>
      <w:bookmarkStart w:id="37" w:name="_Toc235453741"/>
      <w:r>
        <w:rPr>
          <w:rFonts w:hint="eastAsia" w:ascii="仿宋_GB2312" w:hAnsi="黑体"/>
          <w:b/>
          <w:bCs/>
          <w:szCs w:val="32"/>
        </w:rPr>
        <w:t>（一）科技策源，提升体系化科技创新能力</w:t>
      </w:r>
      <w:bookmarkEnd w:id="37"/>
    </w:p>
    <w:p w14:paraId="32B944DB">
      <w:pPr>
        <w:spacing w:after="0"/>
        <w:ind w:firstLine="640"/>
        <w:rPr>
          <w:rFonts w:hint="eastAsia" w:ascii="仿宋_GB2312" w:hAnsi="仿宋_GB2312"/>
          <w:szCs w:val="32"/>
        </w:rPr>
      </w:pPr>
      <w:bookmarkStart w:id="38" w:name="OLE_LINK28"/>
      <w:r>
        <w:rPr>
          <w:rFonts w:hint="eastAsia" w:ascii="仿宋_GB2312" w:hAnsi="仿宋_GB2312"/>
          <w:szCs w:val="32"/>
        </w:rPr>
        <w:t>紧抓昌平国家实验室建设契机，深入实施基础研究领先行动，打造首都北部科技创新重要承载区、原始                                                                                                                                                                                                                                                                                                                                                                                                                                                                                                                                                        创新高地。</w:t>
      </w:r>
    </w:p>
    <w:bookmarkEnd w:id="38"/>
    <w:p w14:paraId="18A40C33">
      <w:pPr>
        <w:spacing w:after="0"/>
        <w:ind w:firstLine="643"/>
        <w:rPr>
          <w:rFonts w:hint="eastAsia" w:ascii="仿宋_GB2312" w:hAnsi="仿宋_GB2312"/>
          <w:szCs w:val="32"/>
        </w:rPr>
      </w:pPr>
      <w:bookmarkStart w:id="39" w:name="_Toc225438082"/>
      <w:r>
        <w:rPr>
          <w:rFonts w:hint="eastAsia" w:ascii="仿宋_GB2312" w:hAnsi="仿宋_GB2312"/>
          <w:b/>
          <w:bCs/>
          <w:szCs w:val="32"/>
        </w:rPr>
        <w:t>打造国</w:t>
      </w:r>
      <w:r>
        <w:rPr>
          <w:rFonts w:hint="eastAsia" w:ascii="仿宋_GB2312" w:hAnsi="仿宋_GB2312"/>
          <w:b/>
          <w:bCs/>
          <w:color w:val="auto"/>
          <w:szCs w:val="32"/>
        </w:rPr>
        <w:t>家</w:t>
      </w:r>
      <w:bookmarkEnd w:id="39"/>
      <w:r>
        <w:rPr>
          <w:rFonts w:hint="eastAsia" w:ascii="仿宋_GB2312" w:hAnsi="仿宋_GB2312"/>
          <w:b/>
          <w:bCs/>
          <w:color w:val="auto"/>
          <w:szCs w:val="32"/>
        </w:rPr>
        <w:t>战略创新引擎。</w:t>
      </w:r>
      <w:bookmarkStart w:id="40" w:name="OLE_LINK29"/>
      <w:r>
        <w:rPr>
          <w:rFonts w:hint="eastAsia" w:ascii="仿宋_GB2312" w:hAnsi="仿宋_GB2312"/>
          <w:bCs/>
          <w:color w:val="auto"/>
          <w:szCs w:val="32"/>
        </w:rPr>
        <w:t>全面做好昌平国家实验室建设服务保障，积极承接国家重点研发计划、国家科技重大专项，强化昌平国家实验室与在昌高校、央企研究院等的联动创新，同步构建全国重点实验室创新集群。</w:t>
      </w:r>
      <w:r>
        <w:rPr>
          <w:rFonts w:hint="eastAsia" w:ascii="仿宋_GB2312" w:hAnsi="仿宋_GB2312"/>
          <w:color w:val="auto"/>
          <w:szCs w:val="32"/>
        </w:rPr>
        <w:t>聚焦新发突发传染病防</w:t>
      </w:r>
      <w:r>
        <w:rPr>
          <w:rFonts w:hint="eastAsia" w:ascii="仿宋_GB2312" w:hAnsi="仿宋_GB2312"/>
          <w:szCs w:val="32"/>
        </w:rPr>
        <w:t>控、脑科学与脑机接口与类脑研究等方向，持续产出一批原创性、颠覆性科学成果。</w:t>
      </w:r>
    </w:p>
    <w:bookmarkEnd w:id="40"/>
    <w:p w14:paraId="424E6B77">
      <w:pPr>
        <w:spacing w:after="0"/>
        <w:ind w:firstLine="643"/>
        <w:rPr>
          <w:rFonts w:hint="eastAsia" w:ascii="仿宋_GB2312" w:hAnsi="仿宋_GB2312"/>
          <w:szCs w:val="32"/>
        </w:rPr>
      </w:pPr>
      <w:r>
        <w:rPr>
          <w:rFonts w:hint="eastAsia" w:ascii="仿宋_GB2312" w:hAnsi="仿宋_GB2312"/>
          <w:b/>
          <w:bCs/>
          <w:szCs w:val="32"/>
        </w:rPr>
        <w:t>健强高校创新策源作用。</w:t>
      </w:r>
      <w:bookmarkStart w:id="41" w:name="OLE_LINK30"/>
      <w:r>
        <w:rPr>
          <w:rFonts w:hint="eastAsia" w:ascii="仿宋_GB2312" w:hAnsi="仿宋_GB2312"/>
          <w:szCs w:val="32"/>
        </w:rPr>
        <w:t>把握高校国家学院建设机遇，</w:t>
      </w:r>
      <w:r>
        <w:rPr>
          <w:rFonts w:hint="eastAsia" w:ascii="仿宋_GB2312" w:hAnsi="仿宋_GB2312"/>
          <w:bCs/>
          <w:szCs w:val="32"/>
        </w:rPr>
        <w:t>打造生命学院、能源学院、量子科技学院。</w:t>
      </w:r>
      <w:r>
        <w:rPr>
          <w:rFonts w:hint="eastAsia" w:ascii="仿宋_GB2312" w:hAnsi="仿宋_GB2312" w:cs="仿宋_GB2312"/>
          <w:szCs w:val="32"/>
        </w:rPr>
        <w:t>探索建立创新需求牵引的学科专业设置调整机制，推动应用学科与产业发展深度耦合，</w:t>
      </w:r>
      <w:r>
        <w:rPr>
          <w:rFonts w:hint="eastAsia" w:ascii="仿宋_GB2312" w:hAnsi="仿宋_GB2312" w:cs="仿宋_GB2312"/>
          <w:bCs/>
          <w:szCs w:val="32"/>
        </w:rPr>
        <w:t>鼓励高校与在昌龙头企业等共建产教研一体的协同创新共同体。</w:t>
      </w:r>
    </w:p>
    <w:bookmarkEnd w:id="41"/>
    <w:p w14:paraId="5849B5A2">
      <w:pPr>
        <w:pStyle w:val="52"/>
        <w:spacing w:after="0"/>
        <w:ind w:firstLine="643"/>
        <w:rPr>
          <w:rFonts w:hint="eastAsia" w:ascii="仿宋_GB2312" w:hAnsi="仿宋_GB2312"/>
          <w:lang w:val="en-US"/>
        </w:rPr>
      </w:pPr>
      <w:bookmarkStart w:id="42" w:name="_Toc225438084"/>
      <w:r>
        <w:rPr>
          <w:rFonts w:hint="eastAsia" w:ascii="仿宋_GB2312" w:hAnsi="仿宋_GB2312"/>
          <w:b/>
        </w:rPr>
        <w:t>强化企业创新主体地位</w:t>
      </w:r>
      <w:bookmarkEnd w:id="42"/>
      <w:r>
        <w:rPr>
          <w:rFonts w:hint="eastAsia" w:ascii="仿宋_GB2312" w:hAnsi="仿宋_GB2312"/>
          <w:b/>
        </w:rPr>
        <w:t>。</w:t>
      </w:r>
      <w:bookmarkStart w:id="43" w:name="OLE_LINK31"/>
      <w:r>
        <w:rPr>
          <w:rFonts w:hint="eastAsia" w:ascii="仿宋_GB2312" w:hAnsi="仿宋_GB2312"/>
        </w:rPr>
        <w:t>释放央企创新骨干作用，</w:t>
      </w:r>
      <w:r>
        <w:rPr>
          <w:rFonts w:hint="eastAsia" w:ascii="仿宋_GB2312" w:hAnsi="仿宋_GB2312" w:cs="仿宋_GB2312"/>
        </w:rPr>
        <w:t>坚持“一企一策”推动央企资源导入，鼓励央企</w:t>
      </w:r>
      <w:r>
        <w:rPr>
          <w:rFonts w:hint="eastAsia" w:ascii="仿宋_GB2312" w:hAnsi="仿宋_GB2312"/>
        </w:rPr>
        <w:t>参与国家或省部级重点实验室</w:t>
      </w:r>
      <w:r>
        <w:rPr>
          <w:rFonts w:hint="eastAsia" w:ascii="仿宋_GB2312" w:hAnsi="仿宋_GB2312" w:cs="仿宋_GB2312"/>
        </w:rPr>
        <w:t>等科技创新平台</w:t>
      </w:r>
      <w:r>
        <w:rPr>
          <w:rFonts w:hint="eastAsia" w:ascii="仿宋_GB2312" w:hAnsi="仿宋_GB2312"/>
        </w:rPr>
        <w:t>建设，</w:t>
      </w:r>
      <w:r>
        <w:rPr>
          <w:rFonts w:hint="eastAsia" w:ascii="仿宋_GB2312" w:hAnsi="仿宋_GB2312" w:cs="仿宋_GB2312"/>
        </w:rPr>
        <w:t>牵头承担</w:t>
      </w:r>
      <w:r>
        <w:rPr>
          <w:rFonts w:hint="eastAsia" w:ascii="仿宋_GB2312" w:hAnsi="仿宋_GB2312"/>
        </w:rPr>
        <w:t>国家重点项目。加强高新技术企业培育力度，积极引进</w:t>
      </w:r>
      <w:r>
        <w:rPr>
          <w:rFonts w:ascii="仿宋_GB2312" w:hAnsi="仿宋_GB2312"/>
        </w:rPr>
        <w:t>重点领域高成长型企业，</w:t>
      </w:r>
      <w:r>
        <w:rPr>
          <w:rFonts w:hint="eastAsia" w:ascii="仿宋_GB2312" w:hAnsi="仿宋_GB2312"/>
        </w:rPr>
        <w:t>完善科技型中小企业梯度培育体系。支持外资企业与在昌创新主体合作共建外资研发中心，</w:t>
      </w:r>
      <w:r>
        <w:rPr>
          <w:rFonts w:hint="eastAsia" w:ascii="仿宋_GB2312" w:hAnsi="仿宋_GB2312"/>
          <w:lang w:val="en-US"/>
        </w:rPr>
        <w:t>推动境外资源与本地资源深度融合。</w:t>
      </w:r>
      <w:bookmarkEnd w:id="43"/>
    </w:p>
    <w:p w14:paraId="44B0474E">
      <w:pPr>
        <w:spacing w:after="0"/>
        <w:ind w:firstLine="643"/>
        <w:rPr>
          <w:rFonts w:hint="eastAsia" w:ascii="仿宋_GB2312" w:hAnsi="仿宋_GB2312"/>
          <w:b/>
          <w:szCs w:val="32"/>
        </w:rPr>
      </w:pPr>
      <w:bookmarkStart w:id="44" w:name="_Toc225438085"/>
      <w:r>
        <w:rPr>
          <w:rFonts w:hint="eastAsia" w:ascii="仿宋_GB2312" w:hAnsi="仿宋_GB2312"/>
          <w:b/>
          <w:szCs w:val="32"/>
        </w:rPr>
        <w:t>加强新型研发机构建设</w:t>
      </w:r>
      <w:bookmarkEnd w:id="44"/>
      <w:r>
        <w:rPr>
          <w:rFonts w:hint="eastAsia" w:ascii="仿宋_GB2312" w:hAnsi="仿宋_GB2312"/>
          <w:b/>
          <w:szCs w:val="32"/>
        </w:rPr>
        <w:t>。</w:t>
      </w:r>
      <w:bookmarkStart w:id="45" w:name="OLE_LINK32"/>
      <w:r>
        <w:rPr>
          <w:rFonts w:hint="eastAsia" w:ascii="仿宋_GB2312" w:hAnsi="仿宋_GB2312"/>
          <w:bCs/>
          <w:szCs w:val="32"/>
        </w:rPr>
        <w:t>加快建设北京清华前沿交叉创新研究院、北京北大全重科技创新研究院</w:t>
      </w:r>
      <w:r>
        <w:rPr>
          <w:rFonts w:hint="eastAsia" w:ascii="仿宋_GB2312" w:hAnsi="仿宋_GB2312"/>
          <w:szCs w:val="32"/>
        </w:rPr>
        <w:t>等</w:t>
      </w:r>
      <w:r>
        <w:rPr>
          <w:rFonts w:hint="eastAsia" w:ascii="仿宋_GB2312" w:hAnsi="仿宋_GB2312"/>
          <w:bCs/>
          <w:szCs w:val="32"/>
        </w:rPr>
        <w:t>，</w:t>
      </w:r>
      <w:r>
        <w:rPr>
          <w:rFonts w:hint="eastAsia" w:ascii="仿宋_GB2312" w:hAnsi="仿宋_GB2312"/>
          <w:szCs w:val="32"/>
        </w:rPr>
        <w:t>全力支持北京生命科学研究所、北京脑科学与类脑研究所等新型研发机构发展。</w:t>
      </w:r>
      <w:r>
        <w:rPr>
          <w:rFonts w:ascii="仿宋_GB2312" w:hAnsi="仿宋_GB2312"/>
          <w:szCs w:val="32"/>
        </w:rPr>
        <w:t>鼓励新型研发机构整合高校、科研院所、</w:t>
      </w:r>
      <w:r>
        <w:rPr>
          <w:rFonts w:hint="eastAsia" w:ascii="仿宋_GB2312" w:hAnsi="仿宋_GB2312"/>
          <w:szCs w:val="32"/>
        </w:rPr>
        <w:t>创新型</w:t>
      </w:r>
      <w:r>
        <w:rPr>
          <w:rFonts w:ascii="仿宋_GB2312" w:hAnsi="仿宋_GB2312"/>
          <w:szCs w:val="32"/>
        </w:rPr>
        <w:t>企业等创新资源，构建“研发-转化-孵化”一体化平台</w:t>
      </w:r>
      <w:r>
        <w:rPr>
          <w:rFonts w:hint="eastAsia" w:ascii="仿宋_GB2312" w:hAnsi="仿宋_GB2312"/>
          <w:szCs w:val="32"/>
        </w:rPr>
        <w:t>。</w:t>
      </w:r>
    </w:p>
    <w:bookmarkEnd w:id="45"/>
    <w:p w14:paraId="7ABEA5B6">
      <w:pPr>
        <w:spacing w:after="0"/>
        <w:ind w:firstLine="643"/>
        <w:outlineLvl w:val="1"/>
        <w:rPr>
          <w:rFonts w:hint="eastAsia" w:ascii="仿宋_GB2312" w:hAnsi="黑体"/>
          <w:b/>
          <w:bCs/>
          <w:szCs w:val="32"/>
        </w:rPr>
      </w:pPr>
      <w:bookmarkStart w:id="46" w:name="_Toc235453742"/>
      <w:r>
        <w:rPr>
          <w:rFonts w:hint="eastAsia" w:ascii="仿宋_GB2312" w:hAnsi="黑体"/>
          <w:b/>
          <w:bCs/>
          <w:szCs w:val="32"/>
        </w:rPr>
        <w:t>（二）统筹联动，强化有组织科技成果转化</w:t>
      </w:r>
      <w:bookmarkEnd w:id="46"/>
    </w:p>
    <w:p w14:paraId="71B64942">
      <w:pPr>
        <w:spacing w:after="0"/>
        <w:ind w:firstLine="640"/>
        <w:rPr>
          <w:rFonts w:hint="eastAsia" w:ascii="仿宋_GB2312" w:hAnsi="仿宋_GB2312"/>
          <w:bCs/>
          <w:szCs w:val="32"/>
        </w:rPr>
      </w:pPr>
      <w:r>
        <w:rPr>
          <w:rFonts w:hint="eastAsia" w:ascii="仿宋_GB2312" w:hAnsi="仿宋_GB2312"/>
          <w:bCs/>
          <w:szCs w:val="32"/>
        </w:rPr>
        <w:t>加强科技成果转化组织领导，以“一体两基三赋能”为核心路径，推动更多成果从</w:t>
      </w:r>
      <w:r>
        <w:rPr>
          <w:rFonts w:ascii="仿宋_GB2312" w:hAnsi="仿宋_GB2312"/>
          <w:bCs/>
          <w:szCs w:val="32"/>
        </w:rPr>
        <w:t>“</w:t>
      </w:r>
      <w:r>
        <w:rPr>
          <w:rFonts w:hint="eastAsia" w:ascii="仿宋_GB2312" w:hAnsi="仿宋_GB2312"/>
          <w:bCs/>
          <w:szCs w:val="32"/>
        </w:rPr>
        <w:t>实验室</w:t>
      </w:r>
      <w:r>
        <w:rPr>
          <w:rFonts w:ascii="仿宋_GB2312" w:hAnsi="仿宋_GB2312"/>
          <w:bCs/>
          <w:szCs w:val="32"/>
        </w:rPr>
        <w:t>”</w:t>
      </w:r>
      <w:r>
        <w:rPr>
          <w:rFonts w:hint="eastAsia" w:ascii="仿宋_GB2312" w:hAnsi="仿宋_GB2312"/>
          <w:bCs/>
          <w:szCs w:val="32"/>
        </w:rPr>
        <w:t>走向</w:t>
      </w:r>
      <w:r>
        <w:rPr>
          <w:rFonts w:ascii="仿宋_GB2312" w:hAnsi="仿宋_GB2312"/>
          <w:bCs/>
          <w:szCs w:val="32"/>
        </w:rPr>
        <w:t>“</w:t>
      </w:r>
      <w:r>
        <w:rPr>
          <w:rFonts w:hint="eastAsia" w:ascii="仿宋_GB2312" w:hAnsi="仿宋_GB2312"/>
          <w:bCs/>
          <w:szCs w:val="32"/>
        </w:rPr>
        <w:t>生产线</w:t>
      </w:r>
      <w:r>
        <w:rPr>
          <w:rFonts w:ascii="仿宋_GB2312" w:hAnsi="仿宋_GB2312"/>
          <w:bCs/>
          <w:szCs w:val="32"/>
        </w:rPr>
        <w:t>”</w:t>
      </w:r>
      <w:r>
        <w:rPr>
          <w:rFonts w:hint="eastAsia" w:ascii="仿宋_GB2312" w:hAnsi="仿宋_GB2312"/>
          <w:bCs/>
          <w:szCs w:val="32"/>
        </w:rPr>
        <w:t>。</w:t>
      </w:r>
    </w:p>
    <w:p w14:paraId="5C4127B6">
      <w:pPr>
        <w:spacing w:after="0"/>
        <w:ind w:firstLine="643"/>
        <w:rPr>
          <w:rFonts w:hint="eastAsia" w:ascii="仿宋_GB2312" w:hAnsi="仿宋_GB2312"/>
          <w:szCs w:val="32"/>
        </w:rPr>
      </w:pPr>
      <w:bookmarkStart w:id="47" w:name="_Toc225438088"/>
      <w:r>
        <w:rPr>
          <w:rFonts w:hint="eastAsia" w:ascii="仿宋_GB2312" w:hAnsi="仿宋_GB2312"/>
          <w:b/>
          <w:bCs/>
          <w:szCs w:val="32"/>
        </w:rPr>
        <w:t>紧抓“有组织科技成果转化”主线。</w:t>
      </w:r>
      <w:r>
        <w:rPr>
          <w:rFonts w:hint="eastAsia" w:ascii="仿宋_GB2312" w:hAnsi="仿宋_GB2312"/>
          <w:szCs w:val="32"/>
        </w:rPr>
        <w:t>强化政府统筹作用，建设组织化、体系化工作机制，形成清单化管理、项目化推进的落地服务模式。组建涵盖政府部门、区属科技成果转化服务公司、高校技术转移机构、大学科技园与高质量孵化器以及市场化服务机构组成的科技成果转化服务队伍，实现成果挖掘、评估、孵化环节全覆盖，提升转化效能。</w:t>
      </w:r>
    </w:p>
    <w:p w14:paraId="38EDB568">
      <w:pPr>
        <w:spacing w:after="0"/>
        <w:ind w:firstLine="643"/>
        <w:rPr>
          <w:rFonts w:hint="eastAsia" w:ascii="仿宋_GB2312" w:hAnsi="仿宋_GB2312" w:cs="仿宋_GB2312"/>
          <w:kern w:val="0"/>
          <w:szCs w:val="32"/>
        </w:rPr>
      </w:pPr>
      <w:r>
        <w:rPr>
          <w:rFonts w:hint="eastAsia" w:ascii="仿宋_GB2312" w:hAnsi="仿宋_GB2312"/>
          <w:b/>
          <w:bCs/>
          <w:szCs w:val="32"/>
        </w:rPr>
        <w:t>夯实高校院所和企业“两个基础”。</w:t>
      </w:r>
      <w:r>
        <w:rPr>
          <w:rFonts w:hint="eastAsia" w:ascii="仿宋_GB2312" w:hAnsi="仿宋_GB2312"/>
          <w:szCs w:val="32"/>
        </w:rPr>
        <w:t>依托清华南口国重基地、北大产教研融合创新中心、未来大学科技园三大核心载体，</w:t>
      </w:r>
      <w:bookmarkEnd w:id="47"/>
      <w:bookmarkStart w:id="48" w:name="OLE_LINK33"/>
      <w:r>
        <w:rPr>
          <w:rFonts w:hint="eastAsia" w:ascii="仿宋_GB2312" w:hAnsi="仿宋_GB2312"/>
          <w:szCs w:val="32"/>
        </w:rPr>
        <w:t>完善高校成果转化基础设施布局。鼓励在昌高校推行科技成果转化机制改革。建立高校“一校一策”常态化对接机制，为重点科研团队配备专职服务人员，鼓励通过科技成果转化创办企业。</w:t>
      </w:r>
      <w:r>
        <w:rPr>
          <w:rFonts w:hint="eastAsia" w:ascii="仿宋_GB2312" w:hAnsi="仿宋_GB2312" w:cs="仿宋_GB2312"/>
          <w:bCs/>
          <w:szCs w:val="32"/>
        </w:rPr>
        <w:t>支持央企、国企及民营骨干企业发挥链主引领作用，</w:t>
      </w:r>
      <w:r>
        <w:rPr>
          <w:rFonts w:hint="eastAsia" w:ascii="仿宋_GB2312" w:hAnsi="仿宋_GB2312" w:cs="仿宋_GB2312"/>
          <w:kern w:val="0"/>
          <w:szCs w:val="32"/>
        </w:rPr>
        <w:t>推动科技领军企业通过投资并购、技术许可等方式助力转化创办企业。</w:t>
      </w:r>
    </w:p>
    <w:p w14:paraId="3D9E5BBD">
      <w:pPr>
        <w:spacing w:after="0"/>
        <w:ind w:firstLine="643"/>
        <w:rPr>
          <w:rFonts w:hint="eastAsia" w:ascii="仿宋_GB2312" w:hAnsi="仿宋_GB2312"/>
          <w:b/>
          <w:bCs/>
          <w:szCs w:val="32"/>
        </w:rPr>
      </w:pPr>
      <w:r>
        <w:rPr>
          <w:rFonts w:hint="eastAsia" w:ascii="仿宋_GB2312" w:hAnsi="仿宋_GB2312"/>
          <w:b/>
          <w:bCs/>
          <w:szCs w:val="32"/>
        </w:rPr>
        <w:t>强化平台、资金、服务“三赋能”。</w:t>
      </w:r>
      <w:r>
        <w:rPr>
          <w:rFonts w:hint="eastAsia" w:ascii="仿宋_GB2312" w:hAnsi="仿宋_GB2312"/>
          <w:szCs w:val="32"/>
        </w:rPr>
        <w:t>推进主导产业领域的概念验证中心及细分领域孵化器、中试小试及检验检测平台建设，</w:t>
      </w:r>
      <w:r>
        <w:rPr>
          <w:rFonts w:hint="eastAsia" w:ascii="仿宋_GB2312" w:hAnsi="仿宋_GB2312" w:cs="仿宋_GB2312"/>
          <w:szCs w:val="32"/>
        </w:rPr>
        <w:t>引入国家新材料大数据中心建设成果转化服务基地</w:t>
      </w:r>
      <w:r>
        <w:rPr>
          <w:rFonts w:hint="eastAsia" w:ascii="仿宋_GB2312" w:hAnsi="仿宋_GB2312"/>
          <w:szCs w:val="32"/>
        </w:rPr>
        <w:t>落地。联合多元主体设立概念验证专项资金、成果转化创业投资基金、早期成果转化种子基金等，落实市区协同拨投联动机制。强化服务赋能，面向在昌主体梳理应用场景项目清单，推动企业开放应用</w:t>
      </w:r>
      <w:r>
        <w:rPr>
          <w:rFonts w:ascii="仿宋_GB2312" w:hAnsi="仿宋_GB2312"/>
          <w:szCs w:val="32"/>
        </w:rPr>
        <w:t>场景</w:t>
      </w:r>
      <w:r>
        <w:rPr>
          <w:rFonts w:hint="eastAsia" w:ascii="仿宋_GB2312" w:hAnsi="仿宋_GB2312"/>
          <w:szCs w:val="32"/>
        </w:rPr>
        <w:t>，强化配套支持</w:t>
      </w:r>
      <w:bookmarkStart w:id="49" w:name="_Toc225438090"/>
      <w:r>
        <w:rPr>
          <w:rFonts w:ascii="仿宋_GB2312" w:hAnsi="仿宋_GB2312"/>
          <w:szCs w:val="32"/>
        </w:rPr>
        <w:t>。</w:t>
      </w:r>
      <w:bookmarkEnd w:id="48"/>
      <w:bookmarkEnd w:id="49"/>
      <w:bookmarkStart w:id="50" w:name="OLE_LINK35"/>
    </w:p>
    <w:bookmarkEnd w:id="50"/>
    <w:p w14:paraId="09EA30CF">
      <w:pPr>
        <w:spacing w:after="0"/>
        <w:ind w:firstLine="643"/>
        <w:outlineLvl w:val="1"/>
        <w:rPr>
          <w:rFonts w:hint="eastAsia" w:ascii="仿宋_GB2312" w:hAnsi="黑体"/>
          <w:b/>
          <w:bCs/>
          <w:szCs w:val="32"/>
        </w:rPr>
      </w:pPr>
      <w:bookmarkStart w:id="51" w:name="_Toc235453743"/>
      <w:r>
        <w:rPr>
          <w:rFonts w:hint="eastAsia" w:ascii="仿宋_GB2312" w:hAnsi="黑体"/>
          <w:b/>
          <w:bCs/>
          <w:szCs w:val="32"/>
        </w:rPr>
        <w:t>（三）创新驱动，加快培育发展新质生产力</w:t>
      </w:r>
      <w:bookmarkEnd w:id="51"/>
    </w:p>
    <w:p w14:paraId="41826867">
      <w:pPr>
        <w:spacing w:after="0"/>
        <w:ind w:firstLine="640"/>
        <w:rPr>
          <w:rFonts w:hint="eastAsia" w:ascii="仿宋_GB2312" w:hAnsi="仿宋_GB2312"/>
          <w:bCs/>
          <w:szCs w:val="32"/>
        </w:rPr>
      </w:pPr>
      <w:r>
        <w:rPr>
          <w:rFonts w:hint="eastAsia" w:ascii="仿宋_GB2312" w:hAnsi="仿宋_GB2312"/>
          <w:bCs/>
          <w:szCs w:val="32"/>
        </w:rPr>
        <w:t>聚焦</w:t>
      </w:r>
      <w:r>
        <w:rPr>
          <w:rFonts w:ascii="仿宋_GB2312" w:hAnsi="仿宋_GB2312"/>
          <w:bCs/>
          <w:szCs w:val="32"/>
        </w:rPr>
        <w:t>科技创新和产业创新深度融合</w:t>
      </w:r>
      <w:r>
        <w:rPr>
          <w:rFonts w:hint="eastAsia" w:ascii="仿宋_GB2312" w:hAnsi="仿宋_GB2312"/>
          <w:bCs/>
          <w:szCs w:val="32"/>
        </w:rPr>
        <w:t>，提升产业发展质量水平，建成具有全球影响力的高精尖产业原始创新策源地、未来产业先导区。</w:t>
      </w:r>
    </w:p>
    <w:p w14:paraId="09409F22">
      <w:pPr>
        <w:spacing w:after="0"/>
        <w:ind w:firstLine="643"/>
        <w:rPr>
          <w:rFonts w:hint="eastAsia" w:ascii="仿宋_GB2312" w:hAnsi="仿宋_GB2312"/>
          <w:bCs/>
          <w:szCs w:val="32"/>
        </w:rPr>
      </w:pPr>
      <w:bookmarkStart w:id="52" w:name="_Toc225438092"/>
      <w:r>
        <w:rPr>
          <w:rFonts w:hint="eastAsia" w:ascii="仿宋_GB2312" w:hAnsi="仿宋_GB2312"/>
          <w:b/>
          <w:bCs/>
          <w:szCs w:val="32"/>
        </w:rPr>
        <w:t>推动主导产业能级提升</w:t>
      </w:r>
      <w:bookmarkEnd w:id="52"/>
      <w:r>
        <w:rPr>
          <w:rFonts w:hint="eastAsia" w:ascii="仿宋_GB2312" w:hAnsi="仿宋_GB2312"/>
          <w:b/>
          <w:bCs/>
          <w:szCs w:val="32"/>
        </w:rPr>
        <w:t>。</w:t>
      </w:r>
      <w:bookmarkStart w:id="53" w:name="OLE_LINK36"/>
      <w:r>
        <w:rPr>
          <w:rFonts w:ascii="仿宋_GB2312" w:hAnsi="仿宋_GB2312"/>
          <w:szCs w:val="32"/>
        </w:rPr>
        <w:t>依托“生命谷·临床成果转化概念验证计划”，</w:t>
      </w:r>
      <w:r>
        <w:rPr>
          <w:rFonts w:hint="eastAsia" w:ascii="仿宋_GB2312" w:hAnsi="仿宋_GB2312"/>
          <w:szCs w:val="32"/>
        </w:rPr>
        <w:t>加快推进双抗、多抗、抗体药物偶联物（ADC）等领域创新药研发，加快推进高端医疗器械装备研发，鼓励发展数字诊疗等新业态。推动先进能源产业提质增效发展，加速“人工智能+能源”、聚变能源、太空电力等业态发展，</w:t>
      </w:r>
      <w:bookmarkStart w:id="54" w:name="OLE_LINK7"/>
      <w:r>
        <w:rPr>
          <w:rFonts w:hint="eastAsia" w:ascii="仿宋_GB2312" w:hAnsi="仿宋_GB2312"/>
          <w:szCs w:val="32"/>
        </w:rPr>
        <w:t>加快可控核聚变、钙钛矿太空光伏等新技术新模式应用</w:t>
      </w:r>
      <w:bookmarkEnd w:id="54"/>
      <w:r>
        <w:rPr>
          <w:rFonts w:hint="eastAsia" w:ascii="仿宋_GB2312" w:hAnsi="仿宋_GB2312" w:cs="仿宋_GB2312"/>
          <w:szCs w:val="32"/>
        </w:rPr>
        <w:t>。</w:t>
      </w:r>
      <w:r>
        <w:rPr>
          <w:rFonts w:hint="eastAsia" w:ascii="仿宋_GB2312" w:hAnsi="仿宋_GB2312"/>
          <w:szCs w:val="32"/>
        </w:rPr>
        <w:t>推进国家级工业互联网平台建设，围绕信息与通讯、高端装备、激光技术等领域，鼓励建设灯塔工厂、智能工厂及零碳工厂等新模式。</w:t>
      </w:r>
      <w:bookmarkEnd w:id="53"/>
    </w:p>
    <w:p w14:paraId="4FFDB14A">
      <w:pPr>
        <w:spacing w:after="0"/>
        <w:ind w:firstLine="643"/>
        <w:rPr>
          <w:rFonts w:hint="eastAsia" w:ascii="仿宋_GB2312" w:hAnsi="仿宋_GB2312" w:cs="仿宋_GB2312"/>
          <w:szCs w:val="32"/>
        </w:rPr>
      </w:pPr>
      <w:bookmarkStart w:id="55" w:name="_Toc225438093"/>
      <w:r>
        <w:rPr>
          <w:rFonts w:hint="eastAsia" w:ascii="仿宋_GB2312" w:hAnsi="仿宋_GB2312"/>
          <w:b/>
          <w:bCs/>
          <w:szCs w:val="32"/>
        </w:rPr>
        <w:t>促进新兴产业提速提质</w:t>
      </w:r>
      <w:bookmarkEnd w:id="55"/>
      <w:r>
        <w:rPr>
          <w:rFonts w:hint="eastAsia" w:ascii="仿宋_GB2312" w:hAnsi="仿宋_GB2312"/>
          <w:b/>
          <w:bCs/>
          <w:szCs w:val="32"/>
        </w:rPr>
        <w:t>。</w:t>
      </w:r>
      <w:bookmarkStart w:id="56" w:name="_Toc12817"/>
      <w:bookmarkStart w:id="57" w:name="_Toc1601"/>
      <w:r>
        <w:rPr>
          <w:rFonts w:hint="eastAsia" w:ascii="仿宋_GB2312" w:hAnsi="仿宋_GB2312" w:cs="仿宋_GB2312"/>
          <w:szCs w:val="32"/>
        </w:rPr>
        <w:t>紧抓中关村合成生物制造产业集聚区建设机遇，重点推动合成生物制造产业前沿领域技术攻关、临床研究与</w:t>
      </w:r>
      <w:r>
        <w:rPr>
          <w:rFonts w:hint="eastAsia" w:ascii="仿宋_GB2312" w:hAnsi="仿宋_GB2312" w:cs="仿宋_GB2312"/>
          <w:color w:val="auto"/>
          <w:szCs w:val="32"/>
        </w:rPr>
        <w:t>转化</w:t>
      </w:r>
      <w:r>
        <w:rPr>
          <w:rFonts w:hint="eastAsia"/>
          <w:color w:val="auto"/>
          <w:szCs w:val="32"/>
        </w:rPr>
        <w:t>。</w:t>
      </w:r>
      <w:r>
        <w:rPr>
          <w:rFonts w:hint="eastAsia" w:ascii="仿宋_GB2312" w:hAnsi="仿宋_GB2312" w:cs="仿宋_GB2312"/>
          <w:color w:val="auto"/>
          <w:szCs w:val="32"/>
        </w:rPr>
        <w:t>推进北京市化妆品原料创新服务站落地，推进化妆品、医美、保健品等全产业链建设，打造具有国际影响力的“未来美城”。</w:t>
      </w:r>
      <w:r>
        <w:rPr>
          <w:rFonts w:hint="eastAsia" w:ascii="仿宋_GB2312" w:hAnsi="仿宋_GB2312" w:cs="仿宋_GB2312"/>
          <w:color w:val="auto"/>
          <w:kern w:val="0"/>
          <w:szCs w:val="32"/>
          <w:lang w:bidi="ar"/>
        </w:rPr>
        <w:t>聚焦“1+5+1”赛道开展机器人产业技术研发和标准研制，持续拓展人形机器人应用场景。</w:t>
      </w:r>
      <w:r>
        <w:rPr>
          <w:rFonts w:hint="eastAsia" w:ascii="仿宋_GB2312" w:hAnsi="仿宋_GB2312" w:cs="仿宋_GB2312"/>
          <w:color w:val="auto"/>
          <w:szCs w:val="32"/>
        </w:rPr>
        <w:t>支持海水电解</w:t>
      </w:r>
      <w:r>
        <w:rPr>
          <w:rFonts w:hint="eastAsia" w:ascii="仿宋_GB2312" w:hAnsi="仿宋_GB2312" w:cs="仿宋_GB2312"/>
          <w:szCs w:val="32"/>
        </w:rPr>
        <w:t>制氢等关键技术创新突破，推广氢燃料电池汽车等示范场景。加速液流电池等储能技术成果转化，全力打造北京新型储能示范区。聚焦先进能源材料、生物医用材料、集成电路材料等方向，支持龙头企业牵头组建“人工智能+新材料”创新联合体。</w:t>
      </w:r>
    </w:p>
    <w:bookmarkEnd w:id="56"/>
    <w:bookmarkEnd w:id="57"/>
    <w:p w14:paraId="5D0A6FC6">
      <w:pPr>
        <w:spacing w:after="0"/>
        <w:ind w:firstLine="643"/>
        <w:rPr>
          <w:rFonts w:hint="eastAsia" w:ascii="仿宋_GB2312" w:hAnsi="仿宋_GB2312" w:cs="仿宋_GB2312"/>
          <w:bCs/>
          <w:szCs w:val="32"/>
        </w:rPr>
      </w:pPr>
      <w:bookmarkStart w:id="58" w:name="_Toc225438094"/>
      <w:r>
        <w:rPr>
          <w:rFonts w:hint="eastAsia" w:ascii="仿宋_GB2312" w:hAnsi="仿宋_GB2312" w:cs="仿宋_GB2312"/>
          <w:b/>
          <w:bCs/>
          <w:szCs w:val="32"/>
        </w:rPr>
        <w:t>引领未来产业跨越发展</w:t>
      </w:r>
      <w:bookmarkEnd w:id="58"/>
      <w:r>
        <w:rPr>
          <w:rFonts w:hint="eastAsia" w:ascii="仿宋_GB2312" w:hAnsi="仿宋_GB2312" w:cs="仿宋_GB2312"/>
          <w:b/>
          <w:bCs/>
          <w:szCs w:val="32"/>
        </w:rPr>
        <w:t>。</w:t>
      </w:r>
      <w:bookmarkStart w:id="59" w:name="OLE_LINK37"/>
      <w:r>
        <w:rPr>
          <w:rFonts w:hint="eastAsia" w:ascii="仿宋_GB2312" w:hAnsi="仿宋_GB2312" w:cs="仿宋_GB2312"/>
          <w:szCs w:val="32"/>
        </w:rPr>
        <w:t>加快推动“北脑一号”“北脑二号”完成临床验证</w:t>
      </w:r>
      <w:r>
        <w:rPr>
          <w:rFonts w:hint="eastAsia" w:ascii="仿宋_GB2312" w:hAnsi="仿宋_GB2312"/>
          <w:szCs w:val="32"/>
        </w:rPr>
        <w:t>，积极参与北京市脑机接口标准化工作。</w:t>
      </w:r>
      <w:bookmarkStart w:id="60" w:name="OLE_LINK1"/>
      <w:r>
        <w:rPr>
          <w:rFonts w:hint="eastAsia" w:ascii="仿宋_GB2312" w:hAnsi="仿宋_GB2312"/>
          <w:szCs w:val="32"/>
        </w:rPr>
        <w:t>依托北京6G实验室，开展超宽带光电融合芯片集成系统等技术攻关、国际标准制定，推进6G创新产业集聚。</w:t>
      </w:r>
      <w:bookmarkEnd w:id="60"/>
      <w:r>
        <w:rPr>
          <w:rFonts w:hint="eastAsia" w:ascii="仿宋_GB2312" w:hAnsi="仿宋_GB2312"/>
          <w:szCs w:val="32"/>
        </w:rPr>
        <w:t>推动细胞与基因治疗赛道创新，重点突破中枢神经系统递送载体核心技术，布局新型免疫细胞等产品研发，打造具有全球竞争力的产业集群</w:t>
      </w:r>
      <w:r>
        <w:rPr>
          <w:rFonts w:ascii="仿宋_GB2312" w:hAnsi="仿宋_GB2312"/>
          <w:szCs w:val="32"/>
        </w:rPr>
        <w:t>。</w:t>
      </w:r>
      <w:r>
        <w:rPr>
          <w:rFonts w:hint="eastAsia" w:ascii="仿宋_GB2312" w:hAnsi="仿宋_GB2312"/>
          <w:szCs w:val="32"/>
        </w:rPr>
        <w:t>加快量子科技发展，</w:t>
      </w:r>
      <w:r>
        <w:rPr>
          <w:rFonts w:ascii="仿宋_GB2312" w:hAnsi="仿宋_GB2312"/>
          <w:szCs w:val="32"/>
        </w:rPr>
        <w:t>攻坚离子阱量子比特长相干时间、光量子芯片集成</w:t>
      </w:r>
      <w:r>
        <w:rPr>
          <w:rFonts w:hint="eastAsia" w:ascii="仿宋_GB2312" w:hAnsi="仿宋_GB2312"/>
          <w:szCs w:val="32"/>
        </w:rPr>
        <w:t>、中性原子量子计算、量子测量、原子制备</w:t>
      </w:r>
      <w:r>
        <w:rPr>
          <w:rFonts w:ascii="仿宋_GB2312" w:hAnsi="仿宋_GB2312"/>
          <w:szCs w:val="32"/>
        </w:rPr>
        <w:t>等关键技术</w:t>
      </w:r>
      <w:r>
        <w:rPr>
          <w:rFonts w:hint="eastAsia" w:ascii="仿宋_GB2312" w:hAnsi="仿宋_GB2312"/>
          <w:szCs w:val="32"/>
        </w:rPr>
        <w:t>。</w:t>
      </w:r>
    </w:p>
    <w:bookmarkEnd w:id="59"/>
    <w:p w14:paraId="3841AB34">
      <w:pPr>
        <w:spacing w:after="0"/>
        <w:ind w:firstLine="643"/>
        <w:rPr>
          <w:rFonts w:hint="eastAsia" w:ascii="仿宋_GB2312" w:hAnsi="仿宋_GB2312"/>
          <w:szCs w:val="32"/>
        </w:rPr>
      </w:pPr>
      <w:bookmarkStart w:id="61" w:name="OLE_LINK3"/>
      <w:bookmarkStart w:id="62" w:name="OLE_LINK38"/>
      <w:bookmarkStart w:id="63" w:name="_Toc225438095"/>
      <w:r>
        <w:rPr>
          <w:rFonts w:hint="eastAsia" w:ascii="仿宋_GB2312" w:hAnsi="仿宋_GB2312"/>
          <w:b/>
          <w:bCs/>
          <w:szCs w:val="32"/>
        </w:rPr>
        <w:t>推进人工智能赋能科学研究</w:t>
      </w:r>
      <w:bookmarkEnd w:id="61"/>
      <w:r>
        <w:rPr>
          <w:rFonts w:hint="eastAsia" w:ascii="仿宋_GB2312" w:hAnsi="仿宋_GB2312"/>
          <w:b/>
          <w:bCs/>
          <w:szCs w:val="32"/>
        </w:rPr>
        <w:t>与应用</w:t>
      </w:r>
      <w:bookmarkEnd w:id="62"/>
      <w:r>
        <w:rPr>
          <w:rFonts w:hint="eastAsia" w:ascii="仿宋_GB2312" w:hAnsi="仿宋_GB2312"/>
          <w:b/>
          <w:bCs/>
          <w:szCs w:val="32"/>
        </w:rPr>
        <w:t>。</w:t>
      </w:r>
      <w:bookmarkEnd w:id="63"/>
      <w:bookmarkStart w:id="64" w:name="OLE_LINK39"/>
      <w:r>
        <w:rPr>
          <w:rFonts w:hint="eastAsia" w:ascii="仿宋_GB2312" w:hAnsi="仿宋_GB2312"/>
          <w:szCs w:val="32"/>
        </w:rPr>
        <w:t>夯实人工智能研究底座，全面赋能</w:t>
      </w:r>
      <w:r>
        <w:rPr>
          <w:rStyle w:val="27"/>
          <w:b w:val="0"/>
        </w:rPr>
        <w:t>创新链、产业链、服务圈</w:t>
      </w:r>
      <w:r>
        <w:rPr>
          <w:rStyle w:val="27"/>
          <w:rFonts w:hint="eastAsia"/>
          <w:b w:val="0"/>
        </w:rPr>
        <w:t>。</w:t>
      </w:r>
      <w:r>
        <w:rPr>
          <w:rFonts w:hint="eastAsia" w:ascii="仿宋_GB2312" w:hAnsi="仿宋_GB2312"/>
          <w:szCs w:val="32"/>
        </w:rPr>
        <w:t>研制生命科学、新药创制、新材料研发等领域科学研究智能体及工具集。加强</w:t>
      </w:r>
      <w:r>
        <w:rPr>
          <w:szCs w:val="32"/>
        </w:rPr>
        <w:t>生物计算算法、工业智能诊断算法等核心技术</w:t>
      </w:r>
      <w:r>
        <w:rPr>
          <w:rFonts w:hint="eastAsia"/>
          <w:szCs w:val="32"/>
        </w:rPr>
        <w:t>攻关</w:t>
      </w:r>
      <w:r>
        <w:rPr>
          <w:rFonts w:hint="eastAsia" w:ascii="仿宋_GB2312" w:hAnsi="仿宋_GB2312"/>
          <w:szCs w:val="32"/>
        </w:rPr>
        <w:t>，推动人工智能在智慧医疗健康诊疗、材料科学研发制备、生命科学机理探索、量子科技融合创新等高价值场景标杆应用，拓展“人工智能+能源”“人工智能+医药健康”“人工智能+新材料”等多元应用场景。</w:t>
      </w:r>
    </w:p>
    <w:bookmarkEnd w:id="64"/>
    <w:p w14:paraId="510748BA">
      <w:pPr>
        <w:spacing w:after="0"/>
        <w:ind w:firstLine="643"/>
        <w:outlineLvl w:val="1"/>
        <w:rPr>
          <w:rFonts w:hint="eastAsia" w:ascii="仿宋_GB2312" w:hAnsi="黑体"/>
          <w:b/>
          <w:bCs/>
          <w:szCs w:val="32"/>
        </w:rPr>
      </w:pPr>
      <w:bookmarkStart w:id="65" w:name="_Toc235453744"/>
      <w:r>
        <w:rPr>
          <w:rFonts w:hint="eastAsia" w:ascii="仿宋_GB2312" w:hAnsi="黑体"/>
          <w:b/>
          <w:bCs/>
          <w:szCs w:val="32"/>
        </w:rPr>
        <w:t>（四）人才支撑，推进教育科技人才一体化</w:t>
      </w:r>
      <w:bookmarkEnd w:id="65"/>
    </w:p>
    <w:p w14:paraId="12104F00">
      <w:pPr>
        <w:adjustRightInd w:val="0"/>
        <w:spacing w:after="0"/>
        <w:ind w:firstLine="640"/>
        <w:rPr>
          <w:rFonts w:hint="eastAsia" w:ascii="仿宋_GB2312" w:hAnsi="仿宋_GB2312"/>
          <w:szCs w:val="32"/>
        </w:rPr>
      </w:pPr>
      <w:r>
        <w:rPr>
          <w:rFonts w:hint="eastAsia" w:ascii="仿宋_GB2312" w:hAnsi="仿宋_GB2312"/>
          <w:szCs w:val="32"/>
        </w:rPr>
        <w:t>秉持“科学+城”理念，强化人才对研城融合、央城融合、校城融合、产城融合“四个融合”的支撑作用。</w:t>
      </w:r>
    </w:p>
    <w:p w14:paraId="3036FC1D">
      <w:pPr>
        <w:pStyle w:val="62"/>
        <w:ind w:firstLine="643"/>
        <w:rPr>
          <w:rFonts w:hint="eastAsia"/>
          <w:b/>
          <w:bCs/>
          <w:szCs w:val="32"/>
        </w:rPr>
      </w:pPr>
      <w:bookmarkStart w:id="66" w:name="_Toc225438099"/>
      <w:r>
        <w:rPr>
          <w:rFonts w:hint="eastAsia"/>
          <w:b/>
          <w:bCs/>
          <w:szCs w:val="32"/>
        </w:rPr>
        <w:t>完善教育科技人才一体发展机制。</w:t>
      </w:r>
      <w:r>
        <w:rPr>
          <w:rFonts w:hint="eastAsia"/>
          <w:szCs w:val="32"/>
        </w:rPr>
        <w:t>持续完善教育科技人才工作领导小组工作规则，推动区属教育、科技、人才、人社、产业、群团等部门和园区管委会等单位协同高效运行；加强与高校院所、央国企等单位对接，推动央校地企融合发展。</w:t>
      </w:r>
    </w:p>
    <w:p w14:paraId="449B01F9">
      <w:pPr>
        <w:spacing w:after="0"/>
        <w:ind w:firstLine="643"/>
        <w:rPr>
          <w:rFonts w:hint="eastAsia" w:ascii="仿宋_GB2312" w:hAnsi="仿宋_GB2312"/>
          <w:szCs w:val="32"/>
        </w:rPr>
      </w:pPr>
      <w:r>
        <w:rPr>
          <w:rFonts w:hint="eastAsia"/>
          <w:b/>
          <w:bCs/>
          <w:szCs w:val="32"/>
        </w:rPr>
        <w:t>深化教育赋能科技创新。</w:t>
      </w:r>
      <w:r>
        <w:rPr>
          <w:rFonts w:hint="eastAsia"/>
          <w:szCs w:val="32"/>
        </w:rPr>
        <w:t>推动高校创新链与企业产业链精准对接，充分发挥昌平创新联合基金牵引作用，支持校企共建联合实验室，全面推行“双管理、双首席、双导师、双签字”协同机制，联合开展科研攻关、人才培养、科研成果转化。</w:t>
      </w:r>
      <w:r>
        <w:rPr>
          <w:rFonts w:hint="eastAsia" w:cs="仿宋_GB2312"/>
          <w:szCs w:val="32"/>
        </w:rPr>
        <w:t>鼓励高校设立未来技术和现代产业学院、交叉学科专业和交叉学科中心，</w:t>
      </w:r>
      <w:r>
        <w:rPr>
          <w:rFonts w:hint="eastAsia"/>
        </w:rPr>
        <w:t>依托“高校联盟”“北斗星链”设置产业“微专业”课程</w:t>
      </w:r>
      <w:r>
        <w:rPr>
          <w:rFonts w:hint="eastAsia" w:cs="仿宋_GB2312"/>
          <w:szCs w:val="32"/>
        </w:rPr>
        <w:t>。</w:t>
      </w:r>
      <w:r>
        <w:rPr>
          <w:rFonts w:hint="eastAsia" w:ascii="仿宋_GB2312" w:hAnsi="仿宋_GB2312"/>
          <w:szCs w:val="32"/>
        </w:rPr>
        <w:t>探索联合高校举办科技商学院，扩大</w:t>
      </w:r>
      <w:r>
        <w:rPr>
          <w:rFonts w:ascii="仿宋_GB2312" w:hAnsi="仿宋_GB2312"/>
          <w:szCs w:val="32"/>
        </w:rPr>
        <w:t>技术转移</w:t>
      </w:r>
      <w:r>
        <w:rPr>
          <w:rFonts w:hint="eastAsia" w:ascii="仿宋_GB2312" w:hAnsi="仿宋_GB2312"/>
          <w:szCs w:val="32"/>
        </w:rPr>
        <w:t>转化</w:t>
      </w:r>
      <w:r>
        <w:rPr>
          <w:rFonts w:ascii="仿宋_GB2312" w:hAnsi="仿宋_GB2312"/>
          <w:szCs w:val="32"/>
        </w:rPr>
        <w:t>人才规模</w:t>
      </w:r>
      <w:r>
        <w:rPr>
          <w:rFonts w:hint="eastAsia" w:ascii="仿宋_GB2312" w:hAnsi="仿宋_GB2312"/>
          <w:szCs w:val="32"/>
        </w:rPr>
        <w:t>。</w:t>
      </w:r>
    </w:p>
    <w:p w14:paraId="699B1FC4">
      <w:pPr>
        <w:pStyle w:val="62"/>
        <w:adjustRightInd w:val="0"/>
        <w:ind w:firstLine="643"/>
        <w:rPr>
          <w:rFonts w:hint="eastAsia"/>
        </w:rPr>
      </w:pPr>
      <w:r>
        <w:rPr>
          <w:rFonts w:hint="eastAsia"/>
          <w:b/>
          <w:bCs/>
          <w:szCs w:val="32"/>
        </w:rPr>
        <w:t>强化人才赋能科技创新。</w:t>
      </w:r>
      <w:r>
        <w:rPr>
          <w:rFonts w:hint="eastAsia"/>
        </w:rPr>
        <w:t>持续升级“昌聚工程”政策，</w:t>
      </w:r>
      <w:bookmarkStart w:id="67" w:name="OLE_LINK174"/>
      <w:r>
        <w:rPr>
          <w:rFonts w:hint="eastAsia"/>
        </w:rPr>
        <w:t>推进“星斗”“雨燕”“骐骥”“云台”</w:t>
      </w:r>
      <w:bookmarkEnd w:id="67"/>
      <w:r>
        <w:rPr>
          <w:rFonts w:hint="eastAsia"/>
        </w:rPr>
        <w:t>及</w:t>
      </w:r>
      <w:r>
        <w:rPr>
          <w:rFonts w:hint="eastAsia" w:cs="仿宋_GB2312"/>
          <w:szCs w:val="32"/>
        </w:rPr>
        <w:t>“U35培苗资助”等计划，</w:t>
      </w:r>
      <w:r>
        <w:rPr>
          <w:rFonts w:hint="eastAsia"/>
        </w:rPr>
        <w:t>建立项目与人才“蓄水池”。</w:t>
      </w:r>
      <w:r>
        <w:rPr>
          <w:rFonts w:hint="eastAsia"/>
          <w:szCs w:val="32"/>
        </w:rPr>
        <w:t>鼓励企业</w:t>
      </w:r>
      <w:r>
        <w:rPr>
          <w:rFonts w:cs="Arial"/>
          <w:szCs w:val="32"/>
          <w:shd w:val="clear" w:color="auto" w:fill="FFFFFF"/>
        </w:rPr>
        <w:t>通过项目合作</w:t>
      </w:r>
      <w:r>
        <w:rPr>
          <w:rFonts w:hint="eastAsia" w:cs="Arial"/>
          <w:szCs w:val="32"/>
          <w:shd w:val="clear" w:color="auto" w:fill="FFFFFF"/>
        </w:rPr>
        <w:t>、</w:t>
      </w:r>
      <w:r>
        <w:rPr>
          <w:rFonts w:cs="Arial"/>
          <w:szCs w:val="32"/>
          <w:shd w:val="clear" w:color="auto" w:fill="FFFFFF"/>
        </w:rPr>
        <w:t>技术入股等方式</w:t>
      </w:r>
      <w:r>
        <w:rPr>
          <w:rFonts w:hint="eastAsia" w:cs="Arial"/>
          <w:szCs w:val="32"/>
          <w:shd w:val="clear" w:color="auto" w:fill="FFFFFF"/>
        </w:rPr>
        <w:t>创新“科技副总”引进模式</w:t>
      </w:r>
      <w:r>
        <w:rPr>
          <w:rFonts w:hint="eastAsia"/>
          <w:szCs w:val="32"/>
        </w:rPr>
        <w:t>。</w:t>
      </w:r>
      <w:bookmarkEnd w:id="66"/>
      <w:bookmarkStart w:id="68" w:name="OLE_LINK40"/>
      <w:r>
        <w:rPr>
          <w:rFonts w:hint="eastAsia"/>
          <w:szCs w:val="32"/>
        </w:rPr>
        <w:t>围绕医药健康、先进能源、先进制造以及未来产业等产业领域，促进卓越工程师落地创新创业，</w:t>
      </w:r>
      <w:r>
        <w:rPr>
          <w:rFonts w:hint="eastAsia"/>
        </w:rPr>
        <w:t>优化“高校学习+场景实践+产线留才+项目转化”培养模式。</w:t>
      </w:r>
      <w:bookmarkEnd w:id="68"/>
      <w:bookmarkStart w:id="69" w:name="OLE_LINK41"/>
      <w:r>
        <w:rPr>
          <w:rFonts w:hint="eastAsia" w:cs="仿宋_GB2312"/>
          <w:szCs w:val="32"/>
        </w:rPr>
        <w:t>充分发挥北京青年人才创新创业生态区作用</w:t>
      </w:r>
      <w:r>
        <w:rPr>
          <w:rFonts w:hint="eastAsia"/>
          <w:bCs/>
          <w:szCs w:val="32"/>
        </w:rPr>
        <w:t>，</w:t>
      </w:r>
      <w:r>
        <w:rPr>
          <w:rFonts w:hint="eastAsia"/>
        </w:rPr>
        <w:t>打造“昌平青年”城市</w:t>
      </w:r>
      <w:r>
        <w:t>IP</w:t>
      </w:r>
      <w:r>
        <w:rPr>
          <w:rFonts w:hint="eastAsia"/>
          <w:szCs w:val="32"/>
        </w:rPr>
        <w:t>。</w:t>
      </w:r>
      <w:bookmarkEnd w:id="69"/>
      <w:bookmarkStart w:id="70" w:name="OLE_LINK42"/>
    </w:p>
    <w:bookmarkEnd w:id="70"/>
    <w:p w14:paraId="7E41FFEA">
      <w:pPr>
        <w:spacing w:after="0"/>
        <w:ind w:firstLine="643"/>
        <w:outlineLvl w:val="1"/>
        <w:rPr>
          <w:rFonts w:hint="eastAsia" w:ascii="仿宋_GB2312" w:hAnsi="黑体"/>
          <w:b/>
          <w:bCs/>
          <w:szCs w:val="32"/>
        </w:rPr>
      </w:pPr>
      <w:bookmarkStart w:id="71" w:name="_Toc235453745"/>
      <w:r>
        <w:rPr>
          <w:rFonts w:hint="eastAsia" w:ascii="仿宋_GB2312" w:hAnsi="黑体"/>
          <w:b/>
          <w:bCs/>
          <w:szCs w:val="32"/>
        </w:rPr>
        <w:t>（五）多维提升，全面构建科技创新新生态</w:t>
      </w:r>
      <w:bookmarkEnd w:id="71"/>
    </w:p>
    <w:p w14:paraId="06CE8E18">
      <w:pPr>
        <w:spacing w:after="0"/>
        <w:ind w:firstLine="640"/>
        <w:rPr>
          <w:rFonts w:hint="eastAsia" w:ascii="仿宋_GB2312" w:hAnsi="仿宋_GB2312"/>
          <w:bCs/>
          <w:szCs w:val="32"/>
        </w:rPr>
      </w:pPr>
      <w:r>
        <w:rPr>
          <w:rFonts w:hint="eastAsia" w:ascii="仿宋_GB2312" w:hAnsi="仿宋_GB2312"/>
          <w:bCs/>
          <w:szCs w:val="32"/>
        </w:rPr>
        <w:t>以深化“四个融合”为着力点，全力提升科技服务水平，提高科创金融创新发展助力作用，塑造良好国际开放合作环境，着力优化营商环境，加快建设科创引领的未来之城。</w:t>
      </w:r>
    </w:p>
    <w:p w14:paraId="515010C4">
      <w:pPr>
        <w:spacing w:after="0"/>
        <w:ind w:firstLine="643"/>
        <w:rPr>
          <w:rFonts w:hint="eastAsia" w:ascii="仿宋_GB2312" w:hAnsi="仿宋_GB2312"/>
          <w:szCs w:val="32"/>
        </w:rPr>
      </w:pPr>
      <w:bookmarkStart w:id="72" w:name="_Toc225438109"/>
      <w:r>
        <w:rPr>
          <w:rFonts w:hint="eastAsia" w:ascii="仿宋_GB2312" w:hAnsi="仿宋_GB2312"/>
          <w:b/>
          <w:bCs/>
          <w:szCs w:val="32"/>
        </w:rPr>
        <w:t>发挥科技服务、科创金融创新支撑作用</w:t>
      </w:r>
      <w:bookmarkEnd w:id="72"/>
      <w:r>
        <w:rPr>
          <w:rFonts w:hint="eastAsia" w:ascii="仿宋_GB2312" w:hAnsi="仿宋_GB2312"/>
          <w:b/>
          <w:bCs/>
          <w:szCs w:val="32"/>
        </w:rPr>
        <w:t>。</w:t>
      </w:r>
      <w:bookmarkStart w:id="73" w:name="_Toc225438110"/>
      <w:r>
        <w:rPr>
          <w:rFonts w:hint="eastAsia" w:ascii="仿宋_GB2312" w:hAnsi="仿宋_GB2312"/>
          <w:szCs w:val="32"/>
        </w:rPr>
        <w:t>支持各类创新主体设立实体化科技服务载体</w:t>
      </w:r>
      <w:r>
        <w:rPr>
          <w:rFonts w:ascii="仿宋_GB2312" w:hAnsi="仿宋_GB2312"/>
          <w:szCs w:val="32"/>
        </w:rPr>
        <w:t>，打造科技服务引领方阵</w:t>
      </w:r>
      <w:r>
        <w:rPr>
          <w:rFonts w:hint="eastAsia" w:ascii="仿宋_GB2312" w:hAnsi="仿宋_GB2312"/>
          <w:szCs w:val="32"/>
        </w:rPr>
        <w:t>。按统一标准引进和培育科创服务企业，对符合条件的企业适用普惠性扶持政策</w:t>
      </w:r>
      <w:r>
        <w:rPr>
          <w:rFonts w:ascii="仿宋_GB2312" w:hAnsi="仿宋_GB2312"/>
          <w:szCs w:val="32"/>
        </w:rPr>
        <w:t>，</w:t>
      </w:r>
      <w:r>
        <w:rPr>
          <w:rFonts w:hint="eastAsia" w:ascii="仿宋_GB2312" w:hAnsi="仿宋_GB2312"/>
          <w:szCs w:val="32"/>
        </w:rPr>
        <w:t>支持科创服务领域企业提升产业链整合能力，</w:t>
      </w:r>
      <w:r>
        <w:rPr>
          <w:rFonts w:ascii="仿宋_GB2312" w:hAnsi="仿宋_GB2312"/>
          <w:szCs w:val="32"/>
        </w:rPr>
        <w:t>推进重点科创空间建成投用</w:t>
      </w:r>
      <w:r>
        <w:rPr>
          <w:rFonts w:hint="eastAsia" w:ascii="仿宋_GB2312" w:hAnsi="仿宋_GB2312"/>
          <w:szCs w:val="32"/>
        </w:rPr>
        <w:t>。推进中关村科创金融改革试验区建设，设立聚焦投早、投小、投硬科技的创投基金，探索投贷联动、知识产权证券化、科技保险产品等金融创新业务，鼓励相关机构发行科技创新债券。</w:t>
      </w:r>
    </w:p>
    <w:p w14:paraId="32660A6B">
      <w:pPr>
        <w:spacing w:after="0"/>
        <w:ind w:firstLine="643"/>
        <w:rPr>
          <w:rFonts w:hint="eastAsia" w:ascii="仿宋_GB2312" w:hAnsi="仿宋_GB2312"/>
          <w:bCs/>
          <w:szCs w:val="32"/>
        </w:rPr>
      </w:pPr>
      <w:r>
        <w:rPr>
          <w:rFonts w:hint="eastAsia" w:ascii="仿宋_GB2312" w:hAnsi="仿宋_GB2312"/>
          <w:b/>
          <w:bCs/>
          <w:szCs w:val="32"/>
        </w:rPr>
        <w:t>推动开放合作，塑造开放合作共赢环境</w:t>
      </w:r>
      <w:bookmarkEnd w:id="73"/>
      <w:r>
        <w:rPr>
          <w:rFonts w:hint="eastAsia" w:ascii="仿宋_GB2312" w:hAnsi="仿宋_GB2312"/>
          <w:b/>
          <w:bCs/>
          <w:szCs w:val="32"/>
        </w:rPr>
        <w:t>。</w:t>
      </w:r>
      <w:bookmarkStart w:id="74" w:name="OLE_LINK44"/>
      <w:r>
        <w:rPr>
          <w:rFonts w:hint="eastAsia" w:ascii="仿宋_GB2312" w:hAnsi="仿宋_GB2312"/>
          <w:bCs/>
        </w:rPr>
        <w:t>强化“三城一区”联动发展，</w:t>
      </w:r>
      <w:r>
        <w:rPr>
          <w:rFonts w:hint="eastAsia" w:ascii="仿宋_GB2312" w:hAnsi="仿宋_GB2312"/>
        </w:rPr>
        <w:t>强化北京（京津冀）国际科技创新中心承载区建设</w:t>
      </w:r>
      <w:r>
        <w:rPr>
          <w:rFonts w:hint="eastAsia" w:ascii="仿宋_GB2312" w:hAnsi="仿宋_GB2312"/>
          <w:bCs/>
        </w:rPr>
        <w:t>。</w:t>
      </w:r>
      <w:r>
        <w:rPr>
          <w:rFonts w:hint="eastAsia" w:ascii="仿宋_GB2312" w:hAnsi="仿宋_GB2312"/>
          <w:szCs w:val="32"/>
        </w:rPr>
        <w:t>积极参与首都都市圈创新要素与资源共享平台建设，推动科技成果在昌转化。</w:t>
      </w:r>
      <w:r>
        <w:rPr>
          <w:rFonts w:hint="eastAsia" w:ascii="仿宋_GB2312" w:hAnsi="仿宋_GB2312"/>
        </w:rPr>
        <w:t>高标准深化“两区”建设</w:t>
      </w:r>
      <w:r>
        <w:rPr>
          <w:rFonts w:ascii="仿宋_GB2312" w:hAnsi="仿宋_GB2312" w:cstheme="minorBidi"/>
        </w:rPr>
        <w:t>，</w:t>
      </w:r>
      <w:r>
        <w:rPr>
          <w:rFonts w:hint="eastAsia" w:ascii="仿宋_GB2312" w:hAnsi="仿宋_GB2312"/>
        </w:rPr>
        <w:t>扩大能源转型大会、生命科学论坛等品牌活动国际影响力。</w:t>
      </w:r>
    </w:p>
    <w:bookmarkEnd w:id="74"/>
    <w:p w14:paraId="056E8C1F">
      <w:pPr>
        <w:spacing w:after="0"/>
        <w:ind w:firstLine="643"/>
        <w:rPr>
          <w:rFonts w:hint="eastAsia" w:ascii="仿宋_GB2312" w:hAnsi="仿宋_GB2312"/>
          <w:szCs w:val="32"/>
        </w:rPr>
      </w:pPr>
      <w:bookmarkStart w:id="75" w:name="_Toc225438111"/>
      <w:r>
        <w:rPr>
          <w:rFonts w:hint="eastAsia" w:ascii="仿宋_GB2312" w:hAnsi="仿宋_GB2312"/>
          <w:b/>
          <w:bCs/>
          <w:szCs w:val="32"/>
        </w:rPr>
        <w:t>强化企业获得，打造国际一流营商环境</w:t>
      </w:r>
      <w:bookmarkEnd w:id="75"/>
      <w:r>
        <w:rPr>
          <w:rFonts w:hint="eastAsia" w:ascii="仿宋_GB2312" w:hAnsi="仿宋_GB2312"/>
          <w:b/>
          <w:bCs/>
          <w:szCs w:val="32"/>
        </w:rPr>
        <w:t>。</w:t>
      </w:r>
      <w:bookmarkStart w:id="76" w:name="OLE_LINK43"/>
      <w:r>
        <w:rPr>
          <w:rFonts w:hint="eastAsia" w:ascii="仿宋_GB2312" w:hAnsi="仿宋_GB2312"/>
          <w:szCs w:val="32"/>
        </w:rPr>
        <w:t>完善“办好一件事”集成服务模式，建设审批改革示范区，擦亮“昌平服务”“服务管家”品牌。聚焦科技创新企业全周期服务需求，强化知识产权全链条保护。以昌生、昌能驿站为前沿服务载体，精准对接科创企业高频办事需求，打通服务科技创新企业“最后一公里”。</w:t>
      </w:r>
    </w:p>
    <w:bookmarkEnd w:id="76"/>
    <w:p w14:paraId="061B3D08">
      <w:pPr>
        <w:spacing w:after="0"/>
        <w:ind w:firstLine="643"/>
        <w:rPr>
          <w:rFonts w:hint="eastAsia" w:ascii="仿宋_GB2312" w:hAnsi="仿宋_GB2312"/>
          <w:bCs/>
          <w:szCs w:val="32"/>
        </w:rPr>
      </w:pPr>
      <w:bookmarkStart w:id="77" w:name="_Toc225438112"/>
      <w:r>
        <w:rPr>
          <w:rFonts w:hint="eastAsia" w:ascii="仿宋_GB2312" w:hAnsi="仿宋_GB2312"/>
          <w:b/>
          <w:bCs/>
          <w:szCs w:val="32"/>
        </w:rPr>
        <w:t>推动科技普及，广泛传播科学创新精神</w:t>
      </w:r>
      <w:bookmarkEnd w:id="77"/>
      <w:r>
        <w:rPr>
          <w:rFonts w:hint="eastAsia" w:ascii="仿宋_GB2312" w:hAnsi="仿宋_GB2312"/>
          <w:b/>
          <w:bCs/>
          <w:szCs w:val="32"/>
        </w:rPr>
        <w:t>。</w:t>
      </w:r>
      <w:bookmarkStart w:id="78" w:name="OLE_LINK45"/>
      <w:r>
        <w:rPr>
          <w:rFonts w:ascii="仿宋_GB2312" w:hAnsi="仿宋_GB2312"/>
          <w:bCs/>
          <w:szCs w:val="32"/>
        </w:rPr>
        <w:t>压实高校、科研院所、科创企业等创新主体科普社会责任，构建创新与科普双向赋能的良性发展生态</w:t>
      </w:r>
      <w:r>
        <w:rPr>
          <w:rFonts w:hint="eastAsia" w:ascii="仿宋_GB2312" w:hAnsi="仿宋_GB2312"/>
          <w:bCs/>
          <w:szCs w:val="32"/>
        </w:rPr>
        <w:t>。</w:t>
      </w:r>
      <w:r>
        <w:rPr>
          <w:rFonts w:ascii="仿宋_GB2312" w:hAnsi="仿宋_GB2312"/>
          <w:bCs/>
          <w:szCs w:val="32"/>
        </w:rPr>
        <w:t>持续迭代科普内容供给与展示载体，研发AR导览、科普机器人、虚拟主播等数字化科普产品</w:t>
      </w:r>
      <w:r>
        <w:rPr>
          <w:rFonts w:hint="eastAsia" w:ascii="仿宋_GB2312" w:hAnsi="仿宋_GB2312"/>
          <w:bCs/>
          <w:szCs w:val="32"/>
        </w:rPr>
        <w:t>。</w:t>
      </w:r>
      <w:r>
        <w:rPr>
          <w:rFonts w:ascii="仿宋_GB2312" w:hAnsi="仿宋_GB2312"/>
          <w:bCs/>
          <w:szCs w:val="32"/>
        </w:rPr>
        <w:t>培育本土优质科普市场主体与特色品牌</w:t>
      </w:r>
      <w:r>
        <w:rPr>
          <w:rFonts w:hint="eastAsia" w:ascii="仿宋_GB2312" w:hAnsi="仿宋_GB2312"/>
          <w:bCs/>
          <w:szCs w:val="32"/>
        </w:rPr>
        <w:t>，</w:t>
      </w:r>
      <w:r>
        <w:rPr>
          <w:rFonts w:ascii="仿宋_GB2312" w:hAnsi="仿宋_GB2312"/>
          <w:bCs/>
          <w:szCs w:val="32"/>
        </w:rPr>
        <w:t>打造区域专属科普品牌IP，联动科普机构、科普达人定向推介</w:t>
      </w:r>
      <w:r>
        <w:rPr>
          <w:rFonts w:hint="eastAsia" w:ascii="仿宋_GB2312" w:hAnsi="仿宋_GB2312"/>
          <w:bCs/>
          <w:szCs w:val="32"/>
        </w:rPr>
        <w:t>科技</w:t>
      </w:r>
      <w:r>
        <w:rPr>
          <w:rFonts w:ascii="仿宋_GB2312" w:hAnsi="仿宋_GB2312"/>
          <w:bCs/>
          <w:szCs w:val="32"/>
        </w:rPr>
        <w:t>成果</w:t>
      </w:r>
      <w:r>
        <w:rPr>
          <w:rFonts w:hint="eastAsia" w:ascii="仿宋_GB2312" w:hAnsi="仿宋_GB2312"/>
          <w:bCs/>
          <w:szCs w:val="32"/>
        </w:rPr>
        <w:t>。</w:t>
      </w:r>
      <w:bookmarkEnd w:id="78"/>
    </w:p>
    <w:p w14:paraId="0D1CE7DC">
      <w:pPr>
        <w:spacing w:after="0"/>
        <w:ind w:firstLine="643"/>
        <w:outlineLvl w:val="0"/>
        <w:rPr>
          <w:rFonts w:hint="eastAsia" w:ascii="黑体" w:hAnsi="黑体" w:eastAsia="黑体"/>
          <w:b/>
          <w:bCs/>
          <w:szCs w:val="32"/>
        </w:rPr>
      </w:pPr>
      <w:bookmarkStart w:id="79" w:name="_Toc235453746"/>
      <w:r>
        <w:rPr>
          <w:rFonts w:hint="eastAsia" w:ascii="黑体" w:hAnsi="黑体" w:eastAsia="黑体"/>
          <w:b/>
          <w:bCs/>
          <w:szCs w:val="32"/>
        </w:rPr>
        <w:t>五、保障措施</w:t>
      </w:r>
      <w:bookmarkEnd w:id="79"/>
    </w:p>
    <w:p w14:paraId="0641545F">
      <w:pPr>
        <w:spacing w:after="0"/>
        <w:ind w:firstLine="643"/>
        <w:outlineLvl w:val="1"/>
        <w:rPr>
          <w:rFonts w:hint="eastAsia" w:ascii="仿宋_GB2312" w:hAnsi="黑体"/>
          <w:b/>
          <w:bCs/>
          <w:szCs w:val="32"/>
        </w:rPr>
      </w:pPr>
      <w:bookmarkStart w:id="80" w:name="_Toc235453747"/>
      <w:r>
        <w:rPr>
          <w:rFonts w:hint="eastAsia" w:ascii="仿宋_GB2312" w:hAnsi="黑体"/>
          <w:b/>
          <w:bCs/>
          <w:szCs w:val="32"/>
        </w:rPr>
        <w:t>（一）</w:t>
      </w:r>
      <w:r>
        <w:rPr>
          <w:rFonts w:ascii="仿宋_GB2312" w:hAnsi="黑体"/>
          <w:b/>
          <w:bCs/>
          <w:szCs w:val="32"/>
        </w:rPr>
        <w:t>强化</w:t>
      </w:r>
      <w:r>
        <w:rPr>
          <w:rFonts w:hint="eastAsia" w:ascii="仿宋_GB2312" w:hAnsi="黑体"/>
          <w:b/>
          <w:bCs/>
          <w:szCs w:val="32"/>
        </w:rPr>
        <w:t>组织保障</w:t>
      </w:r>
      <w:bookmarkEnd w:id="80"/>
    </w:p>
    <w:p w14:paraId="1F541CBF">
      <w:pPr>
        <w:spacing w:after="0"/>
        <w:ind w:firstLine="640"/>
        <w:rPr>
          <w:rFonts w:hint="eastAsia" w:ascii="仿宋_GB2312" w:hAnsi="仿宋_GB2312"/>
          <w:szCs w:val="32"/>
        </w:rPr>
      </w:pPr>
      <w:r>
        <w:rPr>
          <w:rFonts w:hint="eastAsia" w:ascii="仿宋_GB2312" w:hAnsi="仿宋_GB2312"/>
          <w:szCs w:val="32"/>
        </w:rPr>
        <w:t>坚持党对科技创新工作的全面领导，由区委区政府牵头科技创新领导工作，统筹重大战略、政策、项目与改革事项，定期调度推进、破解堵点难点。明确责任分工、细化履职清单，形成“统一领导、齐抓共管”的工作格局。</w:t>
      </w:r>
    </w:p>
    <w:p w14:paraId="77643FB1">
      <w:pPr>
        <w:spacing w:after="0"/>
        <w:ind w:firstLine="643"/>
        <w:outlineLvl w:val="1"/>
        <w:rPr>
          <w:rFonts w:hint="eastAsia" w:ascii="仿宋_GB2312" w:hAnsi="黑体"/>
          <w:b/>
          <w:bCs/>
          <w:szCs w:val="32"/>
        </w:rPr>
      </w:pPr>
      <w:bookmarkStart w:id="81" w:name="_Toc235453748"/>
      <w:r>
        <w:rPr>
          <w:rFonts w:hint="eastAsia" w:ascii="仿宋_GB2312" w:hAnsi="黑体"/>
          <w:b/>
          <w:bCs/>
          <w:szCs w:val="32"/>
        </w:rPr>
        <w:t>（二）落实政策保障</w:t>
      </w:r>
      <w:bookmarkEnd w:id="81"/>
    </w:p>
    <w:p w14:paraId="34B5E859">
      <w:pPr>
        <w:spacing w:after="0"/>
        <w:ind w:firstLine="640"/>
        <w:rPr>
          <w:rFonts w:hint="eastAsia" w:ascii="仿宋_GB2312" w:hAnsi="仿宋_GB2312"/>
          <w:szCs w:val="32"/>
        </w:rPr>
      </w:pPr>
      <w:bookmarkStart w:id="82" w:name="OLE_LINK46"/>
      <w:r>
        <w:rPr>
          <w:rFonts w:hint="eastAsia" w:ascii="仿宋_GB2312" w:hAnsi="仿宋_GB2312"/>
          <w:szCs w:val="32"/>
        </w:rPr>
        <w:t>紧扣国家及北京市科技创新政策部署，积极承接中关村先行先试政策，细化科技成果转化、企业培育、研发投入等扶持举措，加大政策解读与宣讲力度。</w:t>
      </w:r>
    </w:p>
    <w:bookmarkEnd w:id="82"/>
    <w:p w14:paraId="2BB8852B">
      <w:pPr>
        <w:spacing w:after="0"/>
        <w:ind w:firstLine="643"/>
        <w:outlineLvl w:val="1"/>
        <w:rPr>
          <w:rFonts w:hint="eastAsia" w:ascii="仿宋_GB2312" w:hAnsi="黑体"/>
          <w:b/>
          <w:bCs/>
          <w:szCs w:val="32"/>
        </w:rPr>
      </w:pPr>
      <w:bookmarkStart w:id="83" w:name="_Toc235453749"/>
      <w:r>
        <w:rPr>
          <w:rFonts w:hint="eastAsia" w:ascii="仿宋_GB2312" w:hAnsi="黑体"/>
          <w:b/>
          <w:bCs/>
          <w:szCs w:val="32"/>
        </w:rPr>
        <w:t>（三）夯实要素保障</w:t>
      </w:r>
      <w:bookmarkEnd w:id="83"/>
    </w:p>
    <w:p w14:paraId="04E0537B">
      <w:pPr>
        <w:spacing w:after="0"/>
        <w:ind w:firstLine="640"/>
        <w:rPr>
          <w:rFonts w:hint="eastAsia" w:ascii="仿宋_GB2312" w:hAnsi="仿宋_GB2312"/>
          <w:szCs w:val="32"/>
        </w:rPr>
      </w:pPr>
      <w:bookmarkStart w:id="84" w:name="OLE_LINK47"/>
      <w:r>
        <w:rPr>
          <w:rFonts w:hint="eastAsia" w:ascii="仿宋_GB2312" w:hAnsi="仿宋_GB2312"/>
          <w:szCs w:val="32"/>
        </w:rPr>
        <w:t>优化项目组织实施模式，聚焦关键核心技术攻关、创新平台搭建、成果产业化等方向，压实项目实施主体责任。健全项目要素保障机制，优先保障重大科创项目用地、基础设施配套等需求，强化项目全过程监管与绩效管控，确保项目高标准推进、高质量见效。</w:t>
      </w:r>
    </w:p>
    <w:bookmarkEnd w:id="84"/>
    <w:p w14:paraId="79A4F041">
      <w:pPr>
        <w:spacing w:after="0"/>
        <w:ind w:firstLine="643"/>
        <w:outlineLvl w:val="1"/>
        <w:rPr>
          <w:rFonts w:hint="eastAsia" w:ascii="仿宋_GB2312" w:hAnsi="黑体"/>
          <w:b/>
          <w:bCs/>
          <w:szCs w:val="32"/>
        </w:rPr>
      </w:pPr>
      <w:bookmarkStart w:id="85" w:name="_Toc235453750"/>
      <w:r>
        <w:rPr>
          <w:rFonts w:hint="eastAsia" w:ascii="仿宋_GB2312" w:hAnsi="黑体"/>
          <w:b/>
          <w:bCs/>
          <w:szCs w:val="32"/>
        </w:rPr>
        <w:t>（四）</w:t>
      </w:r>
      <w:bookmarkStart w:id="86" w:name="OLE_LINK48"/>
      <w:r>
        <w:rPr>
          <w:rFonts w:hint="eastAsia" w:ascii="仿宋_GB2312" w:hAnsi="黑体"/>
          <w:b/>
          <w:bCs/>
          <w:szCs w:val="32"/>
        </w:rPr>
        <w:t>健全实施保障</w:t>
      </w:r>
      <w:bookmarkEnd w:id="85"/>
    </w:p>
    <w:bookmarkEnd w:id="86"/>
    <w:p w14:paraId="7C237D64">
      <w:pPr>
        <w:spacing w:after="0"/>
        <w:ind w:firstLine="640"/>
        <w:rPr>
          <w:rFonts w:hint="eastAsia" w:ascii="仿宋_GB2312" w:hAnsi="仿宋_GB2312"/>
          <w:szCs w:val="32"/>
        </w:rPr>
      </w:pPr>
      <w:r>
        <w:rPr>
          <w:rFonts w:hint="eastAsia" w:ascii="仿宋_GB2312" w:hAnsi="仿宋_GB2312"/>
          <w:szCs w:val="32"/>
        </w:rPr>
        <w:t>建立跨部门规划实施协同联动机制，围绕重点科创领域建立项目清单化管理机制，统筹各领域创新资源协同发力。对重大项目实行专班对接，精准协调解决用地、能耗、审批等堵点。建立规划实施年度会商研判机制，动态优化调整推进举措，凝聚各方合力保障规划部署有序落地。</w:t>
      </w:r>
    </w:p>
    <w:sectPr>
      <w:headerReference r:id="rId13" w:type="first"/>
      <w:footerReference r:id="rId16" w:type="first"/>
      <w:headerReference r:id="rId11" w:type="default"/>
      <w:footerReference r:id="rId14" w:type="default"/>
      <w:headerReference r:id="rId12" w:type="even"/>
      <w:footerReference r:id="rId15" w:type="even"/>
      <w:pgSz w:w="11906" w:h="16838"/>
      <w:pgMar w:top="2098" w:right="1474" w:bottom="1984" w:left="1587" w:header="851" w:footer="992" w:gutter="0"/>
      <w:cols w:space="0" w:num="1"/>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34"/>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Songti SC">
    <w:altName w:val="仿宋_GB2312"/>
    <w:panose1 w:val="00000000000000000000"/>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FCFCC">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FA82A">
    <w:pPr>
      <w:pStyle w:val="16"/>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9985E1A">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1A67BBDD">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5199249"/>
    </w:sdtPr>
    <w:sdtEndPr>
      <w:rPr>
        <w:sz w:val="24"/>
        <w:szCs w:val="24"/>
      </w:rPr>
    </w:sdtEndPr>
    <w:sdtContent>
      <w:p w14:paraId="5BE6E245">
        <w:pPr>
          <w:pStyle w:val="16"/>
          <w:ind w:firstLine="36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14:paraId="0445A345">
    <w:pPr>
      <w:pStyle w:val="1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AB35A">
    <w:pPr>
      <w:pStyle w:val="16"/>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9A58">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D8CD2">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CF16">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036A8">
    <w:pPr>
      <w:pStyle w:val="1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1043">
    <w:pPr>
      <w:pStyle w:val="17"/>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ECB1E">
    <w:pPr>
      <w:pStyle w:val="17"/>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F0EE1">
    <w:pPr>
      <w:pStyle w:val="1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220"/>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DAD"/>
    <w:rsid w:val="00005AD5"/>
    <w:rsid w:val="000072C0"/>
    <w:rsid w:val="00011826"/>
    <w:rsid w:val="000138EF"/>
    <w:rsid w:val="0001464F"/>
    <w:rsid w:val="00017AF7"/>
    <w:rsid w:val="00017EC3"/>
    <w:rsid w:val="00021902"/>
    <w:rsid w:val="0002629D"/>
    <w:rsid w:val="00027295"/>
    <w:rsid w:val="00031FE3"/>
    <w:rsid w:val="000328B7"/>
    <w:rsid w:val="0003638A"/>
    <w:rsid w:val="00036665"/>
    <w:rsid w:val="00036E99"/>
    <w:rsid w:val="000373CD"/>
    <w:rsid w:val="00040C73"/>
    <w:rsid w:val="00042657"/>
    <w:rsid w:val="0004373A"/>
    <w:rsid w:val="00044D37"/>
    <w:rsid w:val="00047A78"/>
    <w:rsid w:val="00050C6F"/>
    <w:rsid w:val="000516DB"/>
    <w:rsid w:val="00051CA9"/>
    <w:rsid w:val="00051EF2"/>
    <w:rsid w:val="00052FFD"/>
    <w:rsid w:val="000545FB"/>
    <w:rsid w:val="00060D88"/>
    <w:rsid w:val="00065825"/>
    <w:rsid w:val="00066934"/>
    <w:rsid w:val="00073C1B"/>
    <w:rsid w:val="0007715F"/>
    <w:rsid w:val="00080604"/>
    <w:rsid w:val="000809A5"/>
    <w:rsid w:val="00080D70"/>
    <w:rsid w:val="00081089"/>
    <w:rsid w:val="00083028"/>
    <w:rsid w:val="00083FE9"/>
    <w:rsid w:val="00087467"/>
    <w:rsid w:val="000907E7"/>
    <w:rsid w:val="00091323"/>
    <w:rsid w:val="00094BA3"/>
    <w:rsid w:val="000950A5"/>
    <w:rsid w:val="00095683"/>
    <w:rsid w:val="00096F06"/>
    <w:rsid w:val="000A1BF0"/>
    <w:rsid w:val="000A50F6"/>
    <w:rsid w:val="000B163F"/>
    <w:rsid w:val="000B284A"/>
    <w:rsid w:val="000B3BAA"/>
    <w:rsid w:val="000B5BC1"/>
    <w:rsid w:val="000B75D3"/>
    <w:rsid w:val="000C077A"/>
    <w:rsid w:val="000C4B47"/>
    <w:rsid w:val="000C57A4"/>
    <w:rsid w:val="000C7420"/>
    <w:rsid w:val="000D0539"/>
    <w:rsid w:val="000D15D5"/>
    <w:rsid w:val="000D19DF"/>
    <w:rsid w:val="000D4CE1"/>
    <w:rsid w:val="000D5FEF"/>
    <w:rsid w:val="000D6B2B"/>
    <w:rsid w:val="000E35EB"/>
    <w:rsid w:val="000E4E4C"/>
    <w:rsid w:val="000E509C"/>
    <w:rsid w:val="000E5D77"/>
    <w:rsid w:val="000E6E4F"/>
    <w:rsid w:val="000E7CA5"/>
    <w:rsid w:val="000E7F4B"/>
    <w:rsid w:val="000F218F"/>
    <w:rsid w:val="000F30C3"/>
    <w:rsid w:val="000F6407"/>
    <w:rsid w:val="000F7AF0"/>
    <w:rsid w:val="00102D69"/>
    <w:rsid w:val="00103991"/>
    <w:rsid w:val="00104FB7"/>
    <w:rsid w:val="00105C11"/>
    <w:rsid w:val="0010608E"/>
    <w:rsid w:val="00107BFE"/>
    <w:rsid w:val="00110420"/>
    <w:rsid w:val="00111DC8"/>
    <w:rsid w:val="00112CA7"/>
    <w:rsid w:val="00114484"/>
    <w:rsid w:val="00114A36"/>
    <w:rsid w:val="001150F2"/>
    <w:rsid w:val="00116B01"/>
    <w:rsid w:val="00120E74"/>
    <w:rsid w:val="00122200"/>
    <w:rsid w:val="0012425F"/>
    <w:rsid w:val="0012639C"/>
    <w:rsid w:val="00126E18"/>
    <w:rsid w:val="00127C77"/>
    <w:rsid w:val="00127F7B"/>
    <w:rsid w:val="00130202"/>
    <w:rsid w:val="0013741F"/>
    <w:rsid w:val="001375AC"/>
    <w:rsid w:val="0014370C"/>
    <w:rsid w:val="00150E49"/>
    <w:rsid w:val="0015381C"/>
    <w:rsid w:val="00154067"/>
    <w:rsid w:val="00155CA6"/>
    <w:rsid w:val="001562EB"/>
    <w:rsid w:val="00161BC5"/>
    <w:rsid w:val="00165732"/>
    <w:rsid w:val="001666FB"/>
    <w:rsid w:val="001712F7"/>
    <w:rsid w:val="00172A27"/>
    <w:rsid w:val="00173D93"/>
    <w:rsid w:val="00181CA6"/>
    <w:rsid w:val="00184130"/>
    <w:rsid w:val="00185554"/>
    <w:rsid w:val="001857B6"/>
    <w:rsid w:val="001859A8"/>
    <w:rsid w:val="00186376"/>
    <w:rsid w:val="00186A78"/>
    <w:rsid w:val="001924F5"/>
    <w:rsid w:val="00192828"/>
    <w:rsid w:val="00192EC4"/>
    <w:rsid w:val="001937DE"/>
    <w:rsid w:val="001A0FAF"/>
    <w:rsid w:val="001A492B"/>
    <w:rsid w:val="001A7525"/>
    <w:rsid w:val="001B3F46"/>
    <w:rsid w:val="001B71D7"/>
    <w:rsid w:val="001C071D"/>
    <w:rsid w:val="001C21B9"/>
    <w:rsid w:val="001C64E7"/>
    <w:rsid w:val="001D0E14"/>
    <w:rsid w:val="001D3E89"/>
    <w:rsid w:val="001D68A4"/>
    <w:rsid w:val="001D6911"/>
    <w:rsid w:val="001E04AA"/>
    <w:rsid w:val="001E1C35"/>
    <w:rsid w:val="001E30D7"/>
    <w:rsid w:val="001E340F"/>
    <w:rsid w:val="001F07E2"/>
    <w:rsid w:val="001F30A5"/>
    <w:rsid w:val="001F3863"/>
    <w:rsid w:val="001F4177"/>
    <w:rsid w:val="001F548F"/>
    <w:rsid w:val="001F5507"/>
    <w:rsid w:val="001F76A9"/>
    <w:rsid w:val="00202350"/>
    <w:rsid w:val="00202872"/>
    <w:rsid w:val="0020479A"/>
    <w:rsid w:val="00204FF4"/>
    <w:rsid w:val="0020772B"/>
    <w:rsid w:val="002113CE"/>
    <w:rsid w:val="00212B31"/>
    <w:rsid w:val="0021325E"/>
    <w:rsid w:val="00214DB4"/>
    <w:rsid w:val="0021551B"/>
    <w:rsid w:val="00216CEF"/>
    <w:rsid w:val="00217D31"/>
    <w:rsid w:val="00220E22"/>
    <w:rsid w:val="0022163A"/>
    <w:rsid w:val="00221816"/>
    <w:rsid w:val="00222BA9"/>
    <w:rsid w:val="00223B35"/>
    <w:rsid w:val="00223F47"/>
    <w:rsid w:val="00225B12"/>
    <w:rsid w:val="00226BF3"/>
    <w:rsid w:val="00227C9E"/>
    <w:rsid w:val="002304CF"/>
    <w:rsid w:val="00232AF4"/>
    <w:rsid w:val="00234F2F"/>
    <w:rsid w:val="0023561D"/>
    <w:rsid w:val="0023561E"/>
    <w:rsid w:val="002368A2"/>
    <w:rsid w:val="00237DAC"/>
    <w:rsid w:val="0024223B"/>
    <w:rsid w:val="00242739"/>
    <w:rsid w:val="00245981"/>
    <w:rsid w:val="00245E72"/>
    <w:rsid w:val="0024722F"/>
    <w:rsid w:val="0024745E"/>
    <w:rsid w:val="00251501"/>
    <w:rsid w:val="00251784"/>
    <w:rsid w:val="00252555"/>
    <w:rsid w:val="002527AF"/>
    <w:rsid w:val="00253324"/>
    <w:rsid w:val="002539F8"/>
    <w:rsid w:val="00254A92"/>
    <w:rsid w:val="00255DC4"/>
    <w:rsid w:val="00257052"/>
    <w:rsid w:val="00257B82"/>
    <w:rsid w:val="00260E46"/>
    <w:rsid w:val="0026127C"/>
    <w:rsid w:val="0026357D"/>
    <w:rsid w:val="0026496A"/>
    <w:rsid w:val="00271A3F"/>
    <w:rsid w:val="00273134"/>
    <w:rsid w:val="00273DC4"/>
    <w:rsid w:val="002757F5"/>
    <w:rsid w:val="00281811"/>
    <w:rsid w:val="00284C6F"/>
    <w:rsid w:val="00284E9E"/>
    <w:rsid w:val="00284FB9"/>
    <w:rsid w:val="00293540"/>
    <w:rsid w:val="0029366F"/>
    <w:rsid w:val="00293C00"/>
    <w:rsid w:val="00294EF0"/>
    <w:rsid w:val="00295277"/>
    <w:rsid w:val="002A1FBC"/>
    <w:rsid w:val="002A3677"/>
    <w:rsid w:val="002A3AC9"/>
    <w:rsid w:val="002B1258"/>
    <w:rsid w:val="002B4BE9"/>
    <w:rsid w:val="002B5788"/>
    <w:rsid w:val="002B62DF"/>
    <w:rsid w:val="002B691A"/>
    <w:rsid w:val="002C2E9D"/>
    <w:rsid w:val="002C2FD3"/>
    <w:rsid w:val="002C3A28"/>
    <w:rsid w:val="002C7337"/>
    <w:rsid w:val="002D09E7"/>
    <w:rsid w:val="002D1A35"/>
    <w:rsid w:val="002D3C3D"/>
    <w:rsid w:val="002D51A5"/>
    <w:rsid w:val="002E02F9"/>
    <w:rsid w:val="002E3DD2"/>
    <w:rsid w:val="002E4CF7"/>
    <w:rsid w:val="002E57D7"/>
    <w:rsid w:val="002E5F61"/>
    <w:rsid w:val="002E6C34"/>
    <w:rsid w:val="002E775F"/>
    <w:rsid w:val="002F2DD5"/>
    <w:rsid w:val="002F3301"/>
    <w:rsid w:val="002F6A2D"/>
    <w:rsid w:val="003023E4"/>
    <w:rsid w:val="0030499B"/>
    <w:rsid w:val="00306BA7"/>
    <w:rsid w:val="0030752F"/>
    <w:rsid w:val="00310485"/>
    <w:rsid w:val="00313A2C"/>
    <w:rsid w:val="0031517F"/>
    <w:rsid w:val="00317BDB"/>
    <w:rsid w:val="003215E7"/>
    <w:rsid w:val="00322888"/>
    <w:rsid w:val="00324869"/>
    <w:rsid w:val="00325935"/>
    <w:rsid w:val="00330569"/>
    <w:rsid w:val="00331603"/>
    <w:rsid w:val="00332979"/>
    <w:rsid w:val="0033362D"/>
    <w:rsid w:val="003349FF"/>
    <w:rsid w:val="0033781B"/>
    <w:rsid w:val="00340748"/>
    <w:rsid w:val="00345AA9"/>
    <w:rsid w:val="00345DBE"/>
    <w:rsid w:val="003478F0"/>
    <w:rsid w:val="00347EB5"/>
    <w:rsid w:val="003529A3"/>
    <w:rsid w:val="00353928"/>
    <w:rsid w:val="00354105"/>
    <w:rsid w:val="003557AD"/>
    <w:rsid w:val="00355864"/>
    <w:rsid w:val="003577C4"/>
    <w:rsid w:val="00360223"/>
    <w:rsid w:val="00361ADF"/>
    <w:rsid w:val="003635D6"/>
    <w:rsid w:val="00366301"/>
    <w:rsid w:val="00366F30"/>
    <w:rsid w:val="0036776F"/>
    <w:rsid w:val="00370DED"/>
    <w:rsid w:val="00371549"/>
    <w:rsid w:val="003723DB"/>
    <w:rsid w:val="00373507"/>
    <w:rsid w:val="0037445B"/>
    <w:rsid w:val="00375244"/>
    <w:rsid w:val="00375837"/>
    <w:rsid w:val="00375BDC"/>
    <w:rsid w:val="00376581"/>
    <w:rsid w:val="0037765E"/>
    <w:rsid w:val="00382116"/>
    <w:rsid w:val="00384EAE"/>
    <w:rsid w:val="00386E12"/>
    <w:rsid w:val="003917BA"/>
    <w:rsid w:val="00393BA7"/>
    <w:rsid w:val="00393C33"/>
    <w:rsid w:val="003A3B56"/>
    <w:rsid w:val="003A5441"/>
    <w:rsid w:val="003A66A6"/>
    <w:rsid w:val="003A768C"/>
    <w:rsid w:val="003A7AEF"/>
    <w:rsid w:val="003B0674"/>
    <w:rsid w:val="003B0E9F"/>
    <w:rsid w:val="003B1F95"/>
    <w:rsid w:val="003C0B48"/>
    <w:rsid w:val="003C5E0B"/>
    <w:rsid w:val="003C7067"/>
    <w:rsid w:val="003C7FE6"/>
    <w:rsid w:val="003D3DD9"/>
    <w:rsid w:val="003D4562"/>
    <w:rsid w:val="003D61C4"/>
    <w:rsid w:val="003E3562"/>
    <w:rsid w:val="003E6A1F"/>
    <w:rsid w:val="003E71CD"/>
    <w:rsid w:val="003F3BDE"/>
    <w:rsid w:val="003F65B5"/>
    <w:rsid w:val="003F6AF5"/>
    <w:rsid w:val="003F70EE"/>
    <w:rsid w:val="003F712F"/>
    <w:rsid w:val="003F7B61"/>
    <w:rsid w:val="004009F7"/>
    <w:rsid w:val="004015D2"/>
    <w:rsid w:val="004016E3"/>
    <w:rsid w:val="004019B5"/>
    <w:rsid w:val="00403193"/>
    <w:rsid w:val="00404E20"/>
    <w:rsid w:val="004052AE"/>
    <w:rsid w:val="0040709B"/>
    <w:rsid w:val="0040776F"/>
    <w:rsid w:val="004078AD"/>
    <w:rsid w:val="00410589"/>
    <w:rsid w:val="00410980"/>
    <w:rsid w:val="00411BE3"/>
    <w:rsid w:val="004140D4"/>
    <w:rsid w:val="00414CE1"/>
    <w:rsid w:val="00415A98"/>
    <w:rsid w:val="004203ED"/>
    <w:rsid w:val="00420D80"/>
    <w:rsid w:val="0042235A"/>
    <w:rsid w:val="00422658"/>
    <w:rsid w:val="00424443"/>
    <w:rsid w:val="0042447F"/>
    <w:rsid w:val="00424D6C"/>
    <w:rsid w:val="00430164"/>
    <w:rsid w:val="00431164"/>
    <w:rsid w:val="004369A3"/>
    <w:rsid w:val="00436BB0"/>
    <w:rsid w:val="00437C48"/>
    <w:rsid w:val="00441474"/>
    <w:rsid w:val="00441996"/>
    <w:rsid w:val="00442171"/>
    <w:rsid w:val="00442A9A"/>
    <w:rsid w:val="00442E39"/>
    <w:rsid w:val="00442F3A"/>
    <w:rsid w:val="00444801"/>
    <w:rsid w:val="004450C9"/>
    <w:rsid w:val="00446426"/>
    <w:rsid w:val="0044682B"/>
    <w:rsid w:val="00446E8E"/>
    <w:rsid w:val="004470BC"/>
    <w:rsid w:val="00450344"/>
    <w:rsid w:val="0045145F"/>
    <w:rsid w:val="004552C8"/>
    <w:rsid w:val="00455877"/>
    <w:rsid w:val="00455B3A"/>
    <w:rsid w:val="004604EE"/>
    <w:rsid w:val="00461DB6"/>
    <w:rsid w:val="00462E99"/>
    <w:rsid w:val="004643F4"/>
    <w:rsid w:val="004658B4"/>
    <w:rsid w:val="00465EC9"/>
    <w:rsid w:val="00470501"/>
    <w:rsid w:val="00472A05"/>
    <w:rsid w:val="00473729"/>
    <w:rsid w:val="00476B01"/>
    <w:rsid w:val="00476DB6"/>
    <w:rsid w:val="004776C1"/>
    <w:rsid w:val="00481E70"/>
    <w:rsid w:val="004858A2"/>
    <w:rsid w:val="00487748"/>
    <w:rsid w:val="00491248"/>
    <w:rsid w:val="00493700"/>
    <w:rsid w:val="004939CD"/>
    <w:rsid w:val="0049441E"/>
    <w:rsid w:val="00494CF6"/>
    <w:rsid w:val="00496475"/>
    <w:rsid w:val="0049712C"/>
    <w:rsid w:val="00497F1E"/>
    <w:rsid w:val="004A1501"/>
    <w:rsid w:val="004A3D6C"/>
    <w:rsid w:val="004A4032"/>
    <w:rsid w:val="004A6AC9"/>
    <w:rsid w:val="004B037A"/>
    <w:rsid w:val="004B0A08"/>
    <w:rsid w:val="004B756D"/>
    <w:rsid w:val="004B793F"/>
    <w:rsid w:val="004B7943"/>
    <w:rsid w:val="004C243F"/>
    <w:rsid w:val="004C4B5F"/>
    <w:rsid w:val="004C4FCA"/>
    <w:rsid w:val="004C6EDC"/>
    <w:rsid w:val="004C7672"/>
    <w:rsid w:val="004D2EBF"/>
    <w:rsid w:val="004D36AF"/>
    <w:rsid w:val="004D3BA7"/>
    <w:rsid w:val="004D47CF"/>
    <w:rsid w:val="004D7C15"/>
    <w:rsid w:val="004E125B"/>
    <w:rsid w:val="004E4472"/>
    <w:rsid w:val="004E503C"/>
    <w:rsid w:val="004E5E17"/>
    <w:rsid w:val="004E7846"/>
    <w:rsid w:val="004F08D9"/>
    <w:rsid w:val="004F25AB"/>
    <w:rsid w:val="004F297D"/>
    <w:rsid w:val="004F2E69"/>
    <w:rsid w:val="004F377A"/>
    <w:rsid w:val="004F4FB3"/>
    <w:rsid w:val="005044ED"/>
    <w:rsid w:val="00504DB6"/>
    <w:rsid w:val="005072F4"/>
    <w:rsid w:val="00512DEC"/>
    <w:rsid w:val="00513AF2"/>
    <w:rsid w:val="00515494"/>
    <w:rsid w:val="00520DA5"/>
    <w:rsid w:val="00522763"/>
    <w:rsid w:val="005248D5"/>
    <w:rsid w:val="00525570"/>
    <w:rsid w:val="00526004"/>
    <w:rsid w:val="00527C6D"/>
    <w:rsid w:val="005305D1"/>
    <w:rsid w:val="00530AA0"/>
    <w:rsid w:val="00531162"/>
    <w:rsid w:val="0053158B"/>
    <w:rsid w:val="005316B8"/>
    <w:rsid w:val="00531743"/>
    <w:rsid w:val="00531F18"/>
    <w:rsid w:val="0053219F"/>
    <w:rsid w:val="00532BB5"/>
    <w:rsid w:val="00533D8D"/>
    <w:rsid w:val="00536210"/>
    <w:rsid w:val="005364D1"/>
    <w:rsid w:val="0054072A"/>
    <w:rsid w:val="00541D70"/>
    <w:rsid w:val="005420AF"/>
    <w:rsid w:val="00542E6E"/>
    <w:rsid w:val="00543068"/>
    <w:rsid w:val="00547CF9"/>
    <w:rsid w:val="00551922"/>
    <w:rsid w:val="00554264"/>
    <w:rsid w:val="00555D5B"/>
    <w:rsid w:val="00556B00"/>
    <w:rsid w:val="00561184"/>
    <w:rsid w:val="00561503"/>
    <w:rsid w:val="005627D4"/>
    <w:rsid w:val="005647AD"/>
    <w:rsid w:val="005674F1"/>
    <w:rsid w:val="0056799F"/>
    <w:rsid w:val="005802AF"/>
    <w:rsid w:val="00581B83"/>
    <w:rsid w:val="00582F67"/>
    <w:rsid w:val="00583304"/>
    <w:rsid w:val="00584E4E"/>
    <w:rsid w:val="0058645E"/>
    <w:rsid w:val="005907F1"/>
    <w:rsid w:val="00591418"/>
    <w:rsid w:val="00591F79"/>
    <w:rsid w:val="005926BD"/>
    <w:rsid w:val="0059376B"/>
    <w:rsid w:val="00593D86"/>
    <w:rsid w:val="005946A0"/>
    <w:rsid w:val="0059628E"/>
    <w:rsid w:val="00596AD3"/>
    <w:rsid w:val="00597B09"/>
    <w:rsid w:val="005A34FF"/>
    <w:rsid w:val="005A3F48"/>
    <w:rsid w:val="005A621B"/>
    <w:rsid w:val="005A6D6A"/>
    <w:rsid w:val="005A74A4"/>
    <w:rsid w:val="005A74FC"/>
    <w:rsid w:val="005A78A8"/>
    <w:rsid w:val="005B0A6F"/>
    <w:rsid w:val="005B42CF"/>
    <w:rsid w:val="005B5EE6"/>
    <w:rsid w:val="005B7591"/>
    <w:rsid w:val="005C0DEE"/>
    <w:rsid w:val="005C0F9E"/>
    <w:rsid w:val="005C1783"/>
    <w:rsid w:val="005C2224"/>
    <w:rsid w:val="005C2D3A"/>
    <w:rsid w:val="005C37FA"/>
    <w:rsid w:val="005C3BDE"/>
    <w:rsid w:val="005C3D56"/>
    <w:rsid w:val="005C4F3A"/>
    <w:rsid w:val="005C54BD"/>
    <w:rsid w:val="005D0B7E"/>
    <w:rsid w:val="005D36BC"/>
    <w:rsid w:val="005D443D"/>
    <w:rsid w:val="005D7991"/>
    <w:rsid w:val="005E0BB6"/>
    <w:rsid w:val="005E11AF"/>
    <w:rsid w:val="005E1551"/>
    <w:rsid w:val="005E18C4"/>
    <w:rsid w:val="005E1E4E"/>
    <w:rsid w:val="005E2A98"/>
    <w:rsid w:val="005E4427"/>
    <w:rsid w:val="005E648B"/>
    <w:rsid w:val="005F09F5"/>
    <w:rsid w:val="005F2CB8"/>
    <w:rsid w:val="005F2E7C"/>
    <w:rsid w:val="005F4C9D"/>
    <w:rsid w:val="005F5F9D"/>
    <w:rsid w:val="005F6C93"/>
    <w:rsid w:val="005F772C"/>
    <w:rsid w:val="005F7C39"/>
    <w:rsid w:val="00602DF0"/>
    <w:rsid w:val="00603E2C"/>
    <w:rsid w:val="006048C2"/>
    <w:rsid w:val="00607492"/>
    <w:rsid w:val="006131BB"/>
    <w:rsid w:val="00614EB3"/>
    <w:rsid w:val="00616D43"/>
    <w:rsid w:val="00617097"/>
    <w:rsid w:val="00617329"/>
    <w:rsid w:val="006204CF"/>
    <w:rsid w:val="00624E29"/>
    <w:rsid w:val="00625002"/>
    <w:rsid w:val="0062771F"/>
    <w:rsid w:val="00631626"/>
    <w:rsid w:val="00631A9F"/>
    <w:rsid w:val="006354E9"/>
    <w:rsid w:val="0063558D"/>
    <w:rsid w:val="0063588C"/>
    <w:rsid w:val="006361D0"/>
    <w:rsid w:val="0063635E"/>
    <w:rsid w:val="00637634"/>
    <w:rsid w:val="00641CED"/>
    <w:rsid w:val="00642CB6"/>
    <w:rsid w:val="0064632D"/>
    <w:rsid w:val="0065159D"/>
    <w:rsid w:val="00651F6A"/>
    <w:rsid w:val="006530E5"/>
    <w:rsid w:val="00653FC6"/>
    <w:rsid w:val="00654865"/>
    <w:rsid w:val="00664257"/>
    <w:rsid w:val="0066536E"/>
    <w:rsid w:val="00666D69"/>
    <w:rsid w:val="006739DD"/>
    <w:rsid w:val="00674A15"/>
    <w:rsid w:val="00674B66"/>
    <w:rsid w:val="006751B1"/>
    <w:rsid w:val="00680D35"/>
    <w:rsid w:val="0068123D"/>
    <w:rsid w:val="00682C64"/>
    <w:rsid w:val="006845A9"/>
    <w:rsid w:val="006877AD"/>
    <w:rsid w:val="00690100"/>
    <w:rsid w:val="00697834"/>
    <w:rsid w:val="006A05BF"/>
    <w:rsid w:val="006A2C4E"/>
    <w:rsid w:val="006A2D38"/>
    <w:rsid w:val="006A2E1E"/>
    <w:rsid w:val="006A31F2"/>
    <w:rsid w:val="006A5C5D"/>
    <w:rsid w:val="006A74BE"/>
    <w:rsid w:val="006B22E5"/>
    <w:rsid w:val="006B3354"/>
    <w:rsid w:val="006B3C37"/>
    <w:rsid w:val="006B5E43"/>
    <w:rsid w:val="006C0D48"/>
    <w:rsid w:val="006C3240"/>
    <w:rsid w:val="006C6B1D"/>
    <w:rsid w:val="006D61F5"/>
    <w:rsid w:val="006E080B"/>
    <w:rsid w:val="006E177F"/>
    <w:rsid w:val="006E1D3D"/>
    <w:rsid w:val="006E2FD6"/>
    <w:rsid w:val="006E5145"/>
    <w:rsid w:val="006E686E"/>
    <w:rsid w:val="006E6BCF"/>
    <w:rsid w:val="006E7590"/>
    <w:rsid w:val="006F0CEB"/>
    <w:rsid w:val="006F26FE"/>
    <w:rsid w:val="006F28D0"/>
    <w:rsid w:val="006F2DA4"/>
    <w:rsid w:val="006F2ECF"/>
    <w:rsid w:val="006F3379"/>
    <w:rsid w:val="006F4188"/>
    <w:rsid w:val="006F4733"/>
    <w:rsid w:val="00700122"/>
    <w:rsid w:val="00700E41"/>
    <w:rsid w:val="0070241B"/>
    <w:rsid w:val="00702880"/>
    <w:rsid w:val="00702CE9"/>
    <w:rsid w:val="00704FA6"/>
    <w:rsid w:val="0070573F"/>
    <w:rsid w:val="00707425"/>
    <w:rsid w:val="00712794"/>
    <w:rsid w:val="007137A5"/>
    <w:rsid w:val="007216DC"/>
    <w:rsid w:val="007230CD"/>
    <w:rsid w:val="007245A9"/>
    <w:rsid w:val="007254B1"/>
    <w:rsid w:val="007261F6"/>
    <w:rsid w:val="00730EB2"/>
    <w:rsid w:val="00731A78"/>
    <w:rsid w:val="007327D5"/>
    <w:rsid w:val="00732CA1"/>
    <w:rsid w:val="00735DD2"/>
    <w:rsid w:val="0073641D"/>
    <w:rsid w:val="0074053B"/>
    <w:rsid w:val="007427E7"/>
    <w:rsid w:val="00743F5B"/>
    <w:rsid w:val="007462E9"/>
    <w:rsid w:val="0074696D"/>
    <w:rsid w:val="00747D52"/>
    <w:rsid w:val="00752A72"/>
    <w:rsid w:val="00753032"/>
    <w:rsid w:val="00764DAC"/>
    <w:rsid w:val="00765D97"/>
    <w:rsid w:val="00765EEC"/>
    <w:rsid w:val="00766E48"/>
    <w:rsid w:val="00766F46"/>
    <w:rsid w:val="0077264E"/>
    <w:rsid w:val="00773462"/>
    <w:rsid w:val="007739BB"/>
    <w:rsid w:val="007770AC"/>
    <w:rsid w:val="007816C2"/>
    <w:rsid w:val="00781DB3"/>
    <w:rsid w:val="00782450"/>
    <w:rsid w:val="007832F6"/>
    <w:rsid w:val="007837CE"/>
    <w:rsid w:val="007846B4"/>
    <w:rsid w:val="00790EC0"/>
    <w:rsid w:val="00791B16"/>
    <w:rsid w:val="00792C9F"/>
    <w:rsid w:val="00793B03"/>
    <w:rsid w:val="00794926"/>
    <w:rsid w:val="007A3DDD"/>
    <w:rsid w:val="007A4F69"/>
    <w:rsid w:val="007A60D7"/>
    <w:rsid w:val="007A63F3"/>
    <w:rsid w:val="007A7A4D"/>
    <w:rsid w:val="007B08A4"/>
    <w:rsid w:val="007B094C"/>
    <w:rsid w:val="007B147B"/>
    <w:rsid w:val="007B2C01"/>
    <w:rsid w:val="007B2C99"/>
    <w:rsid w:val="007B3057"/>
    <w:rsid w:val="007B4549"/>
    <w:rsid w:val="007B46F9"/>
    <w:rsid w:val="007B6732"/>
    <w:rsid w:val="007B790E"/>
    <w:rsid w:val="007C318A"/>
    <w:rsid w:val="007C5AE0"/>
    <w:rsid w:val="007C7508"/>
    <w:rsid w:val="007D00C2"/>
    <w:rsid w:val="007D113D"/>
    <w:rsid w:val="007D3B9B"/>
    <w:rsid w:val="007D3DD5"/>
    <w:rsid w:val="007D3FD5"/>
    <w:rsid w:val="007D4F17"/>
    <w:rsid w:val="007D6BCE"/>
    <w:rsid w:val="007E083A"/>
    <w:rsid w:val="007E39B3"/>
    <w:rsid w:val="007E4FEB"/>
    <w:rsid w:val="007E667C"/>
    <w:rsid w:val="007F0F03"/>
    <w:rsid w:val="007F220A"/>
    <w:rsid w:val="007F232A"/>
    <w:rsid w:val="007F4203"/>
    <w:rsid w:val="00801370"/>
    <w:rsid w:val="00802F1B"/>
    <w:rsid w:val="0080332F"/>
    <w:rsid w:val="00803355"/>
    <w:rsid w:val="008037AC"/>
    <w:rsid w:val="00803BB9"/>
    <w:rsid w:val="00804ADF"/>
    <w:rsid w:val="00813001"/>
    <w:rsid w:val="00815A78"/>
    <w:rsid w:val="00816B76"/>
    <w:rsid w:val="008203D0"/>
    <w:rsid w:val="00821433"/>
    <w:rsid w:val="0082163A"/>
    <w:rsid w:val="00822D1A"/>
    <w:rsid w:val="0082373B"/>
    <w:rsid w:val="00824D48"/>
    <w:rsid w:val="00826CCC"/>
    <w:rsid w:val="00831D5D"/>
    <w:rsid w:val="0084631D"/>
    <w:rsid w:val="00847472"/>
    <w:rsid w:val="00847482"/>
    <w:rsid w:val="00847762"/>
    <w:rsid w:val="00850E46"/>
    <w:rsid w:val="0085180B"/>
    <w:rsid w:val="00851FF6"/>
    <w:rsid w:val="0085201B"/>
    <w:rsid w:val="0085235A"/>
    <w:rsid w:val="00852B0D"/>
    <w:rsid w:val="0085527B"/>
    <w:rsid w:val="00855B85"/>
    <w:rsid w:val="008566FA"/>
    <w:rsid w:val="00861681"/>
    <w:rsid w:val="0086177B"/>
    <w:rsid w:val="00862828"/>
    <w:rsid w:val="00862F84"/>
    <w:rsid w:val="008643E5"/>
    <w:rsid w:val="00871CA7"/>
    <w:rsid w:val="008734FB"/>
    <w:rsid w:val="00875E31"/>
    <w:rsid w:val="00876246"/>
    <w:rsid w:val="00882A87"/>
    <w:rsid w:val="00882B33"/>
    <w:rsid w:val="0088376E"/>
    <w:rsid w:val="008838CE"/>
    <w:rsid w:val="00883928"/>
    <w:rsid w:val="00884817"/>
    <w:rsid w:val="00884863"/>
    <w:rsid w:val="008870C1"/>
    <w:rsid w:val="00887CE6"/>
    <w:rsid w:val="008915E6"/>
    <w:rsid w:val="00891A8C"/>
    <w:rsid w:val="008A008E"/>
    <w:rsid w:val="008A0469"/>
    <w:rsid w:val="008A0560"/>
    <w:rsid w:val="008A0FBF"/>
    <w:rsid w:val="008A1F06"/>
    <w:rsid w:val="008A5DAD"/>
    <w:rsid w:val="008A6F80"/>
    <w:rsid w:val="008A7D8F"/>
    <w:rsid w:val="008A7F25"/>
    <w:rsid w:val="008B1D80"/>
    <w:rsid w:val="008B2FD8"/>
    <w:rsid w:val="008B3334"/>
    <w:rsid w:val="008B4193"/>
    <w:rsid w:val="008B5F08"/>
    <w:rsid w:val="008B6361"/>
    <w:rsid w:val="008C07FA"/>
    <w:rsid w:val="008C1A6B"/>
    <w:rsid w:val="008C3910"/>
    <w:rsid w:val="008C4432"/>
    <w:rsid w:val="008C4B45"/>
    <w:rsid w:val="008C5622"/>
    <w:rsid w:val="008C5882"/>
    <w:rsid w:val="008C6184"/>
    <w:rsid w:val="008C70A7"/>
    <w:rsid w:val="008D1F90"/>
    <w:rsid w:val="008D3BBD"/>
    <w:rsid w:val="008D59FA"/>
    <w:rsid w:val="008D7E36"/>
    <w:rsid w:val="008E16E7"/>
    <w:rsid w:val="008E3F37"/>
    <w:rsid w:val="008E5D16"/>
    <w:rsid w:val="008F088D"/>
    <w:rsid w:val="008F32A8"/>
    <w:rsid w:val="008F3C4D"/>
    <w:rsid w:val="008F4E74"/>
    <w:rsid w:val="008F5615"/>
    <w:rsid w:val="008F5BB0"/>
    <w:rsid w:val="008F7DBC"/>
    <w:rsid w:val="009048EC"/>
    <w:rsid w:val="00904DB0"/>
    <w:rsid w:val="0090537A"/>
    <w:rsid w:val="0090609C"/>
    <w:rsid w:val="0091153D"/>
    <w:rsid w:val="0091167D"/>
    <w:rsid w:val="00914793"/>
    <w:rsid w:val="009154AA"/>
    <w:rsid w:val="00917283"/>
    <w:rsid w:val="00922BBD"/>
    <w:rsid w:val="00922E0A"/>
    <w:rsid w:val="00924041"/>
    <w:rsid w:val="00924408"/>
    <w:rsid w:val="00926B6B"/>
    <w:rsid w:val="00926BDA"/>
    <w:rsid w:val="0093198D"/>
    <w:rsid w:val="009325D3"/>
    <w:rsid w:val="0093416F"/>
    <w:rsid w:val="0094292B"/>
    <w:rsid w:val="00942AAF"/>
    <w:rsid w:val="00946215"/>
    <w:rsid w:val="00950613"/>
    <w:rsid w:val="00951473"/>
    <w:rsid w:val="00952C12"/>
    <w:rsid w:val="00954689"/>
    <w:rsid w:val="009558F2"/>
    <w:rsid w:val="00960969"/>
    <w:rsid w:val="00960E7B"/>
    <w:rsid w:val="0096258E"/>
    <w:rsid w:val="009635F3"/>
    <w:rsid w:val="009650EB"/>
    <w:rsid w:val="009664FE"/>
    <w:rsid w:val="00966A10"/>
    <w:rsid w:val="00970B45"/>
    <w:rsid w:val="009742DE"/>
    <w:rsid w:val="009767DA"/>
    <w:rsid w:val="00976891"/>
    <w:rsid w:val="00976FC3"/>
    <w:rsid w:val="0098277D"/>
    <w:rsid w:val="00982D7A"/>
    <w:rsid w:val="00985DBB"/>
    <w:rsid w:val="00985DE3"/>
    <w:rsid w:val="00990012"/>
    <w:rsid w:val="00994707"/>
    <w:rsid w:val="0099507E"/>
    <w:rsid w:val="00996A86"/>
    <w:rsid w:val="00997C1D"/>
    <w:rsid w:val="009A1F30"/>
    <w:rsid w:val="009B2ADF"/>
    <w:rsid w:val="009B38B8"/>
    <w:rsid w:val="009B3FA6"/>
    <w:rsid w:val="009B7653"/>
    <w:rsid w:val="009B7C06"/>
    <w:rsid w:val="009C1EE8"/>
    <w:rsid w:val="009C344E"/>
    <w:rsid w:val="009C464D"/>
    <w:rsid w:val="009C529F"/>
    <w:rsid w:val="009C643C"/>
    <w:rsid w:val="009C7321"/>
    <w:rsid w:val="009D0DA0"/>
    <w:rsid w:val="009D0FB9"/>
    <w:rsid w:val="009D2BF6"/>
    <w:rsid w:val="009D6103"/>
    <w:rsid w:val="009D62BB"/>
    <w:rsid w:val="009D676C"/>
    <w:rsid w:val="009E2260"/>
    <w:rsid w:val="009E2B8C"/>
    <w:rsid w:val="009F3FBB"/>
    <w:rsid w:val="009F67D4"/>
    <w:rsid w:val="009F6C81"/>
    <w:rsid w:val="00A03E31"/>
    <w:rsid w:val="00A05190"/>
    <w:rsid w:val="00A062D1"/>
    <w:rsid w:val="00A1231A"/>
    <w:rsid w:val="00A20665"/>
    <w:rsid w:val="00A21861"/>
    <w:rsid w:val="00A21E2A"/>
    <w:rsid w:val="00A22E12"/>
    <w:rsid w:val="00A26290"/>
    <w:rsid w:val="00A31CA1"/>
    <w:rsid w:val="00A33840"/>
    <w:rsid w:val="00A347E6"/>
    <w:rsid w:val="00A36916"/>
    <w:rsid w:val="00A36CBB"/>
    <w:rsid w:val="00A37F86"/>
    <w:rsid w:val="00A415D7"/>
    <w:rsid w:val="00A42622"/>
    <w:rsid w:val="00A47210"/>
    <w:rsid w:val="00A4728C"/>
    <w:rsid w:val="00A503E6"/>
    <w:rsid w:val="00A50EB5"/>
    <w:rsid w:val="00A528EE"/>
    <w:rsid w:val="00A53BDA"/>
    <w:rsid w:val="00A558FF"/>
    <w:rsid w:val="00A55F90"/>
    <w:rsid w:val="00A6021B"/>
    <w:rsid w:val="00A60399"/>
    <w:rsid w:val="00A60DA2"/>
    <w:rsid w:val="00A621AB"/>
    <w:rsid w:val="00A628EA"/>
    <w:rsid w:val="00A63BD7"/>
    <w:rsid w:val="00A65818"/>
    <w:rsid w:val="00A661EC"/>
    <w:rsid w:val="00A667EC"/>
    <w:rsid w:val="00A66989"/>
    <w:rsid w:val="00A713FD"/>
    <w:rsid w:val="00A727C9"/>
    <w:rsid w:val="00A72F90"/>
    <w:rsid w:val="00A73615"/>
    <w:rsid w:val="00A748D0"/>
    <w:rsid w:val="00A7495D"/>
    <w:rsid w:val="00A74A5B"/>
    <w:rsid w:val="00A76BFE"/>
    <w:rsid w:val="00A81CD0"/>
    <w:rsid w:val="00A83F07"/>
    <w:rsid w:val="00A868BD"/>
    <w:rsid w:val="00A87F81"/>
    <w:rsid w:val="00A94417"/>
    <w:rsid w:val="00A94E7A"/>
    <w:rsid w:val="00A96108"/>
    <w:rsid w:val="00A96D0E"/>
    <w:rsid w:val="00A9773D"/>
    <w:rsid w:val="00A97C9F"/>
    <w:rsid w:val="00AA2A78"/>
    <w:rsid w:val="00AA5379"/>
    <w:rsid w:val="00AA691D"/>
    <w:rsid w:val="00AA6A54"/>
    <w:rsid w:val="00AB0428"/>
    <w:rsid w:val="00AB0B6D"/>
    <w:rsid w:val="00AB1F63"/>
    <w:rsid w:val="00AB7AE3"/>
    <w:rsid w:val="00AB7BFD"/>
    <w:rsid w:val="00AC0A42"/>
    <w:rsid w:val="00AC21F3"/>
    <w:rsid w:val="00AC4507"/>
    <w:rsid w:val="00AC4658"/>
    <w:rsid w:val="00AC7580"/>
    <w:rsid w:val="00AD29FA"/>
    <w:rsid w:val="00AD6347"/>
    <w:rsid w:val="00AE036B"/>
    <w:rsid w:val="00AE11EC"/>
    <w:rsid w:val="00AE27A2"/>
    <w:rsid w:val="00AE6422"/>
    <w:rsid w:val="00AF1D5C"/>
    <w:rsid w:val="00B029DF"/>
    <w:rsid w:val="00B061B1"/>
    <w:rsid w:val="00B0718D"/>
    <w:rsid w:val="00B119C9"/>
    <w:rsid w:val="00B11F92"/>
    <w:rsid w:val="00B135E1"/>
    <w:rsid w:val="00B13B53"/>
    <w:rsid w:val="00B16294"/>
    <w:rsid w:val="00B20BFC"/>
    <w:rsid w:val="00B210FB"/>
    <w:rsid w:val="00B23A23"/>
    <w:rsid w:val="00B2556A"/>
    <w:rsid w:val="00B3028F"/>
    <w:rsid w:val="00B321DE"/>
    <w:rsid w:val="00B32DF8"/>
    <w:rsid w:val="00B3340A"/>
    <w:rsid w:val="00B34485"/>
    <w:rsid w:val="00B34B66"/>
    <w:rsid w:val="00B355CF"/>
    <w:rsid w:val="00B35A1F"/>
    <w:rsid w:val="00B36CE0"/>
    <w:rsid w:val="00B408FF"/>
    <w:rsid w:val="00B4435B"/>
    <w:rsid w:val="00B44ECD"/>
    <w:rsid w:val="00B453E6"/>
    <w:rsid w:val="00B4731D"/>
    <w:rsid w:val="00B50B40"/>
    <w:rsid w:val="00B515D5"/>
    <w:rsid w:val="00B51F23"/>
    <w:rsid w:val="00B576FF"/>
    <w:rsid w:val="00B67D1C"/>
    <w:rsid w:val="00B704B2"/>
    <w:rsid w:val="00B71502"/>
    <w:rsid w:val="00B74FFA"/>
    <w:rsid w:val="00B778BF"/>
    <w:rsid w:val="00B80B38"/>
    <w:rsid w:val="00B831EC"/>
    <w:rsid w:val="00B838F0"/>
    <w:rsid w:val="00B85314"/>
    <w:rsid w:val="00B85FD2"/>
    <w:rsid w:val="00B93E4F"/>
    <w:rsid w:val="00B9463C"/>
    <w:rsid w:val="00B96B7A"/>
    <w:rsid w:val="00BA07FB"/>
    <w:rsid w:val="00BA2E38"/>
    <w:rsid w:val="00BA42DF"/>
    <w:rsid w:val="00BB0A47"/>
    <w:rsid w:val="00BB231B"/>
    <w:rsid w:val="00BB31B5"/>
    <w:rsid w:val="00BB466E"/>
    <w:rsid w:val="00BB468C"/>
    <w:rsid w:val="00BB7947"/>
    <w:rsid w:val="00BC02F5"/>
    <w:rsid w:val="00BC0FA4"/>
    <w:rsid w:val="00BC3672"/>
    <w:rsid w:val="00BC4BDB"/>
    <w:rsid w:val="00BC6ADD"/>
    <w:rsid w:val="00BC6B1D"/>
    <w:rsid w:val="00BC6F7E"/>
    <w:rsid w:val="00BC7A55"/>
    <w:rsid w:val="00BD09E7"/>
    <w:rsid w:val="00BD1B1D"/>
    <w:rsid w:val="00BD32DE"/>
    <w:rsid w:val="00BD3C95"/>
    <w:rsid w:val="00BD662B"/>
    <w:rsid w:val="00BE1915"/>
    <w:rsid w:val="00BE37D9"/>
    <w:rsid w:val="00BE7714"/>
    <w:rsid w:val="00BF006E"/>
    <w:rsid w:val="00BF0187"/>
    <w:rsid w:val="00BF110C"/>
    <w:rsid w:val="00BF1348"/>
    <w:rsid w:val="00BF171A"/>
    <w:rsid w:val="00BF5BB4"/>
    <w:rsid w:val="00BF759C"/>
    <w:rsid w:val="00C01F2F"/>
    <w:rsid w:val="00C03609"/>
    <w:rsid w:val="00C0379A"/>
    <w:rsid w:val="00C05A3D"/>
    <w:rsid w:val="00C06057"/>
    <w:rsid w:val="00C078CE"/>
    <w:rsid w:val="00C12436"/>
    <w:rsid w:val="00C12B3F"/>
    <w:rsid w:val="00C12F6A"/>
    <w:rsid w:val="00C135D6"/>
    <w:rsid w:val="00C136B4"/>
    <w:rsid w:val="00C163DE"/>
    <w:rsid w:val="00C17C81"/>
    <w:rsid w:val="00C17C90"/>
    <w:rsid w:val="00C21B40"/>
    <w:rsid w:val="00C2206E"/>
    <w:rsid w:val="00C22F3C"/>
    <w:rsid w:val="00C3213D"/>
    <w:rsid w:val="00C33B28"/>
    <w:rsid w:val="00C345CA"/>
    <w:rsid w:val="00C352C0"/>
    <w:rsid w:val="00C40BD3"/>
    <w:rsid w:val="00C42721"/>
    <w:rsid w:val="00C45D22"/>
    <w:rsid w:val="00C462D4"/>
    <w:rsid w:val="00C47F99"/>
    <w:rsid w:val="00C50AD7"/>
    <w:rsid w:val="00C5364F"/>
    <w:rsid w:val="00C56EF7"/>
    <w:rsid w:val="00C62E58"/>
    <w:rsid w:val="00C630FD"/>
    <w:rsid w:val="00C63226"/>
    <w:rsid w:val="00C6355E"/>
    <w:rsid w:val="00C67534"/>
    <w:rsid w:val="00C70510"/>
    <w:rsid w:val="00C710C1"/>
    <w:rsid w:val="00C719B5"/>
    <w:rsid w:val="00C7458A"/>
    <w:rsid w:val="00C745DE"/>
    <w:rsid w:val="00C75C4C"/>
    <w:rsid w:val="00C779BE"/>
    <w:rsid w:val="00C83B0F"/>
    <w:rsid w:val="00C83C4D"/>
    <w:rsid w:val="00C8530C"/>
    <w:rsid w:val="00C85721"/>
    <w:rsid w:val="00C9324E"/>
    <w:rsid w:val="00C9453C"/>
    <w:rsid w:val="00C95AC1"/>
    <w:rsid w:val="00C95B33"/>
    <w:rsid w:val="00CA0A6B"/>
    <w:rsid w:val="00CA0B70"/>
    <w:rsid w:val="00CA1F73"/>
    <w:rsid w:val="00CA70F6"/>
    <w:rsid w:val="00CA7E5F"/>
    <w:rsid w:val="00CB1492"/>
    <w:rsid w:val="00CB4C31"/>
    <w:rsid w:val="00CB5337"/>
    <w:rsid w:val="00CB6D85"/>
    <w:rsid w:val="00CB7007"/>
    <w:rsid w:val="00CC15D0"/>
    <w:rsid w:val="00CC3286"/>
    <w:rsid w:val="00CC5EF0"/>
    <w:rsid w:val="00CC7891"/>
    <w:rsid w:val="00CC7CC9"/>
    <w:rsid w:val="00CD1BCB"/>
    <w:rsid w:val="00CD2981"/>
    <w:rsid w:val="00CD2D70"/>
    <w:rsid w:val="00CD4F0B"/>
    <w:rsid w:val="00CD55E2"/>
    <w:rsid w:val="00CD5B66"/>
    <w:rsid w:val="00CE1E40"/>
    <w:rsid w:val="00CE287C"/>
    <w:rsid w:val="00CE2B05"/>
    <w:rsid w:val="00CE2E96"/>
    <w:rsid w:val="00CE5886"/>
    <w:rsid w:val="00CF0653"/>
    <w:rsid w:val="00CF0CD2"/>
    <w:rsid w:val="00CF327A"/>
    <w:rsid w:val="00CF694D"/>
    <w:rsid w:val="00CF6BE9"/>
    <w:rsid w:val="00CF7536"/>
    <w:rsid w:val="00D00DB2"/>
    <w:rsid w:val="00D0316F"/>
    <w:rsid w:val="00D052A5"/>
    <w:rsid w:val="00D056FD"/>
    <w:rsid w:val="00D1233E"/>
    <w:rsid w:val="00D13D7C"/>
    <w:rsid w:val="00D13EB4"/>
    <w:rsid w:val="00D13F8E"/>
    <w:rsid w:val="00D178F4"/>
    <w:rsid w:val="00D20DD1"/>
    <w:rsid w:val="00D2112B"/>
    <w:rsid w:val="00D2210E"/>
    <w:rsid w:val="00D2223D"/>
    <w:rsid w:val="00D23663"/>
    <w:rsid w:val="00D2664B"/>
    <w:rsid w:val="00D33148"/>
    <w:rsid w:val="00D3474C"/>
    <w:rsid w:val="00D361E2"/>
    <w:rsid w:val="00D36DB9"/>
    <w:rsid w:val="00D42425"/>
    <w:rsid w:val="00D44DAA"/>
    <w:rsid w:val="00D47B4E"/>
    <w:rsid w:val="00D5044E"/>
    <w:rsid w:val="00D50CB0"/>
    <w:rsid w:val="00D512E8"/>
    <w:rsid w:val="00D51B06"/>
    <w:rsid w:val="00D52BF8"/>
    <w:rsid w:val="00D54B01"/>
    <w:rsid w:val="00D54D96"/>
    <w:rsid w:val="00D60464"/>
    <w:rsid w:val="00D611C1"/>
    <w:rsid w:val="00D61ABC"/>
    <w:rsid w:val="00D61E9A"/>
    <w:rsid w:val="00D637C7"/>
    <w:rsid w:val="00D640D7"/>
    <w:rsid w:val="00D66837"/>
    <w:rsid w:val="00D736BD"/>
    <w:rsid w:val="00D75827"/>
    <w:rsid w:val="00D76020"/>
    <w:rsid w:val="00D806D7"/>
    <w:rsid w:val="00D81781"/>
    <w:rsid w:val="00D8261B"/>
    <w:rsid w:val="00D833B2"/>
    <w:rsid w:val="00D84295"/>
    <w:rsid w:val="00D84C83"/>
    <w:rsid w:val="00D84EB9"/>
    <w:rsid w:val="00D86AA7"/>
    <w:rsid w:val="00D91E15"/>
    <w:rsid w:val="00D93462"/>
    <w:rsid w:val="00DA01C9"/>
    <w:rsid w:val="00DA175A"/>
    <w:rsid w:val="00DA208D"/>
    <w:rsid w:val="00DA39AD"/>
    <w:rsid w:val="00DA4290"/>
    <w:rsid w:val="00DB4117"/>
    <w:rsid w:val="00DB4399"/>
    <w:rsid w:val="00DB536D"/>
    <w:rsid w:val="00DB572E"/>
    <w:rsid w:val="00DC29B1"/>
    <w:rsid w:val="00DC32C9"/>
    <w:rsid w:val="00DC6E07"/>
    <w:rsid w:val="00DD23DC"/>
    <w:rsid w:val="00DD4435"/>
    <w:rsid w:val="00DD7981"/>
    <w:rsid w:val="00DE0333"/>
    <w:rsid w:val="00DE2CF2"/>
    <w:rsid w:val="00DE34EE"/>
    <w:rsid w:val="00DE5A63"/>
    <w:rsid w:val="00DF5935"/>
    <w:rsid w:val="00E00AE9"/>
    <w:rsid w:val="00E0108C"/>
    <w:rsid w:val="00E0219B"/>
    <w:rsid w:val="00E047A0"/>
    <w:rsid w:val="00E05091"/>
    <w:rsid w:val="00E07094"/>
    <w:rsid w:val="00E1194D"/>
    <w:rsid w:val="00E12C38"/>
    <w:rsid w:val="00E13306"/>
    <w:rsid w:val="00E16A3D"/>
    <w:rsid w:val="00E22793"/>
    <w:rsid w:val="00E23003"/>
    <w:rsid w:val="00E267E1"/>
    <w:rsid w:val="00E26A11"/>
    <w:rsid w:val="00E302FB"/>
    <w:rsid w:val="00E36E74"/>
    <w:rsid w:val="00E4157C"/>
    <w:rsid w:val="00E507C9"/>
    <w:rsid w:val="00E51125"/>
    <w:rsid w:val="00E531E2"/>
    <w:rsid w:val="00E54C07"/>
    <w:rsid w:val="00E55CE5"/>
    <w:rsid w:val="00E5611A"/>
    <w:rsid w:val="00E5631D"/>
    <w:rsid w:val="00E64C30"/>
    <w:rsid w:val="00E657EF"/>
    <w:rsid w:val="00E65EAB"/>
    <w:rsid w:val="00E66DB6"/>
    <w:rsid w:val="00E72F5E"/>
    <w:rsid w:val="00E8045A"/>
    <w:rsid w:val="00E81363"/>
    <w:rsid w:val="00E86967"/>
    <w:rsid w:val="00E86A4F"/>
    <w:rsid w:val="00E9087B"/>
    <w:rsid w:val="00E95AD1"/>
    <w:rsid w:val="00EA3157"/>
    <w:rsid w:val="00EB06DD"/>
    <w:rsid w:val="00EB3297"/>
    <w:rsid w:val="00EB36A6"/>
    <w:rsid w:val="00EB3907"/>
    <w:rsid w:val="00EB5063"/>
    <w:rsid w:val="00EB57F7"/>
    <w:rsid w:val="00EC0BEB"/>
    <w:rsid w:val="00EC114F"/>
    <w:rsid w:val="00EC3A0F"/>
    <w:rsid w:val="00EC5CDE"/>
    <w:rsid w:val="00EC6D3E"/>
    <w:rsid w:val="00ED0BEE"/>
    <w:rsid w:val="00ED0CEB"/>
    <w:rsid w:val="00ED476B"/>
    <w:rsid w:val="00ED5154"/>
    <w:rsid w:val="00ED5ACD"/>
    <w:rsid w:val="00ED7D59"/>
    <w:rsid w:val="00EE0637"/>
    <w:rsid w:val="00EE0972"/>
    <w:rsid w:val="00EE293F"/>
    <w:rsid w:val="00EE4970"/>
    <w:rsid w:val="00EF320A"/>
    <w:rsid w:val="00EF6D81"/>
    <w:rsid w:val="00F00A3F"/>
    <w:rsid w:val="00F0237B"/>
    <w:rsid w:val="00F023C8"/>
    <w:rsid w:val="00F0430E"/>
    <w:rsid w:val="00F046E8"/>
    <w:rsid w:val="00F04E8B"/>
    <w:rsid w:val="00F077C9"/>
    <w:rsid w:val="00F14D52"/>
    <w:rsid w:val="00F1634C"/>
    <w:rsid w:val="00F203E4"/>
    <w:rsid w:val="00F213F6"/>
    <w:rsid w:val="00F2196E"/>
    <w:rsid w:val="00F236CB"/>
    <w:rsid w:val="00F23F5B"/>
    <w:rsid w:val="00F250E4"/>
    <w:rsid w:val="00F2533F"/>
    <w:rsid w:val="00F26886"/>
    <w:rsid w:val="00F278E6"/>
    <w:rsid w:val="00F30DA1"/>
    <w:rsid w:val="00F31120"/>
    <w:rsid w:val="00F3318C"/>
    <w:rsid w:val="00F357B1"/>
    <w:rsid w:val="00F37B64"/>
    <w:rsid w:val="00F45A9A"/>
    <w:rsid w:val="00F478C0"/>
    <w:rsid w:val="00F50084"/>
    <w:rsid w:val="00F51A7A"/>
    <w:rsid w:val="00F52EFB"/>
    <w:rsid w:val="00F531BF"/>
    <w:rsid w:val="00F54017"/>
    <w:rsid w:val="00F5420B"/>
    <w:rsid w:val="00F549AC"/>
    <w:rsid w:val="00F54ADF"/>
    <w:rsid w:val="00F57149"/>
    <w:rsid w:val="00F62B83"/>
    <w:rsid w:val="00F62CB4"/>
    <w:rsid w:val="00F63E1C"/>
    <w:rsid w:val="00F66887"/>
    <w:rsid w:val="00F70EEB"/>
    <w:rsid w:val="00F70FB6"/>
    <w:rsid w:val="00F7318A"/>
    <w:rsid w:val="00F74112"/>
    <w:rsid w:val="00F75424"/>
    <w:rsid w:val="00F764EC"/>
    <w:rsid w:val="00F82E3A"/>
    <w:rsid w:val="00F90340"/>
    <w:rsid w:val="00F9414D"/>
    <w:rsid w:val="00F9558D"/>
    <w:rsid w:val="00F95E9F"/>
    <w:rsid w:val="00F9648B"/>
    <w:rsid w:val="00F97BA1"/>
    <w:rsid w:val="00FA10C9"/>
    <w:rsid w:val="00FA12A8"/>
    <w:rsid w:val="00FA1A29"/>
    <w:rsid w:val="00FA4471"/>
    <w:rsid w:val="00FA547A"/>
    <w:rsid w:val="00FA7268"/>
    <w:rsid w:val="00FA7802"/>
    <w:rsid w:val="00FB03B2"/>
    <w:rsid w:val="00FB12EB"/>
    <w:rsid w:val="00FB2B5F"/>
    <w:rsid w:val="00FB309A"/>
    <w:rsid w:val="00FB3273"/>
    <w:rsid w:val="00FB3768"/>
    <w:rsid w:val="00FB6652"/>
    <w:rsid w:val="00FB7423"/>
    <w:rsid w:val="00FC0051"/>
    <w:rsid w:val="00FC059F"/>
    <w:rsid w:val="00FC1B11"/>
    <w:rsid w:val="00FC49E2"/>
    <w:rsid w:val="00FD247F"/>
    <w:rsid w:val="00FD283B"/>
    <w:rsid w:val="00FD520D"/>
    <w:rsid w:val="00FE3FDB"/>
    <w:rsid w:val="00FE4ED5"/>
    <w:rsid w:val="00FE5AE0"/>
    <w:rsid w:val="00FE731E"/>
    <w:rsid w:val="00FF0F72"/>
    <w:rsid w:val="00FF6818"/>
    <w:rsid w:val="00FF72FB"/>
    <w:rsid w:val="00FF7CF4"/>
    <w:rsid w:val="012E0548"/>
    <w:rsid w:val="013F5DC1"/>
    <w:rsid w:val="01D57A45"/>
    <w:rsid w:val="02101DBC"/>
    <w:rsid w:val="022C0D40"/>
    <w:rsid w:val="0259538F"/>
    <w:rsid w:val="0260204B"/>
    <w:rsid w:val="026A741A"/>
    <w:rsid w:val="03141ABC"/>
    <w:rsid w:val="035B32C6"/>
    <w:rsid w:val="040C09A8"/>
    <w:rsid w:val="062D102C"/>
    <w:rsid w:val="06934FEF"/>
    <w:rsid w:val="06E810BE"/>
    <w:rsid w:val="070B1B9D"/>
    <w:rsid w:val="0BFE1410"/>
    <w:rsid w:val="0CF935FB"/>
    <w:rsid w:val="0D640491"/>
    <w:rsid w:val="0DED4086"/>
    <w:rsid w:val="0EC82135"/>
    <w:rsid w:val="0F146333"/>
    <w:rsid w:val="0F4C25E3"/>
    <w:rsid w:val="0F910E6F"/>
    <w:rsid w:val="10E46664"/>
    <w:rsid w:val="11BD26D8"/>
    <w:rsid w:val="11C6373B"/>
    <w:rsid w:val="128A5328"/>
    <w:rsid w:val="147124C5"/>
    <w:rsid w:val="148E651F"/>
    <w:rsid w:val="14B63835"/>
    <w:rsid w:val="14E92E92"/>
    <w:rsid w:val="157F11D4"/>
    <w:rsid w:val="1698760E"/>
    <w:rsid w:val="16C8187C"/>
    <w:rsid w:val="16E27EBB"/>
    <w:rsid w:val="174447DF"/>
    <w:rsid w:val="1AA40091"/>
    <w:rsid w:val="1B8E1EDA"/>
    <w:rsid w:val="1BF05C5F"/>
    <w:rsid w:val="1C013945"/>
    <w:rsid w:val="1D0743D8"/>
    <w:rsid w:val="1DE624EC"/>
    <w:rsid w:val="1E8C36BA"/>
    <w:rsid w:val="1E8E3DC2"/>
    <w:rsid w:val="1E962B13"/>
    <w:rsid w:val="21871366"/>
    <w:rsid w:val="232D4EAD"/>
    <w:rsid w:val="236E67DF"/>
    <w:rsid w:val="238E5147"/>
    <w:rsid w:val="23C04FCB"/>
    <w:rsid w:val="297558A9"/>
    <w:rsid w:val="2B36644A"/>
    <w:rsid w:val="2D0651E1"/>
    <w:rsid w:val="2D881E98"/>
    <w:rsid w:val="30507876"/>
    <w:rsid w:val="308355D9"/>
    <w:rsid w:val="329F0A2A"/>
    <w:rsid w:val="336D2119"/>
    <w:rsid w:val="34520126"/>
    <w:rsid w:val="35406652"/>
    <w:rsid w:val="35434684"/>
    <w:rsid w:val="356C376C"/>
    <w:rsid w:val="36D93EB8"/>
    <w:rsid w:val="36F6263F"/>
    <w:rsid w:val="39FE6840"/>
    <w:rsid w:val="3A7B45C0"/>
    <w:rsid w:val="3D027DDB"/>
    <w:rsid w:val="3E396EA5"/>
    <w:rsid w:val="3E3F7244"/>
    <w:rsid w:val="3FF30BE1"/>
    <w:rsid w:val="434A2EEC"/>
    <w:rsid w:val="43AB39D0"/>
    <w:rsid w:val="468A6029"/>
    <w:rsid w:val="46950BCD"/>
    <w:rsid w:val="479E5769"/>
    <w:rsid w:val="4A934DCB"/>
    <w:rsid w:val="4AA24825"/>
    <w:rsid w:val="4B081990"/>
    <w:rsid w:val="4B8E6C14"/>
    <w:rsid w:val="4E890E22"/>
    <w:rsid w:val="4EB80183"/>
    <w:rsid w:val="4F693130"/>
    <w:rsid w:val="50775E46"/>
    <w:rsid w:val="511E6D78"/>
    <w:rsid w:val="51A50AF3"/>
    <w:rsid w:val="529C0229"/>
    <w:rsid w:val="53697E9E"/>
    <w:rsid w:val="56071D71"/>
    <w:rsid w:val="562E7FB9"/>
    <w:rsid w:val="564467CF"/>
    <w:rsid w:val="5719290D"/>
    <w:rsid w:val="57874F44"/>
    <w:rsid w:val="57F80C60"/>
    <w:rsid w:val="58316676"/>
    <w:rsid w:val="58A5111B"/>
    <w:rsid w:val="59C33DE8"/>
    <w:rsid w:val="59D82730"/>
    <w:rsid w:val="5A8A539B"/>
    <w:rsid w:val="5D004DB2"/>
    <w:rsid w:val="5E375089"/>
    <w:rsid w:val="5F247471"/>
    <w:rsid w:val="5FB54A36"/>
    <w:rsid w:val="60B37D0D"/>
    <w:rsid w:val="64AE2A58"/>
    <w:rsid w:val="64D863FA"/>
    <w:rsid w:val="65170455"/>
    <w:rsid w:val="674433B5"/>
    <w:rsid w:val="68126058"/>
    <w:rsid w:val="682A25FF"/>
    <w:rsid w:val="6B0F0940"/>
    <w:rsid w:val="6BAE6D7A"/>
    <w:rsid w:val="6DE74460"/>
    <w:rsid w:val="6E66590C"/>
    <w:rsid w:val="7037192E"/>
    <w:rsid w:val="72473BE1"/>
    <w:rsid w:val="72D67240"/>
    <w:rsid w:val="78140757"/>
    <w:rsid w:val="78357119"/>
    <w:rsid w:val="788F5CFC"/>
    <w:rsid w:val="79BD1D04"/>
    <w:rsid w:val="7C975EDC"/>
    <w:rsid w:val="7D0E319A"/>
    <w:rsid w:val="7D1744C8"/>
    <w:rsid w:val="7D6243AE"/>
    <w:rsid w:val="7DF63BE1"/>
    <w:rsid w:val="7E0C2F51"/>
    <w:rsid w:val="7E191883"/>
    <w:rsid w:val="7E3C2C77"/>
    <w:rsid w:val="AF522DBF"/>
    <w:rsid w:val="B7CEF28B"/>
    <w:rsid w:val="E5E3F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56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styleId="3">
    <w:name w:val="heading 1"/>
    <w:basedOn w:val="1"/>
    <w:next w:val="1"/>
    <w:link w:val="32"/>
    <w:qFormat/>
    <w:uiPriority w:val="9"/>
    <w:pPr>
      <w:keepNext/>
      <w:keepLines/>
      <w:spacing w:before="480" w:after="80" w:line="278" w:lineRule="auto"/>
      <w:ind w:firstLine="0" w:firstLineChars="0"/>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4">
    <w:name w:val="heading 2"/>
    <w:basedOn w:val="1"/>
    <w:next w:val="1"/>
    <w:link w:val="33"/>
    <w:unhideWhenUsed/>
    <w:qFormat/>
    <w:uiPriority w:val="9"/>
    <w:pPr>
      <w:keepNext/>
      <w:keepLines/>
      <w:spacing w:before="160" w:after="80" w:line="278" w:lineRule="auto"/>
      <w:ind w:firstLine="0" w:firstLineChars="0"/>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5">
    <w:name w:val="heading 3"/>
    <w:basedOn w:val="1"/>
    <w:next w:val="1"/>
    <w:link w:val="34"/>
    <w:unhideWhenUsed/>
    <w:qFormat/>
    <w:uiPriority w:val="9"/>
    <w:pPr>
      <w:keepNext/>
      <w:keepLines/>
      <w:spacing w:before="160" w:after="80" w:line="278" w:lineRule="auto"/>
      <w:ind w:firstLine="0" w:firstLineChars="0"/>
      <w:jc w:val="left"/>
      <w:outlineLvl w:val="2"/>
    </w:pPr>
    <w:rPr>
      <w:rFonts w:asciiTheme="majorHAnsi" w:hAnsiTheme="majorHAnsi" w:eastAsiaTheme="majorEastAsia" w:cstheme="majorBidi"/>
      <w:color w:val="104862" w:themeColor="accent1" w:themeShade="BF"/>
      <w:szCs w:val="32"/>
      <w14:ligatures w14:val="standardContextual"/>
    </w:rPr>
  </w:style>
  <w:style w:type="paragraph" w:styleId="6">
    <w:name w:val="heading 4"/>
    <w:basedOn w:val="1"/>
    <w:next w:val="1"/>
    <w:link w:val="35"/>
    <w:unhideWhenUsed/>
    <w:qFormat/>
    <w:uiPriority w:val="9"/>
    <w:pPr>
      <w:keepNext/>
      <w:keepLines/>
      <w:spacing w:before="80" w:after="40" w:line="278" w:lineRule="auto"/>
      <w:ind w:firstLine="0" w:firstLineChars="0"/>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7">
    <w:name w:val="heading 5"/>
    <w:basedOn w:val="1"/>
    <w:next w:val="1"/>
    <w:link w:val="36"/>
    <w:unhideWhenUsed/>
    <w:qFormat/>
    <w:uiPriority w:val="9"/>
    <w:pPr>
      <w:keepNext/>
      <w:keepLines/>
      <w:spacing w:before="80" w:after="40" w:line="278" w:lineRule="auto"/>
      <w:ind w:firstLine="0" w:firstLineChars="0"/>
      <w:jc w:val="left"/>
      <w:outlineLvl w:val="4"/>
    </w:pPr>
    <w:rPr>
      <w:rFonts w:asciiTheme="minorHAnsi" w:hAnsiTheme="minorHAnsi" w:eastAsiaTheme="minorEastAsia" w:cstheme="majorBidi"/>
      <w:color w:val="104862" w:themeColor="accent1" w:themeShade="BF"/>
      <w:sz w:val="24"/>
      <w:szCs w:val="24"/>
      <w14:ligatures w14:val="standardContextual"/>
    </w:rPr>
  </w:style>
  <w:style w:type="paragraph" w:styleId="8">
    <w:name w:val="heading 6"/>
    <w:basedOn w:val="1"/>
    <w:next w:val="1"/>
    <w:link w:val="37"/>
    <w:unhideWhenUsed/>
    <w:qFormat/>
    <w:uiPriority w:val="9"/>
    <w:pPr>
      <w:keepNext/>
      <w:keepLines/>
      <w:spacing w:before="40" w:after="0" w:line="278" w:lineRule="auto"/>
      <w:ind w:firstLine="0" w:firstLineChars="0"/>
      <w:jc w:val="left"/>
      <w:outlineLvl w:val="5"/>
    </w:pPr>
    <w:rPr>
      <w:rFonts w:asciiTheme="minorHAnsi" w:hAnsiTheme="minorHAnsi" w:eastAsiaTheme="minorEastAsia" w:cstheme="majorBidi"/>
      <w:b/>
      <w:bCs/>
      <w:color w:val="104862" w:themeColor="accent1" w:themeShade="BF"/>
      <w:sz w:val="22"/>
      <w:szCs w:val="24"/>
      <w14:ligatures w14:val="standardContextual"/>
    </w:rPr>
  </w:style>
  <w:style w:type="paragraph" w:styleId="9">
    <w:name w:val="heading 7"/>
    <w:basedOn w:val="1"/>
    <w:next w:val="1"/>
    <w:link w:val="38"/>
    <w:unhideWhenUsed/>
    <w:qFormat/>
    <w:uiPriority w:val="9"/>
    <w:pPr>
      <w:keepNext/>
      <w:keepLines/>
      <w:spacing w:before="40" w:after="0" w:line="278" w:lineRule="auto"/>
      <w:ind w:firstLine="0" w:firstLineChars="0"/>
      <w:jc w:val="left"/>
      <w:outlineLvl w:val="6"/>
    </w:pPr>
    <w:rPr>
      <w:rFonts w:asciiTheme="minorHAnsi" w:hAnsiTheme="minorHAnsi" w:eastAsiaTheme="minorEastAsia"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8"/>
    <w:basedOn w:val="1"/>
    <w:next w:val="1"/>
    <w:link w:val="39"/>
    <w:unhideWhenUsed/>
    <w:qFormat/>
    <w:uiPriority w:val="9"/>
    <w:pPr>
      <w:keepNext/>
      <w:keepLines/>
      <w:spacing w:after="0" w:line="278" w:lineRule="auto"/>
      <w:ind w:firstLine="0" w:firstLineChars="0"/>
      <w:jc w:val="left"/>
      <w:outlineLvl w:val="7"/>
    </w:pPr>
    <w:rPr>
      <w:rFonts w:asciiTheme="minorHAnsi" w:hAnsiTheme="minorHAnsi" w:eastAsiaTheme="min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1">
    <w:name w:val="heading 9"/>
    <w:basedOn w:val="1"/>
    <w:next w:val="1"/>
    <w:link w:val="40"/>
    <w:unhideWhenUsed/>
    <w:qFormat/>
    <w:uiPriority w:val="9"/>
    <w:pPr>
      <w:keepNext/>
      <w:keepLines/>
      <w:spacing w:after="0" w:line="278" w:lineRule="auto"/>
      <w:ind w:firstLine="0" w:firstLineChars="0"/>
      <w:jc w:val="left"/>
      <w:outlineLvl w:val="8"/>
    </w:pPr>
    <w:rPr>
      <w:rFonts w:asciiTheme="minorHAnsi" w:hAnsiTheme="minorHAnsi"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2">
    <w:name w:val="Plain Text"/>
    <w:basedOn w:val="1"/>
    <w:next w:val="1"/>
    <w:link w:val="57"/>
    <w:qFormat/>
    <w:uiPriority w:val="0"/>
    <w:pPr>
      <w:spacing w:after="0"/>
      <w:ind w:firstLine="880"/>
    </w:pPr>
    <w:rPr>
      <w:rFonts w:ascii="宋体" w:hAnsi="Courier New" w:cstheme="minorBidi"/>
      <w:szCs w:val="24"/>
    </w:rPr>
  </w:style>
  <w:style w:type="paragraph" w:styleId="12">
    <w:name w:val="Normal Indent"/>
    <w:basedOn w:val="1"/>
    <w:qFormat/>
    <w:uiPriority w:val="0"/>
    <w:pPr>
      <w:spacing w:after="0" w:line="240" w:lineRule="auto"/>
      <w:ind w:firstLine="420"/>
    </w:pPr>
    <w:rPr>
      <w:rFonts w:eastAsia="宋体"/>
      <w:sz w:val="21"/>
      <w:szCs w:val="24"/>
    </w:rPr>
  </w:style>
  <w:style w:type="paragraph" w:styleId="13">
    <w:name w:val="annotation text"/>
    <w:basedOn w:val="1"/>
    <w:unhideWhenUsed/>
    <w:qFormat/>
    <w:uiPriority w:val="99"/>
    <w:pPr>
      <w:jc w:val="left"/>
    </w:pPr>
  </w:style>
  <w:style w:type="paragraph" w:styleId="14">
    <w:name w:val="Body Text"/>
    <w:basedOn w:val="1"/>
    <w:link w:val="58"/>
    <w:qFormat/>
    <w:uiPriority w:val="0"/>
    <w:pPr>
      <w:spacing w:after="0" w:line="240" w:lineRule="auto"/>
      <w:ind w:firstLine="0" w:firstLineChars="0"/>
    </w:pPr>
    <w:rPr>
      <w:rFonts w:ascii="仿宋_GB2312"/>
      <w:szCs w:val="24"/>
    </w:rPr>
  </w:style>
  <w:style w:type="paragraph" w:styleId="15">
    <w:name w:val="toc 3"/>
    <w:basedOn w:val="1"/>
    <w:next w:val="1"/>
    <w:qFormat/>
    <w:uiPriority w:val="39"/>
    <w:pPr>
      <w:ind w:left="840" w:leftChars="400"/>
    </w:pPr>
  </w:style>
  <w:style w:type="paragraph" w:styleId="16">
    <w:name w:val="footer"/>
    <w:basedOn w:val="1"/>
    <w:link w:val="55"/>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54"/>
    <w:unhideWhenUsed/>
    <w:qFormat/>
    <w:uiPriority w:val="99"/>
    <w:pPr>
      <w:tabs>
        <w:tab w:val="center" w:pos="4153"/>
        <w:tab w:val="right" w:pos="8306"/>
      </w:tabs>
      <w:snapToGrid w:val="0"/>
      <w:spacing w:line="240" w:lineRule="atLeast"/>
      <w:jc w:val="center"/>
    </w:pPr>
    <w:rPr>
      <w:sz w:val="18"/>
      <w:szCs w:val="18"/>
    </w:rPr>
  </w:style>
  <w:style w:type="paragraph" w:styleId="18">
    <w:name w:val="toc 1"/>
    <w:basedOn w:val="1"/>
    <w:next w:val="1"/>
    <w:qFormat/>
    <w:uiPriority w:val="39"/>
    <w:pPr>
      <w:tabs>
        <w:tab w:val="right" w:leader="dot" w:pos="8834"/>
      </w:tabs>
      <w:spacing w:line="480" w:lineRule="exact"/>
    </w:pPr>
    <w:rPr>
      <w:rFonts w:cs="黑体"/>
      <w:b/>
      <w:bCs/>
      <w:kern w:val="0"/>
      <w:sz w:val="30"/>
    </w:rPr>
  </w:style>
  <w:style w:type="paragraph" w:styleId="19">
    <w:name w:val="Subtitle"/>
    <w:basedOn w:val="1"/>
    <w:next w:val="1"/>
    <w:link w:val="42"/>
    <w:qFormat/>
    <w:uiPriority w:val="11"/>
    <w:pPr>
      <w:spacing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20">
    <w:name w:val="footnote text"/>
    <w:basedOn w:val="1"/>
    <w:link w:val="56"/>
    <w:qFormat/>
    <w:uiPriority w:val="99"/>
    <w:pPr>
      <w:snapToGrid w:val="0"/>
      <w:spacing w:after="0" w:line="240" w:lineRule="auto"/>
      <w:ind w:firstLine="0" w:firstLineChars="0"/>
      <w:jc w:val="left"/>
    </w:pPr>
    <w:rPr>
      <w:rFonts w:ascii="宋体" w:hAnsi="宋体" w:eastAsia="宋体"/>
      <w:sz w:val="18"/>
      <w:szCs w:val="24"/>
    </w:rPr>
  </w:style>
  <w:style w:type="paragraph" w:styleId="21">
    <w:name w:val="toc 2"/>
    <w:basedOn w:val="1"/>
    <w:next w:val="1"/>
    <w:qFormat/>
    <w:uiPriority w:val="39"/>
    <w:pPr>
      <w:ind w:left="420" w:leftChars="200"/>
    </w:pPr>
  </w:style>
  <w:style w:type="paragraph" w:styleId="22">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23">
    <w:name w:val="Title"/>
    <w:basedOn w:val="1"/>
    <w:next w:val="1"/>
    <w:link w:val="41"/>
    <w:qFormat/>
    <w:uiPriority w:val="10"/>
    <w:pPr>
      <w:spacing w:after="80" w:line="240" w:lineRule="auto"/>
      <w:ind w:firstLine="0" w:firstLineChars="0"/>
      <w:contextualSpacing/>
      <w:jc w:val="center"/>
    </w:pPr>
    <w:rPr>
      <w:rFonts w:asciiTheme="majorHAnsi" w:hAnsiTheme="majorHAnsi" w:eastAsiaTheme="majorEastAsia" w:cstheme="majorBidi"/>
      <w:spacing w:val="-10"/>
      <w:kern w:val="28"/>
      <w:sz w:val="56"/>
      <w:szCs w:val="56"/>
      <w14:ligatures w14:val="standardContextual"/>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FollowedHyperlink"/>
    <w:basedOn w:val="26"/>
    <w:unhideWhenUsed/>
    <w:qFormat/>
    <w:uiPriority w:val="99"/>
    <w:rPr>
      <w:color w:val="96607D" w:themeColor="followedHyperlink"/>
      <w:u w:val="single"/>
      <w14:textFill>
        <w14:solidFill>
          <w14:schemeClr w14:val="folHlink"/>
        </w14:solidFill>
      </w14:textFill>
    </w:rPr>
  </w:style>
  <w:style w:type="character" w:styleId="29">
    <w:name w:val="Hyperlink"/>
    <w:basedOn w:val="26"/>
    <w:unhideWhenUsed/>
    <w:qFormat/>
    <w:uiPriority w:val="99"/>
    <w:rPr>
      <w:color w:val="467886" w:themeColor="hyperlink"/>
      <w:u w:val="single"/>
      <w14:textFill>
        <w14:solidFill>
          <w14:schemeClr w14:val="hlink"/>
        </w14:solidFill>
      </w14:textFill>
    </w:rPr>
  </w:style>
  <w:style w:type="character" w:styleId="30">
    <w:name w:val="annotation reference"/>
    <w:basedOn w:val="26"/>
    <w:unhideWhenUsed/>
    <w:qFormat/>
    <w:uiPriority w:val="99"/>
    <w:rPr>
      <w:sz w:val="21"/>
      <w:szCs w:val="21"/>
    </w:rPr>
  </w:style>
  <w:style w:type="character" w:styleId="31">
    <w:name w:val="footnote reference"/>
    <w:qFormat/>
    <w:uiPriority w:val="99"/>
    <w:rPr>
      <w:rFonts w:ascii="Times New Roman" w:hAnsi="Times New Roman" w:eastAsia="宋体"/>
      <w:vertAlign w:val="superscript"/>
    </w:rPr>
  </w:style>
  <w:style w:type="character" w:customStyle="1" w:styleId="32">
    <w:name w:val="标题 1 字符"/>
    <w:basedOn w:val="26"/>
    <w:link w:val="3"/>
    <w:qFormat/>
    <w:uiPriority w:val="9"/>
    <w:rPr>
      <w:rFonts w:asciiTheme="majorHAnsi" w:hAnsiTheme="majorHAnsi" w:eastAsiaTheme="majorEastAsia" w:cstheme="majorBidi"/>
      <w:color w:val="104862" w:themeColor="accent1" w:themeShade="BF"/>
      <w:sz w:val="48"/>
      <w:szCs w:val="48"/>
    </w:rPr>
  </w:style>
  <w:style w:type="character" w:customStyle="1" w:styleId="33">
    <w:name w:val="标题 2 字符"/>
    <w:basedOn w:val="26"/>
    <w:link w:val="4"/>
    <w:qFormat/>
    <w:uiPriority w:val="9"/>
    <w:rPr>
      <w:rFonts w:asciiTheme="majorHAnsi" w:hAnsiTheme="majorHAnsi" w:eastAsiaTheme="majorEastAsia" w:cstheme="majorBidi"/>
      <w:color w:val="104862" w:themeColor="accent1" w:themeShade="BF"/>
      <w:sz w:val="40"/>
      <w:szCs w:val="40"/>
    </w:rPr>
  </w:style>
  <w:style w:type="character" w:customStyle="1" w:styleId="34">
    <w:name w:val="标题 3 字符"/>
    <w:basedOn w:val="26"/>
    <w:link w:val="5"/>
    <w:qFormat/>
    <w:uiPriority w:val="9"/>
    <w:rPr>
      <w:rFonts w:asciiTheme="majorHAnsi" w:hAnsiTheme="majorHAnsi" w:eastAsiaTheme="majorEastAsia" w:cstheme="majorBidi"/>
      <w:color w:val="104862" w:themeColor="accent1" w:themeShade="BF"/>
      <w:sz w:val="32"/>
      <w:szCs w:val="32"/>
    </w:rPr>
  </w:style>
  <w:style w:type="character" w:customStyle="1" w:styleId="35">
    <w:name w:val="标题 4 字符"/>
    <w:basedOn w:val="26"/>
    <w:link w:val="6"/>
    <w:semiHidden/>
    <w:qFormat/>
    <w:uiPriority w:val="9"/>
    <w:rPr>
      <w:rFonts w:cstheme="majorBidi"/>
      <w:color w:val="104862" w:themeColor="accent1" w:themeShade="BF"/>
      <w:sz w:val="28"/>
      <w:szCs w:val="28"/>
    </w:rPr>
  </w:style>
  <w:style w:type="character" w:customStyle="1" w:styleId="36">
    <w:name w:val="标题 5 字符"/>
    <w:basedOn w:val="26"/>
    <w:link w:val="7"/>
    <w:semiHidden/>
    <w:qFormat/>
    <w:uiPriority w:val="9"/>
    <w:rPr>
      <w:rFonts w:cstheme="majorBidi"/>
      <w:color w:val="104862" w:themeColor="accent1" w:themeShade="BF"/>
      <w:sz w:val="24"/>
    </w:rPr>
  </w:style>
  <w:style w:type="character" w:customStyle="1" w:styleId="37">
    <w:name w:val="标题 6 字符"/>
    <w:basedOn w:val="26"/>
    <w:link w:val="8"/>
    <w:semiHidden/>
    <w:qFormat/>
    <w:uiPriority w:val="9"/>
    <w:rPr>
      <w:rFonts w:cstheme="majorBidi"/>
      <w:b/>
      <w:bCs/>
      <w:color w:val="104862" w:themeColor="accent1" w:themeShade="BF"/>
    </w:rPr>
  </w:style>
  <w:style w:type="character" w:customStyle="1" w:styleId="38">
    <w:name w:val="标题 7 字符"/>
    <w:basedOn w:val="2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9">
    <w:name w:val="标题 8 字符"/>
    <w:basedOn w:val="2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0">
    <w:name w:val="标题 9 字符"/>
    <w:basedOn w:val="2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1">
    <w:name w:val="标题 字符"/>
    <w:basedOn w:val="26"/>
    <w:link w:val="23"/>
    <w:qFormat/>
    <w:uiPriority w:val="10"/>
    <w:rPr>
      <w:rFonts w:asciiTheme="majorHAnsi" w:hAnsiTheme="majorHAnsi" w:eastAsiaTheme="majorEastAsia" w:cstheme="majorBidi"/>
      <w:spacing w:val="-10"/>
      <w:kern w:val="28"/>
      <w:sz w:val="56"/>
      <w:szCs w:val="56"/>
    </w:rPr>
  </w:style>
  <w:style w:type="character" w:customStyle="1" w:styleId="42">
    <w:name w:val="副标题 字符"/>
    <w:basedOn w:val="26"/>
    <w:link w:val="19"/>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43">
    <w:name w:val="引用1"/>
    <w:basedOn w:val="1"/>
    <w:next w:val="1"/>
    <w:link w:val="44"/>
    <w:qFormat/>
    <w:uiPriority w:val="29"/>
    <w:pPr>
      <w:spacing w:before="160" w:line="278" w:lineRule="auto"/>
      <w:ind w:firstLine="0" w:firstLineChars="0"/>
      <w:jc w:val="center"/>
    </w:pPr>
    <w:rPr>
      <w:rFonts w:asciiTheme="minorHAnsi" w:hAnsiTheme="minorHAnsi" w:eastAsiaTheme="minorEastAsia" w:cstheme="minorBidi"/>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44">
    <w:name w:val="引用 字符"/>
    <w:basedOn w:val="26"/>
    <w:link w:val="43"/>
    <w:qFormat/>
    <w:uiPriority w:val="29"/>
    <w:rPr>
      <w:i/>
      <w:iCs/>
      <w:color w:val="404040" w:themeColor="text1" w:themeTint="BF"/>
      <w14:textFill>
        <w14:solidFill>
          <w14:schemeClr w14:val="tx1">
            <w14:lumMod w14:val="75000"/>
            <w14:lumOff w14:val="25000"/>
          </w14:schemeClr>
        </w14:solidFill>
      </w14:textFill>
    </w:rPr>
  </w:style>
  <w:style w:type="paragraph" w:customStyle="1" w:styleId="45">
    <w:name w:val="列表段落1"/>
    <w:basedOn w:val="1"/>
    <w:qFormat/>
    <w:uiPriority w:val="34"/>
    <w:pPr>
      <w:spacing w:line="278" w:lineRule="auto"/>
      <w:ind w:left="720" w:firstLine="0" w:firstLineChars="0"/>
      <w:contextualSpacing/>
      <w:jc w:val="left"/>
    </w:pPr>
    <w:rPr>
      <w:rFonts w:asciiTheme="minorHAnsi" w:hAnsiTheme="minorHAnsi" w:eastAsiaTheme="minorEastAsia" w:cstheme="minorBidi"/>
      <w:sz w:val="22"/>
      <w:szCs w:val="24"/>
      <w14:ligatures w14:val="standardContextual"/>
    </w:rPr>
  </w:style>
  <w:style w:type="character" w:customStyle="1" w:styleId="46">
    <w:name w:val="明显强调1"/>
    <w:basedOn w:val="26"/>
    <w:qFormat/>
    <w:uiPriority w:val="21"/>
    <w:rPr>
      <w:i/>
      <w:iCs/>
      <w:color w:val="104862" w:themeColor="accent1" w:themeShade="BF"/>
    </w:rPr>
  </w:style>
  <w:style w:type="paragraph" w:customStyle="1" w:styleId="47">
    <w:name w:val="明显引用1"/>
    <w:basedOn w:val="1"/>
    <w:next w:val="1"/>
    <w:link w:val="48"/>
    <w:qFormat/>
    <w:uiPriority w:val="30"/>
    <w:pPr>
      <w:pBdr>
        <w:top w:val="single" w:color="0F4761" w:themeColor="accent1" w:themeShade="BF" w:sz="4" w:space="10"/>
        <w:bottom w:val="single" w:color="0F4761" w:themeColor="accent1" w:themeShade="BF" w:sz="4" w:space="10"/>
      </w:pBdr>
      <w:spacing w:before="360" w:after="360" w:line="278" w:lineRule="auto"/>
      <w:ind w:left="864" w:right="864" w:firstLine="0" w:firstLineChars="0"/>
      <w:jc w:val="center"/>
    </w:pPr>
    <w:rPr>
      <w:rFonts w:asciiTheme="minorHAnsi" w:hAnsiTheme="minorHAnsi" w:eastAsiaTheme="minorEastAsia" w:cstheme="minorBidi"/>
      <w:i/>
      <w:iCs/>
      <w:color w:val="104862" w:themeColor="accent1" w:themeShade="BF"/>
      <w:sz w:val="22"/>
      <w:szCs w:val="24"/>
      <w14:ligatures w14:val="standardContextual"/>
    </w:rPr>
  </w:style>
  <w:style w:type="character" w:customStyle="1" w:styleId="48">
    <w:name w:val="明显引用 字符"/>
    <w:basedOn w:val="26"/>
    <w:link w:val="47"/>
    <w:qFormat/>
    <w:uiPriority w:val="30"/>
    <w:rPr>
      <w:i/>
      <w:iCs/>
      <w:color w:val="104862" w:themeColor="accent1" w:themeShade="BF"/>
    </w:rPr>
  </w:style>
  <w:style w:type="character" w:customStyle="1" w:styleId="49">
    <w:name w:val="明显参考1"/>
    <w:basedOn w:val="26"/>
    <w:qFormat/>
    <w:uiPriority w:val="32"/>
    <w:rPr>
      <w:b/>
      <w:bCs/>
      <w:smallCaps/>
      <w:color w:val="104862" w:themeColor="accent1" w:themeShade="BF"/>
      <w:spacing w:val="5"/>
    </w:rPr>
  </w:style>
  <w:style w:type="character" w:customStyle="1" w:styleId="50">
    <w:name w:val="未处理的提及1"/>
    <w:basedOn w:val="26"/>
    <w:unhideWhenUsed/>
    <w:qFormat/>
    <w:uiPriority w:val="99"/>
    <w:rPr>
      <w:color w:val="605E5C"/>
      <w:shd w:val="clear" w:color="auto" w:fill="E1DFDD"/>
    </w:rPr>
  </w:style>
  <w:style w:type="character" w:customStyle="1" w:styleId="51">
    <w:name w:val="NormalCharacter"/>
    <w:semiHidden/>
    <w:qFormat/>
    <w:uiPriority w:val="0"/>
  </w:style>
  <w:style w:type="paragraph" w:customStyle="1" w:styleId="52">
    <w:name w:val="正文-未来城"/>
    <w:basedOn w:val="1"/>
    <w:link w:val="53"/>
    <w:qFormat/>
    <w:uiPriority w:val="0"/>
    <w:pPr>
      <w:ind w:firstLine="600"/>
    </w:pPr>
    <w:rPr>
      <w:bCs/>
      <w:kern w:val="0"/>
      <w:szCs w:val="32"/>
      <w:lang w:val="zh-CN"/>
    </w:rPr>
  </w:style>
  <w:style w:type="character" w:customStyle="1" w:styleId="53">
    <w:name w:val="正文-未来城 Char"/>
    <w:link w:val="52"/>
    <w:qFormat/>
    <w:uiPriority w:val="0"/>
    <w:rPr>
      <w:rFonts w:ascii="Times New Roman" w:hAnsi="Times New Roman" w:eastAsia="仿宋_GB2312" w:cs="Times New Roman"/>
      <w:bCs/>
      <w:kern w:val="0"/>
      <w:sz w:val="32"/>
      <w:szCs w:val="32"/>
      <w:lang w:val="zh-CN"/>
      <w14:ligatures w14:val="none"/>
    </w:rPr>
  </w:style>
  <w:style w:type="character" w:customStyle="1" w:styleId="54">
    <w:name w:val="页眉 字符"/>
    <w:basedOn w:val="26"/>
    <w:link w:val="17"/>
    <w:qFormat/>
    <w:uiPriority w:val="99"/>
    <w:rPr>
      <w:rFonts w:ascii="Times New Roman" w:hAnsi="Times New Roman" w:eastAsia="仿宋_GB2312" w:cs="Times New Roman"/>
      <w:sz w:val="18"/>
      <w:szCs w:val="18"/>
      <w14:ligatures w14:val="none"/>
    </w:rPr>
  </w:style>
  <w:style w:type="character" w:customStyle="1" w:styleId="55">
    <w:name w:val="页脚 字符"/>
    <w:basedOn w:val="26"/>
    <w:link w:val="16"/>
    <w:qFormat/>
    <w:uiPriority w:val="99"/>
    <w:rPr>
      <w:rFonts w:ascii="Times New Roman" w:hAnsi="Times New Roman" w:eastAsia="仿宋_GB2312" w:cs="Times New Roman"/>
      <w:sz w:val="18"/>
      <w:szCs w:val="18"/>
      <w14:ligatures w14:val="none"/>
    </w:rPr>
  </w:style>
  <w:style w:type="character" w:customStyle="1" w:styleId="56">
    <w:name w:val="脚注文本 字符"/>
    <w:basedOn w:val="26"/>
    <w:link w:val="20"/>
    <w:qFormat/>
    <w:uiPriority w:val="99"/>
    <w:rPr>
      <w:rFonts w:ascii="宋体" w:hAnsi="宋体" w:eastAsia="宋体" w:cs="Times New Roman"/>
      <w:sz w:val="18"/>
      <w14:ligatures w14:val="none"/>
    </w:rPr>
  </w:style>
  <w:style w:type="character" w:customStyle="1" w:styleId="57">
    <w:name w:val="纯文本 字符"/>
    <w:basedOn w:val="26"/>
    <w:link w:val="2"/>
    <w:qFormat/>
    <w:uiPriority w:val="0"/>
    <w:rPr>
      <w:rFonts w:ascii="宋体" w:hAnsi="Courier New" w:eastAsia="仿宋_GB2312"/>
      <w:sz w:val="32"/>
      <w14:ligatures w14:val="none"/>
    </w:rPr>
  </w:style>
  <w:style w:type="character" w:customStyle="1" w:styleId="58">
    <w:name w:val="正文文本 字符"/>
    <w:basedOn w:val="26"/>
    <w:link w:val="14"/>
    <w:qFormat/>
    <w:uiPriority w:val="0"/>
    <w:rPr>
      <w:rFonts w:ascii="仿宋_GB2312" w:hAnsi="Times New Roman" w:eastAsia="仿宋_GB2312" w:cs="Times New Roman"/>
      <w:sz w:val="32"/>
      <w14:ligatures w14:val="none"/>
    </w:rPr>
  </w:style>
  <w:style w:type="table" w:customStyle="1" w:styleId="59">
    <w:name w:val="无格式表格 21"/>
    <w:basedOn w:val="24"/>
    <w:qFormat/>
    <w:uiPriority w:val="42"/>
    <w:tblPr>
      <w:tblBorders>
        <w:top w:val="single" w:color="7E7E7E" w:themeColor="text1" w:themeTint="80" w:sz="4" w:space="0"/>
        <w:bottom w:val="single" w:color="7E7E7E" w:themeColor="text1" w:themeTint="80" w:sz="4" w:space="0"/>
      </w:tblBorders>
    </w:tblPr>
    <w:tblStylePr w:type="firstRow">
      <w:rPr>
        <w:b/>
        <w:bCs/>
      </w:rPr>
      <w:tblPr/>
      <w:tcPr>
        <w:tcBorders>
          <w:bottom w:val="single" w:color="7E7E7E" w:themeColor="text1" w:themeTint="80" w:sz="4" w:space="0"/>
        </w:tcBorders>
      </w:tcPr>
    </w:tblStylePr>
    <w:tblStylePr w:type="lastRow">
      <w:rPr>
        <w:b/>
        <w:bCs/>
      </w:rPr>
      <w:tblPr/>
      <w:tcPr>
        <w:tcBorders>
          <w:top w:val="single" w:color="7E7E7E" w:themeColor="text1" w:themeTint="80" w:sz="4" w:space="0"/>
        </w:tcBorders>
      </w:tcPr>
    </w:tblStylePr>
    <w:tblStylePr w:type="firstCol">
      <w:rPr>
        <w:b/>
        <w:bCs/>
      </w:rPr>
    </w:tblStylePr>
    <w:tblStylePr w:type="lastCol">
      <w:rPr>
        <w:b/>
        <w:bCs/>
      </w:rPr>
    </w:tblStylePr>
    <w:tblStylePr w:type="band1Vert">
      <w:tblPr/>
      <w:tcPr>
        <w:tcBorders>
          <w:left w:val="single" w:color="7E7E7E" w:themeColor="text1" w:themeTint="80" w:sz="4" w:space="0"/>
          <w:right w:val="single" w:color="7E7E7E" w:themeColor="text1" w:themeTint="80" w:sz="4" w:space="0"/>
        </w:tcBorders>
      </w:tcPr>
    </w:tblStylePr>
    <w:tblStylePr w:type="band2Vert">
      <w:tblPr/>
      <w:tcPr>
        <w:tcBorders>
          <w:left w:val="single" w:color="7E7E7E" w:themeColor="text1" w:themeTint="80" w:sz="4" w:space="0"/>
          <w:right w:val="single" w:color="7E7E7E" w:themeColor="text1" w:themeTint="80" w:sz="4" w:space="0"/>
        </w:tcBorders>
      </w:tcPr>
    </w:tblStylePr>
    <w:tblStylePr w:type="band1Horz">
      <w:tblPr/>
      <w:tcPr>
        <w:tcBorders>
          <w:top w:val="single" w:color="7E7E7E" w:themeColor="text1" w:themeTint="80" w:sz="4" w:space="0"/>
          <w:bottom w:val="single" w:color="7E7E7E" w:themeColor="text1" w:themeTint="80" w:sz="4" w:space="0"/>
        </w:tcBorders>
      </w:tcPr>
    </w:tblStylePr>
  </w:style>
  <w:style w:type="paragraph" w:customStyle="1" w:styleId="60">
    <w:name w:val="TOC 标题1"/>
    <w:basedOn w:val="3"/>
    <w:next w:val="1"/>
    <w:unhideWhenUsed/>
    <w:qFormat/>
    <w:uiPriority w:val="39"/>
    <w:pPr>
      <w:widowControl/>
      <w:spacing w:before="240" w:after="0" w:line="259" w:lineRule="auto"/>
      <w:outlineLvl w:val="9"/>
    </w:pPr>
    <w:rPr>
      <w:kern w:val="0"/>
      <w:sz w:val="32"/>
      <w:szCs w:val="32"/>
      <w14:ligatures w14:val="none"/>
    </w:rPr>
  </w:style>
  <w:style w:type="paragraph" w:customStyle="1" w:styleId="61">
    <w:name w:val="修订1"/>
    <w:hidden/>
    <w:unhideWhenUsed/>
    <w:qFormat/>
    <w:uiPriority w:val="99"/>
    <w:pPr>
      <w:spacing w:after="160" w:line="278" w:lineRule="auto"/>
    </w:pPr>
    <w:rPr>
      <w:rFonts w:ascii="Times New Roman" w:hAnsi="Times New Roman" w:eastAsia="仿宋_GB2312" w:cs="Times New Roman"/>
      <w:kern w:val="2"/>
      <w:sz w:val="32"/>
      <w:szCs w:val="22"/>
      <w:lang w:val="en-US" w:eastAsia="zh-CN" w:bidi="ar-SA"/>
    </w:rPr>
  </w:style>
  <w:style w:type="paragraph" w:customStyle="1" w:styleId="62">
    <w:name w:val="样式6-正文"/>
    <w:basedOn w:val="1"/>
    <w:link w:val="63"/>
    <w:qFormat/>
    <w:uiPriority w:val="0"/>
    <w:pPr>
      <w:spacing w:after="0"/>
      <w:ind w:firstLine="420"/>
    </w:pPr>
    <w:rPr>
      <w:rFonts w:ascii="仿宋_GB2312" w:hAnsi="仿宋_GB2312"/>
      <w:szCs w:val="24"/>
    </w:rPr>
  </w:style>
  <w:style w:type="character" w:customStyle="1" w:styleId="63">
    <w:name w:val="样式6-正文 Char1"/>
    <w:link w:val="62"/>
    <w:qFormat/>
    <w:uiPriority w:val="0"/>
    <w:rPr>
      <w:rFonts w:ascii="仿宋_GB2312" w:hAnsi="仿宋_GB2312" w:eastAsia="仿宋_GB2312"/>
      <w:kern w:val="2"/>
      <w:sz w:val="32"/>
      <w:szCs w:val="24"/>
    </w:rPr>
  </w:style>
  <w:style w:type="paragraph" w:customStyle="1" w:styleId="64">
    <w:name w:val="修订2"/>
    <w:hidden/>
    <w:unhideWhenUsed/>
    <w:qFormat/>
    <w:uiPriority w:val="99"/>
    <w:pPr>
      <w:spacing w:after="0" w:line="240" w:lineRule="auto"/>
    </w:pPr>
    <w:rPr>
      <w:rFonts w:ascii="Times New Roman" w:hAnsi="Times New Roman" w:eastAsia="仿宋_GB2312" w:cs="Times New Roman"/>
      <w:kern w:val="2"/>
      <w:sz w:val="32"/>
      <w:szCs w:val="22"/>
      <w:lang w:val="en-US" w:eastAsia="zh-CN" w:bidi="ar-SA"/>
    </w:rPr>
  </w:style>
  <w:style w:type="character" w:customStyle="1" w:styleId="65">
    <w:name w:val="未处理的提及2"/>
    <w:basedOn w:val="26"/>
    <w:unhideWhenUsed/>
    <w:qFormat/>
    <w:uiPriority w:val="99"/>
    <w:rPr>
      <w:color w:val="605E5C"/>
      <w:shd w:val="clear" w:color="auto" w:fill="E1DFDD"/>
    </w:rPr>
  </w:style>
  <w:style w:type="paragraph" w:customStyle="1" w:styleId="66">
    <w:name w:val="Revision"/>
    <w:hidden/>
    <w:unhideWhenUsed/>
    <w:qFormat/>
    <w:uiPriority w:val="99"/>
    <w:pPr>
      <w:spacing w:after="0" w:line="240" w:lineRule="auto"/>
    </w:pPr>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2E323E7F-1C13-AE43-A52A-81DE2EDB20E5}">
  <ds:schemaRefs/>
</ds:datastoreItem>
</file>

<file path=docProps/app.xml><?xml version="1.0" encoding="utf-8"?>
<Properties xmlns="http://schemas.openxmlformats.org/officeDocument/2006/extended-properties" xmlns:vt="http://schemas.openxmlformats.org/officeDocument/2006/docPropsVTypes">
  <Template>Normal</Template>
  <Pages>19</Pages>
  <Words>1573</Words>
  <Characters>8971</Characters>
  <Lines>74</Lines>
  <Paragraphs>21</Paragraphs>
  <TotalTime>0</TotalTime>
  <ScaleCrop>false</ScaleCrop>
  <LinksUpToDate>false</LinksUpToDate>
  <CharactersWithSpaces>10523</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2026-10-30T16:17:00Z</dcterms:created>
  <dc:creator>l liu</dc:creator>
  <cp:lastModifiedBy>HIGC</cp:lastModifiedBy>
  <cp:lastPrinted>2026-10-16T22:35:00Z</cp:lastPrinted>
  <dcterms:modified xsi:type="dcterms:W3CDTF">2026-11-02T15:49:24Z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eyJoZGlkIjoiMDljYzUzMWQ4OWI0YzBkYjYzMDRhZTY5ZjZkYmFmYTgiLCJ1c2VySWQiOiI0MDMyNjc2MjgifQ==</vt:lpwstr>
  </property>
  <property fmtid="{D5CDD505-2E9C-101B-9397-08002B2CF9AE}" pid="3" name="KSOProductBuildVer">
    <vt:lpwstr>2052-12.8.2.20327</vt:lpwstr>
  </property>
  <property fmtid="{D5CDD505-2E9C-101B-9397-08002B2CF9AE}" pid="4" name="ICV">
    <vt:lpwstr>22BE43C9E721476CAAA3195A28B4D88D_13</vt:lpwstr>
  </property>
</Properties>
</file>