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after="0" w:line="560" w:lineRule="exact"/>
        <w:ind w:left="0" w:leftChars="0"/>
        <w:rPr>
          <w:rFonts w:ascii="黑体" w:eastAsia="黑体" w:cs="方正黑体_GBK"/>
          <w:sz w:val="32"/>
          <w:szCs w:val="32"/>
        </w:rPr>
      </w:pPr>
      <w:r>
        <w:rPr>
          <w:rFonts w:hint="eastAsia" w:ascii="黑体" w:eastAsia="黑体" w:cs="方正黑体_GBK"/>
          <w:sz w:val="32"/>
          <w:szCs w:val="32"/>
        </w:rPr>
        <w:t>附件2</w:t>
      </w:r>
    </w:p>
    <w:p>
      <w:pPr>
        <w:spacing w:after="0" w:line="560" w:lineRule="exact"/>
      </w:pPr>
    </w:p>
    <w:p>
      <w:pPr>
        <w:spacing w:after="0" w:line="560" w:lineRule="exact"/>
        <w:jc w:val="center"/>
        <w:outlineLvl w:val="0"/>
        <w:rPr>
          <w:rFonts w:ascii="Times New Roman" w:hAnsi="Times New Roman" w:eastAsia="方正小标宋简体" w:cs="仿宋_GB2312"/>
          <w:kern w:val="44"/>
          <w:sz w:val="44"/>
          <w:szCs w:val="44"/>
          <w:shd w:val="clear" w:color="auto" w:fill="FFFFFF"/>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《昌平区“十五五”时期能源高质量发展规划（征求意见稿）》</w:t>
      </w:r>
      <w:r>
        <w:rPr>
          <w:rFonts w:ascii="Times New Roman" w:hAnsi="Times New Roman" w:eastAsia="方正小标宋简体" w:cs="Times New Roman"/>
          <w:sz w:val="44"/>
          <w:szCs w:val="44"/>
        </w:rPr>
        <w:t>的起草说明</w:t>
      </w:r>
    </w:p>
    <w:p>
      <w:pPr>
        <w:pStyle w:val="9"/>
        <w:spacing w:after="0" w:line="560" w:lineRule="exact"/>
        <w:rPr>
          <w:rFonts w:ascii="Times New Roman" w:hAnsi="Times New Roman" w:eastAsia="方正小标宋简体" w:cs="仿宋_GB2312"/>
          <w:kern w:val="44"/>
          <w:sz w:val="44"/>
          <w:szCs w:val="44"/>
          <w:shd w:val="clear" w:color="auto" w:fill="FFFFFF"/>
        </w:rPr>
      </w:pPr>
    </w:p>
    <w:p>
      <w:pPr>
        <w:spacing w:after="0" w:line="560" w:lineRule="exact"/>
        <w:ind w:firstLine="640" w:firstLineChars="200"/>
        <w:rPr>
          <w:rFonts w:hint="eastAsia" w:ascii="黑体" w:hAnsi="黑体" w:eastAsia="黑体" w:cs="黑体"/>
          <w:sz w:val="32"/>
          <w:szCs w:val="32"/>
        </w:rPr>
      </w:pPr>
      <w:bookmarkStart w:id="0" w:name="OLE_LINK2"/>
      <w:r>
        <w:rPr>
          <w:rFonts w:hint="eastAsia" w:ascii="黑体" w:hAnsi="黑体" w:eastAsia="黑体" w:cs="黑体"/>
          <w:sz w:val="32"/>
          <w:szCs w:val="32"/>
        </w:rPr>
        <w:t>一、起草背景</w:t>
      </w:r>
    </w:p>
    <w:p>
      <w:pPr>
        <w:spacing w:after="0" w:line="56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以习近平同志为核心的党中央高度重视能源发展，作出加快规划建设新型能源体系、建设能源强国的重大部署。《中华人民共和国国民经济和社会发展第十五个五年规划纲要》提出，“十五五”时期要初步建成清洁低碳安全高效的新型能源体系。国家发展改革委、国家能源局印发的《新型能源体系建设“十五五”规划》，明确了“十五五”时期的总体目标和任务安排。同时，“十五五”时期也是我国实现碳达峰的关键期、攻坚期，国务院印发的《“十五五”碳达峰行动方案》提出，要发挥碳达峰碳中和战略牵引作用，更好统筹保障能源安全和经济社会发展，以能源绿色低碳转型为关键，深入推进产业绿色化、低碳化，更高水平、更高质量做好节能降碳工作。北京市对标国家政策体系，持续推进新型能源体系建设和“双碳”工作，取得积极成效。</w:t>
      </w:r>
    </w:p>
    <w:p>
      <w:pPr>
        <w:spacing w:after="0" w:line="560" w:lineRule="exact"/>
        <w:ind w:firstLine="640" w:firstLineChars="200"/>
        <w:rPr>
          <w:rFonts w:hint="eastAsia" w:ascii="仿宋_GB2312" w:hAnsi="黑体" w:eastAsia="仿宋_GB2312" w:cs="黑体"/>
          <w:sz w:val="32"/>
          <w:szCs w:val="32"/>
          <w:highlight w:val="yellow"/>
        </w:rPr>
      </w:pPr>
      <w:r>
        <w:rPr>
          <w:rFonts w:hint="eastAsia" w:ascii="仿宋_GB2312" w:hAnsi="黑体" w:eastAsia="仿宋_GB2312" w:cs="黑体"/>
          <w:sz w:val="32"/>
          <w:szCs w:val="32"/>
        </w:rPr>
        <w:t>为深入贯彻落实国家及北京市关于能源发展和碳达峰碳中和的工作要求，</w:t>
      </w:r>
      <w:bookmarkStart w:id="1" w:name="OLE_LINK1"/>
      <w:r>
        <w:rPr>
          <w:rFonts w:hint="eastAsia" w:ascii="仿宋_GB2312" w:hAnsi="黑体" w:eastAsia="仿宋_GB2312" w:cs="黑体"/>
          <w:sz w:val="32"/>
          <w:szCs w:val="32"/>
        </w:rPr>
        <w:t>全力推动“十五五”时期昌平区能源高质量发展，按照区委区政府相关工作部署，区发展改革委牵头起草了《昌平区“十五五”时期能源高质量发展规划（征求意见稿）》</w:t>
      </w:r>
      <w:bookmarkEnd w:id="1"/>
      <w:r>
        <w:rPr>
          <w:rFonts w:hint="eastAsia" w:ascii="仿宋_GB2312" w:hAnsi="黑体" w:eastAsia="仿宋_GB2312" w:cs="黑体"/>
          <w:sz w:val="32"/>
          <w:szCs w:val="32"/>
        </w:rPr>
        <w:t>（以下简称《规划》）。</w:t>
      </w:r>
    </w:p>
    <w:p>
      <w:pPr>
        <w:spacing w:after="0"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二、起草过程</w:t>
      </w:r>
    </w:p>
    <w:p>
      <w:pPr>
        <w:spacing w:after="0" w:line="56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为做好《规划》起草工作，区发展改革委会同区内相关职能部门，聚焦能源消费、能源供给、先进能源产业、能源管理体制机制等重点方向，系统梳理“十四五”时期能源发展基础，认真研判“十五五”时期能源供需和碳排放形势以及先进能源产业发展趋势，围绕国家和北京市“十五五”时期能源和“双碳”领域相关部署，立足昌平区资源禀赋与经济社会发展实际，研究形成《规划》，并广泛征求吸纳各相关单位意见建议。</w:t>
      </w:r>
    </w:p>
    <w:p>
      <w:pPr>
        <w:spacing w:after="0"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三、主要内容</w:t>
      </w:r>
    </w:p>
    <w:p>
      <w:pPr>
        <w:spacing w:after="0" w:line="56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《规划》包括总体要求、重点任务、实施保障三个部分。</w:t>
      </w:r>
    </w:p>
    <w:p>
      <w:pPr>
        <w:spacing w:after="0"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（一）总体要求</w:t>
      </w:r>
    </w:p>
    <w:p>
      <w:pPr>
        <w:spacing w:after="0" w:line="56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明确“十五五”时期昌平区能源高质量发展的指导思想和主要目标。到2030年，全区能源绿色低碳转型实现新突破，能源利用效率持续提升，碳排放强度稳步下降，顺利实现碳达峰；基本形成安全韧性低碳智慧的能源供应体系；绿色低碳技术研发和推广应用取得新进展，先进能源产业规模持续壮大；能源管理体制机制进一步完善，更好满足人民群众美好生活用能需要。同时，《规划》设置了单位地区生产总值二氧化碳排放下降、非化石能源消费比重、本地可再生能源发电装机、供电可靠率、先进能源</w:t>
      </w:r>
      <w:bookmarkStart w:id="2" w:name="_GoBack"/>
      <w:r>
        <w:rPr>
          <w:rFonts w:hint="eastAsia" w:ascii="仿宋_GB2312" w:hAnsi="黑体" w:eastAsia="仿宋_GB2312" w:cs="黑体"/>
          <w:sz w:val="32"/>
          <w:szCs w:val="32"/>
        </w:rPr>
        <w:t>产业收入5项主要指标。</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（二）重点任务</w:t>
      </w:r>
    </w:p>
    <w:bookmarkEnd w:id="2"/>
    <w:p>
      <w:pPr>
        <w:spacing w:after="0" w:line="560" w:lineRule="exact"/>
        <w:ind w:firstLine="640"/>
        <w:rPr>
          <w:rFonts w:hint="eastAsia" w:ascii="仿宋_GB2312" w:hAnsi="黑体" w:eastAsia="仿宋_GB2312" w:cs="黑体"/>
          <w:sz w:val="32"/>
          <w:szCs w:val="32"/>
        </w:rPr>
      </w:pPr>
      <w:r>
        <w:rPr>
          <w:rFonts w:ascii="仿宋_GB2312" w:hAnsi="黑体" w:eastAsia="仿宋_GB2312" w:cs="黑体"/>
          <w:sz w:val="32"/>
          <w:szCs w:val="32"/>
        </w:rPr>
        <w:t>共设置4个方面16项任务。</w:t>
      </w:r>
    </w:p>
    <w:p>
      <w:pPr>
        <w:spacing w:after="0" w:line="560" w:lineRule="exact"/>
        <w:ind w:firstLine="640"/>
        <w:rPr>
          <w:rFonts w:ascii="仿宋_GB2312" w:hAnsi="黑体" w:eastAsia="仿宋_GB2312" w:cs="黑体"/>
          <w:sz w:val="32"/>
          <w:szCs w:val="32"/>
          <w:highlight w:val="none"/>
        </w:rPr>
      </w:pPr>
      <w:r>
        <w:rPr>
          <w:rFonts w:hint="eastAsia" w:ascii="仿宋_GB2312" w:hAnsi="黑体" w:eastAsia="仿宋_GB2312" w:cs="黑体"/>
          <w:sz w:val="32"/>
          <w:szCs w:val="32"/>
          <w:highlight w:val="none"/>
        </w:rPr>
        <w:t>一是</w:t>
      </w:r>
      <w:r>
        <w:rPr>
          <w:rFonts w:ascii="仿宋_GB2312" w:hAnsi="黑体" w:eastAsia="仿宋_GB2312" w:cs="黑体"/>
          <w:sz w:val="32"/>
          <w:szCs w:val="32"/>
          <w:highlight w:val="none"/>
        </w:rPr>
        <w:t>更高水平更高质量推动节能降碳</w:t>
      </w:r>
      <w:r>
        <w:rPr>
          <w:rFonts w:hint="eastAsia" w:ascii="仿宋_GB2312" w:hAnsi="黑体" w:eastAsia="仿宋_GB2312" w:cs="黑体"/>
          <w:sz w:val="32"/>
          <w:szCs w:val="32"/>
          <w:highlight w:val="none"/>
        </w:rPr>
        <w:t>。聚焦能源消费侧，从城乡建设、交通运输、产业发展、重点单位、全民行动等重点领域和方向提出节能降碳主要任务。具体包括新建建筑、既有建筑节能降碳，完善绿色交通运输体系，优化交通运输结构及能源结构，推动产业结构向低碳化发展，大力发展循环经济，推动重点用能单位和碳排放单位落实节能降碳责任，深入开展绿色低碳全民行动等任务安排。</w:t>
      </w:r>
    </w:p>
    <w:p>
      <w:pPr>
        <w:spacing w:after="0" w:line="560" w:lineRule="exact"/>
        <w:ind w:firstLine="640"/>
        <w:rPr>
          <w:rFonts w:ascii="仿宋_GB2312" w:hAnsi="黑体" w:eastAsia="仿宋_GB2312" w:cs="黑体"/>
          <w:sz w:val="32"/>
          <w:szCs w:val="32"/>
          <w:highlight w:val="none"/>
        </w:rPr>
      </w:pPr>
      <w:r>
        <w:rPr>
          <w:rFonts w:hint="eastAsia" w:ascii="仿宋_GB2312" w:hAnsi="黑体" w:eastAsia="仿宋_GB2312" w:cs="黑体"/>
          <w:sz w:val="32"/>
          <w:szCs w:val="32"/>
          <w:highlight w:val="none"/>
        </w:rPr>
        <w:t>二是</w:t>
      </w:r>
      <w:r>
        <w:rPr>
          <w:rFonts w:ascii="仿宋_GB2312" w:hAnsi="黑体" w:eastAsia="仿宋_GB2312" w:cs="黑体"/>
          <w:sz w:val="32"/>
          <w:szCs w:val="32"/>
          <w:highlight w:val="none"/>
        </w:rPr>
        <w:t>构建安全低碳能源供应体系</w:t>
      </w:r>
      <w:r>
        <w:rPr>
          <w:rFonts w:hint="eastAsia" w:ascii="仿宋_GB2312" w:hAnsi="黑体" w:eastAsia="仿宋_GB2312" w:cs="黑体"/>
          <w:sz w:val="32"/>
          <w:szCs w:val="32"/>
          <w:highlight w:val="none"/>
        </w:rPr>
        <w:t>。聚焦能源供给侧，从</w:t>
      </w:r>
      <w:r>
        <w:rPr>
          <w:rFonts w:ascii="仿宋_GB2312" w:hAnsi="黑体" w:eastAsia="仿宋_GB2312" w:cs="黑体"/>
          <w:sz w:val="32"/>
          <w:szCs w:val="32"/>
          <w:highlight w:val="none"/>
        </w:rPr>
        <w:t>发展可再生能源</w:t>
      </w:r>
      <w:r>
        <w:rPr>
          <w:rFonts w:hint="eastAsia" w:ascii="仿宋_GB2312" w:hAnsi="黑体" w:eastAsia="仿宋_GB2312" w:cs="黑体"/>
          <w:sz w:val="32"/>
          <w:szCs w:val="32"/>
          <w:highlight w:val="none"/>
        </w:rPr>
        <w:t>，打造清洁低碳安全高效的供电、供气、供热体系，强化能源安全运行、智慧运行能力等方向提出主要工作任务。具体包括推动第五立面光伏规模化、高水平应用，推进风电项目建设，优化电网结构，供热领域低碳转型，保障清洁油气可靠供应，以及强化能源安全运行管理等</w:t>
      </w:r>
      <w:r>
        <w:rPr>
          <w:rFonts w:ascii="仿宋_GB2312" w:hAnsi="黑体" w:eastAsia="仿宋_GB2312" w:cs="黑体"/>
          <w:sz w:val="32"/>
          <w:szCs w:val="32"/>
          <w:highlight w:val="none"/>
        </w:rPr>
        <w:t>任务</w:t>
      </w:r>
      <w:r>
        <w:rPr>
          <w:rFonts w:hint="eastAsia" w:ascii="仿宋_GB2312" w:hAnsi="黑体" w:eastAsia="仿宋_GB2312" w:cs="黑体"/>
          <w:sz w:val="32"/>
          <w:szCs w:val="32"/>
          <w:highlight w:val="none"/>
        </w:rPr>
        <w:t>安排。</w:t>
      </w:r>
    </w:p>
    <w:p>
      <w:pPr>
        <w:spacing w:after="0" w:line="560" w:lineRule="exact"/>
        <w:ind w:firstLine="640"/>
        <w:rPr>
          <w:rFonts w:ascii="仿宋_GB2312" w:hAnsi="黑体" w:eastAsia="仿宋_GB2312" w:cs="黑体"/>
          <w:sz w:val="32"/>
          <w:szCs w:val="32"/>
          <w:highlight w:val="none"/>
        </w:rPr>
      </w:pPr>
      <w:r>
        <w:rPr>
          <w:rFonts w:hint="eastAsia" w:ascii="仿宋_GB2312" w:hAnsi="黑体" w:eastAsia="仿宋_GB2312" w:cs="黑体"/>
          <w:sz w:val="32"/>
          <w:szCs w:val="32"/>
          <w:highlight w:val="none"/>
        </w:rPr>
        <w:t>三是</w:t>
      </w:r>
      <w:r>
        <w:rPr>
          <w:rFonts w:ascii="仿宋_GB2312" w:hAnsi="黑体" w:eastAsia="仿宋_GB2312" w:cs="黑体"/>
          <w:sz w:val="32"/>
          <w:szCs w:val="32"/>
          <w:highlight w:val="none"/>
        </w:rPr>
        <w:t>做优做强先进能源产业</w:t>
      </w:r>
      <w:r>
        <w:rPr>
          <w:rFonts w:hint="eastAsia" w:ascii="仿宋_GB2312" w:hAnsi="黑体" w:eastAsia="仿宋_GB2312" w:cs="黑体"/>
          <w:sz w:val="32"/>
          <w:szCs w:val="32"/>
          <w:highlight w:val="none"/>
        </w:rPr>
        <w:t>。聚焦先进能源技术和产业，从打造产业高地，开展低碳零碳示范，加强先进能源技术创新等方面提出主要工作任务。具体包括强化先进能源产业集聚，促进氢能产业高质量发展，拓展低碳技术应用，在园区、交通运输、大型活动等场景开展低碳零碳示范，用好人才、科技资源打造先进能源技术创新高地等任务安排。</w:t>
      </w:r>
    </w:p>
    <w:p>
      <w:pPr>
        <w:spacing w:after="0" w:line="560" w:lineRule="exact"/>
        <w:ind w:firstLine="640"/>
        <w:rPr>
          <w:rFonts w:ascii="仿宋_GB2312" w:hAnsi="黑体" w:eastAsia="仿宋_GB2312" w:cs="黑体"/>
          <w:sz w:val="32"/>
          <w:szCs w:val="32"/>
          <w:highlight w:val="none"/>
        </w:rPr>
      </w:pPr>
      <w:r>
        <w:rPr>
          <w:rFonts w:hint="eastAsia" w:ascii="仿宋_GB2312" w:hAnsi="黑体" w:eastAsia="仿宋_GB2312" w:cs="黑体"/>
          <w:sz w:val="32"/>
          <w:szCs w:val="32"/>
          <w:highlight w:val="none"/>
        </w:rPr>
        <w:t>四是</w:t>
      </w:r>
      <w:r>
        <w:rPr>
          <w:rFonts w:ascii="仿宋_GB2312" w:hAnsi="黑体" w:eastAsia="仿宋_GB2312" w:cs="黑体"/>
          <w:sz w:val="32"/>
          <w:szCs w:val="32"/>
          <w:highlight w:val="none"/>
        </w:rPr>
        <w:t>完善能源管理体制机制</w:t>
      </w:r>
      <w:r>
        <w:rPr>
          <w:rFonts w:hint="eastAsia" w:ascii="仿宋_GB2312" w:hAnsi="黑体" w:eastAsia="仿宋_GB2312" w:cs="黑体"/>
          <w:sz w:val="32"/>
          <w:szCs w:val="32"/>
          <w:highlight w:val="none"/>
        </w:rPr>
        <w:t>。从体制机制完善、能源领域交流合作方面提出主要工作任务。具体包括推动能耗双控向碳排放双控全面转型，高质量做好能源管理和服务，加强能源绿色转型的国际国内交流合作等任务安排。</w:t>
      </w:r>
    </w:p>
    <w:p>
      <w:pPr>
        <w:spacing w:after="0"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（三）实施保障</w:t>
      </w:r>
    </w:p>
    <w:p>
      <w:pPr>
        <w:spacing w:after="0" w:line="560" w:lineRule="exact"/>
        <w:ind w:firstLine="640" w:firstLineChars="200"/>
        <w:rPr>
          <w:rFonts w:hint="eastAsia" w:ascii="仿宋_GB2312" w:hAnsi="黑体" w:eastAsia="仿宋_GB2312" w:cs="黑体"/>
          <w:sz w:val="32"/>
          <w:szCs w:val="32"/>
          <w:highlight w:val="none"/>
        </w:rPr>
      </w:pPr>
      <w:r>
        <w:rPr>
          <w:rFonts w:hint="eastAsia" w:ascii="仿宋_GB2312" w:hAnsi="黑体" w:eastAsia="仿宋_GB2312" w:cs="黑体"/>
          <w:sz w:val="32"/>
          <w:szCs w:val="32"/>
          <w:highlight w:val="none"/>
        </w:rPr>
        <w:t>从强化统筹协调、加大政策支持、推进项目建设、加强监督考核4个方面，提出加强规划间协调衔接，将规划目标和重点任务细化分解，落实财政、金融等支持政策，有序推进能源领域重大项目建设，推动重点领域节能降碳改造和用能设备更新，开展规划实施情况动态监测等具体保障措施，确保工作任务落地见效。</w:t>
      </w:r>
      <w:bookmarkEnd w:id="0"/>
    </w:p>
    <w:sectPr>
      <w:footerReference r:id="rId3" w:type="default"/>
      <w:footerReference r:id="rId4" w:type="even"/>
      <w:pgSz w:w="11906" w:h="16838"/>
      <w:pgMar w:top="2098" w:right="1531" w:bottom="1984"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Calibri Light">
    <w:altName w:val="Calibri"/>
    <w:panose1 w:val="020F0302020204030204"/>
    <w:charset w:val="00"/>
    <w:family w:val="swiss"/>
    <w:pitch w:val="default"/>
    <w:sig w:usb0="00000000" w:usb1="00000000" w:usb2="00000009" w:usb3="00000000" w:csb0="000001FF" w:csb1="0000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黑体_GBK">
    <w:altName w:val="微软雅黑"/>
    <w:panose1 w:val="03000509000000000000"/>
    <w:charset w:val="86"/>
    <w:family w:val="script"/>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wordWrap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1</w:t>
    </w:r>
    <w:r>
      <w:rPr>
        <w:rFonts w:asciiTheme="minorEastAsia" w:hAnsiTheme="minorEastAsia"/>
        <w:sz w:val="28"/>
        <w:szCs w:val="28"/>
      </w:rPr>
      <w:fldChar w:fldCharType="end"/>
    </w:r>
    <w:r>
      <w:rPr>
        <w:rFonts w:hint="eastAsia" w:asciiTheme="minorEastAsia" w:hAnsiTheme="minorEastAsia"/>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280" w:firstLineChars="100"/>
    </w:pP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hint="eastAsia" w:asciiTheme="minorEastAsia" w:hAnsiTheme="minorEastAsia"/>
        <w:sz w:val="28"/>
        <w:szCs w:val="28"/>
      </w:rPr>
      <w:t>3</w:t>
    </w:r>
    <w:r>
      <w:rPr>
        <w:rFonts w:asciiTheme="minorEastAsia" w:hAnsiTheme="minorEastAsia"/>
        <w:sz w:val="28"/>
        <w:szCs w:val="28"/>
      </w:rPr>
      <w:fldChar w:fldCharType="end"/>
    </w:r>
    <w:r>
      <w:rPr>
        <w:rFonts w:hint="eastAsia" w:asciiTheme="minorEastAsia" w:hAnsiTheme="minorEastAsia"/>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384DFD"/>
    <w:rsid w:val="00016601"/>
    <w:rsid w:val="00017F38"/>
    <w:rsid w:val="00026FA5"/>
    <w:rsid w:val="00053E12"/>
    <w:rsid w:val="00064C25"/>
    <w:rsid w:val="0006670F"/>
    <w:rsid w:val="00083B7F"/>
    <w:rsid w:val="000F0FA1"/>
    <w:rsid w:val="000F79E3"/>
    <w:rsid w:val="00105023"/>
    <w:rsid w:val="001107A0"/>
    <w:rsid w:val="001143B6"/>
    <w:rsid w:val="00116495"/>
    <w:rsid w:val="00117CC5"/>
    <w:rsid w:val="001246BC"/>
    <w:rsid w:val="001316D8"/>
    <w:rsid w:val="00132263"/>
    <w:rsid w:val="001402A9"/>
    <w:rsid w:val="00142013"/>
    <w:rsid w:val="0016314F"/>
    <w:rsid w:val="0017101F"/>
    <w:rsid w:val="001A5D73"/>
    <w:rsid w:val="001B7B16"/>
    <w:rsid w:val="001C63A1"/>
    <w:rsid w:val="001E7B4A"/>
    <w:rsid w:val="0022290B"/>
    <w:rsid w:val="00245B31"/>
    <w:rsid w:val="00245F6E"/>
    <w:rsid w:val="00252955"/>
    <w:rsid w:val="00261DDE"/>
    <w:rsid w:val="00271239"/>
    <w:rsid w:val="00271B37"/>
    <w:rsid w:val="00276CD1"/>
    <w:rsid w:val="00280645"/>
    <w:rsid w:val="002950DE"/>
    <w:rsid w:val="002A070F"/>
    <w:rsid w:val="002A3FF1"/>
    <w:rsid w:val="002F0DF1"/>
    <w:rsid w:val="002F531F"/>
    <w:rsid w:val="00311935"/>
    <w:rsid w:val="00322DE3"/>
    <w:rsid w:val="00364890"/>
    <w:rsid w:val="003A3CCD"/>
    <w:rsid w:val="003B5CF8"/>
    <w:rsid w:val="0040007A"/>
    <w:rsid w:val="00421425"/>
    <w:rsid w:val="00427456"/>
    <w:rsid w:val="00432E72"/>
    <w:rsid w:val="0044638E"/>
    <w:rsid w:val="004507AE"/>
    <w:rsid w:val="00474AD6"/>
    <w:rsid w:val="00490D21"/>
    <w:rsid w:val="0049157B"/>
    <w:rsid w:val="004B5F71"/>
    <w:rsid w:val="004C44D2"/>
    <w:rsid w:val="004C45EE"/>
    <w:rsid w:val="004D2FE1"/>
    <w:rsid w:val="004E44A0"/>
    <w:rsid w:val="004E5A68"/>
    <w:rsid w:val="004E6F77"/>
    <w:rsid w:val="00532075"/>
    <w:rsid w:val="00534E54"/>
    <w:rsid w:val="00537F03"/>
    <w:rsid w:val="005534B2"/>
    <w:rsid w:val="00565BD1"/>
    <w:rsid w:val="005A1D33"/>
    <w:rsid w:val="005B6B34"/>
    <w:rsid w:val="005C5FF2"/>
    <w:rsid w:val="00617BA1"/>
    <w:rsid w:val="00622A46"/>
    <w:rsid w:val="0063738F"/>
    <w:rsid w:val="006528BC"/>
    <w:rsid w:val="0065466F"/>
    <w:rsid w:val="006608B6"/>
    <w:rsid w:val="00674FE9"/>
    <w:rsid w:val="00681E6F"/>
    <w:rsid w:val="006940E3"/>
    <w:rsid w:val="006B7E03"/>
    <w:rsid w:val="006C759D"/>
    <w:rsid w:val="006E2002"/>
    <w:rsid w:val="00701C21"/>
    <w:rsid w:val="007027F2"/>
    <w:rsid w:val="00726272"/>
    <w:rsid w:val="00726767"/>
    <w:rsid w:val="007339D3"/>
    <w:rsid w:val="00745127"/>
    <w:rsid w:val="00785C0A"/>
    <w:rsid w:val="007932D9"/>
    <w:rsid w:val="007D55CD"/>
    <w:rsid w:val="00813E6E"/>
    <w:rsid w:val="00822319"/>
    <w:rsid w:val="00822ED4"/>
    <w:rsid w:val="00836BD7"/>
    <w:rsid w:val="00836C03"/>
    <w:rsid w:val="00853917"/>
    <w:rsid w:val="008774F2"/>
    <w:rsid w:val="00893CB4"/>
    <w:rsid w:val="00897B16"/>
    <w:rsid w:val="008A642E"/>
    <w:rsid w:val="008B1AC7"/>
    <w:rsid w:val="008C0A1F"/>
    <w:rsid w:val="008E51AE"/>
    <w:rsid w:val="00901721"/>
    <w:rsid w:val="00904CFF"/>
    <w:rsid w:val="0091521E"/>
    <w:rsid w:val="00921055"/>
    <w:rsid w:val="009274DF"/>
    <w:rsid w:val="009521D5"/>
    <w:rsid w:val="00970A1D"/>
    <w:rsid w:val="00971F1B"/>
    <w:rsid w:val="00973507"/>
    <w:rsid w:val="00985B1E"/>
    <w:rsid w:val="009914BF"/>
    <w:rsid w:val="00992FC0"/>
    <w:rsid w:val="009A7020"/>
    <w:rsid w:val="009B283B"/>
    <w:rsid w:val="009D1B7C"/>
    <w:rsid w:val="009D1EF4"/>
    <w:rsid w:val="009D37BA"/>
    <w:rsid w:val="009D6B2E"/>
    <w:rsid w:val="009E64F1"/>
    <w:rsid w:val="00A21017"/>
    <w:rsid w:val="00A30C73"/>
    <w:rsid w:val="00A479C4"/>
    <w:rsid w:val="00A53E6C"/>
    <w:rsid w:val="00A76A26"/>
    <w:rsid w:val="00AA1788"/>
    <w:rsid w:val="00AA2FD4"/>
    <w:rsid w:val="00AA5B65"/>
    <w:rsid w:val="00AC71D9"/>
    <w:rsid w:val="00AE1786"/>
    <w:rsid w:val="00B27FD6"/>
    <w:rsid w:val="00B303EF"/>
    <w:rsid w:val="00B60E6F"/>
    <w:rsid w:val="00BA6807"/>
    <w:rsid w:val="00BB7106"/>
    <w:rsid w:val="00BD1931"/>
    <w:rsid w:val="00BD353C"/>
    <w:rsid w:val="00BE10AF"/>
    <w:rsid w:val="00BE1C71"/>
    <w:rsid w:val="00BE36B6"/>
    <w:rsid w:val="00BF1AAE"/>
    <w:rsid w:val="00C42736"/>
    <w:rsid w:val="00C654E5"/>
    <w:rsid w:val="00C77CB0"/>
    <w:rsid w:val="00C83EA0"/>
    <w:rsid w:val="00C92532"/>
    <w:rsid w:val="00C9349A"/>
    <w:rsid w:val="00C9432D"/>
    <w:rsid w:val="00CA3D1F"/>
    <w:rsid w:val="00CA7FF2"/>
    <w:rsid w:val="00CC53C2"/>
    <w:rsid w:val="00CF2C4F"/>
    <w:rsid w:val="00CF3802"/>
    <w:rsid w:val="00D078C0"/>
    <w:rsid w:val="00D15B8D"/>
    <w:rsid w:val="00D15F67"/>
    <w:rsid w:val="00D46A63"/>
    <w:rsid w:val="00D50431"/>
    <w:rsid w:val="00D55058"/>
    <w:rsid w:val="00D610F9"/>
    <w:rsid w:val="00D62F5A"/>
    <w:rsid w:val="00D94FB8"/>
    <w:rsid w:val="00D963FB"/>
    <w:rsid w:val="00DA5408"/>
    <w:rsid w:val="00DB22F6"/>
    <w:rsid w:val="00DB28BB"/>
    <w:rsid w:val="00DC6F52"/>
    <w:rsid w:val="00DD4376"/>
    <w:rsid w:val="00E61A2E"/>
    <w:rsid w:val="00E6621A"/>
    <w:rsid w:val="00E714EA"/>
    <w:rsid w:val="00E76901"/>
    <w:rsid w:val="00E9261D"/>
    <w:rsid w:val="00E92A2A"/>
    <w:rsid w:val="00E93604"/>
    <w:rsid w:val="00EB6342"/>
    <w:rsid w:val="00EC0D89"/>
    <w:rsid w:val="00EC1178"/>
    <w:rsid w:val="00EE244B"/>
    <w:rsid w:val="00EE3676"/>
    <w:rsid w:val="00EF2011"/>
    <w:rsid w:val="00F05C68"/>
    <w:rsid w:val="00F15A60"/>
    <w:rsid w:val="00F34FA5"/>
    <w:rsid w:val="00F438D5"/>
    <w:rsid w:val="00F51F76"/>
    <w:rsid w:val="00F65D6E"/>
    <w:rsid w:val="00F90518"/>
    <w:rsid w:val="00FD690E"/>
    <w:rsid w:val="024E3B6A"/>
    <w:rsid w:val="04F749ED"/>
    <w:rsid w:val="080A1514"/>
    <w:rsid w:val="08844E22"/>
    <w:rsid w:val="08F22600"/>
    <w:rsid w:val="0D677A77"/>
    <w:rsid w:val="13421B62"/>
    <w:rsid w:val="15962639"/>
    <w:rsid w:val="188E21EF"/>
    <w:rsid w:val="1F384DFD"/>
    <w:rsid w:val="231106EF"/>
    <w:rsid w:val="24A25583"/>
    <w:rsid w:val="26A60202"/>
    <w:rsid w:val="26CE145D"/>
    <w:rsid w:val="27225ADA"/>
    <w:rsid w:val="28EF2FC6"/>
    <w:rsid w:val="2EB07836"/>
    <w:rsid w:val="310778DF"/>
    <w:rsid w:val="32130E41"/>
    <w:rsid w:val="34FE3693"/>
    <w:rsid w:val="36F17277"/>
    <w:rsid w:val="3763C387"/>
    <w:rsid w:val="386E4340"/>
    <w:rsid w:val="3F2807F8"/>
    <w:rsid w:val="41A75102"/>
    <w:rsid w:val="41AA567F"/>
    <w:rsid w:val="4B4E2A92"/>
    <w:rsid w:val="4BC12973"/>
    <w:rsid w:val="4D0C6B4D"/>
    <w:rsid w:val="505A77E4"/>
    <w:rsid w:val="5180107F"/>
    <w:rsid w:val="54D5124F"/>
    <w:rsid w:val="59BE699D"/>
    <w:rsid w:val="63A445B8"/>
    <w:rsid w:val="663568D1"/>
    <w:rsid w:val="66613505"/>
    <w:rsid w:val="6A1F767C"/>
    <w:rsid w:val="6EF80849"/>
    <w:rsid w:val="70194DCD"/>
    <w:rsid w:val="70AC7790"/>
    <w:rsid w:val="77486FBC"/>
    <w:rsid w:val="78471EFB"/>
    <w:rsid w:val="7BED588C"/>
    <w:rsid w:val="7E6A5C04"/>
    <w:rsid w:val="7ECD724F"/>
    <w:rsid w:val="7FF53CEF"/>
    <w:rsid w:val="9FBA381E"/>
    <w:rsid w:val="FBF76E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480" w:after="80"/>
      <w:jc w:val="left"/>
      <w:outlineLvl w:val="0"/>
    </w:pPr>
    <w:rPr>
      <w:rFonts w:ascii="等线 Light" w:hAnsi="等线 Light" w:eastAsia="等线 Light"/>
      <w:color w:val="0F4761"/>
      <w:sz w:val="48"/>
      <w:szCs w:val="48"/>
    </w:rPr>
  </w:style>
  <w:style w:type="paragraph" w:styleId="4">
    <w:name w:val="heading 2"/>
    <w:basedOn w:val="1"/>
    <w:next w:val="1"/>
    <w:unhideWhenUsed/>
    <w:qFormat/>
    <w:uiPriority w:val="0"/>
    <w:pPr>
      <w:keepNext/>
      <w:keepLines/>
      <w:spacing w:before="160" w:after="80"/>
      <w:jc w:val="left"/>
      <w:outlineLvl w:val="1"/>
    </w:pPr>
    <w:rPr>
      <w:rFonts w:ascii="等线 Light" w:hAnsi="等线 Light" w:eastAsia="等线 Light"/>
      <w:color w:val="0F4761"/>
      <w:sz w:val="40"/>
      <w:szCs w:val="40"/>
    </w:rPr>
  </w:style>
  <w:style w:type="paragraph" w:styleId="5">
    <w:name w:val="heading 3"/>
    <w:basedOn w:val="1"/>
    <w:next w:val="1"/>
    <w:link w:val="18"/>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line="440" w:lineRule="exact"/>
      <w:ind w:firstLine="200" w:firstLineChars="200"/>
      <w:outlineLvl w:val="3"/>
    </w:pPr>
    <w:rPr>
      <w:rFonts w:ascii="Calibri Light" w:hAnsi="Calibri Light" w:eastAsia="宋体" w:cs="Times New Roman"/>
      <w:bCs/>
      <w:sz w:val="24"/>
      <w:szCs w:val="28"/>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eastAsia="宋体" w:cs="黑体"/>
      <w:szCs w:val="21"/>
    </w:rPr>
  </w:style>
  <w:style w:type="paragraph" w:styleId="7">
    <w:name w:val="Normal Indent"/>
    <w:basedOn w:val="1"/>
    <w:next w:val="8"/>
    <w:qFormat/>
    <w:uiPriority w:val="0"/>
    <w:pPr>
      <w:ind w:firstLine="420"/>
    </w:pPr>
    <w:rPr>
      <w:rFonts w:ascii="Calibri" w:hAnsi="Calibri" w:eastAsia="宋体" w:cs="Calibri"/>
      <w:szCs w:val="20"/>
    </w:rPr>
  </w:style>
  <w:style w:type="paragraph" w:styleId="8">
    <w:name w:val="Body Text Indent"/>
    <w:basedOn w:val="1"/>
    <w:next w:val="7"/>
    <w:qFormat/>
    <w:uiPriority w:val="0"/>
    <w:pPr>
      <w:suppressAutoHyphens/>
      <w:spacing w:line="460" w:lineRule="exact"/>
      <w:ind w:left="1285" w:hanging="1285"/>
    </w:pPr>
    <w:rPr>
      <w:rFonts w:ascii="仿宋_GB2312" w:hAnsi="仿宋_GB2312" w:eastAsia="仿宋_GB2312" w:cs="Times New Roman"/>
      <w:b/>
      <w:bCs/>
      <w:kern w:val="1"/>
      <w:sz w:val="32"/>
      <w:lang w:eastAsia="ar-SA"/>
    </w:rPr>
  </w:style>
  <w:style w:type="paragraph" w:styleId="9">
    <w:name w:val="toc 3"/>
    <w:basedOn w:val="1"/>
    <w:next w:val="1"/>
    <w:unhideWhenUsed/>
    <w:qFormat/>
    <w:uiPriority w:val="39"/>
    <w:pPr>
      <w:ind w:left="840" w:leftChars="400"/>
    </w:pPr>
  </w:style>
  <w:style w:type="paragraph" w:styleId="10">
    <w:name w:val="Body Text Indent 2"/>
    <w:basedOn w:val="1"/>
    <w:qFormat/>
    <w:uiPriority w:val="0"/>
    <w:pPr>
      <w:spacing w:after="120" w:line="480" w:lineRule="auto"/>
      <w:ind w:left="200" w:leftChars="200"/>
    </w:pPr>
    <w:rPr>
      <w:rFonts w:ascii="Times New Roman" w:hAnsi="Times New Roman" w:eastAsia="宋体" w:cs="Times New Roman"/>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5">
    <w:name w:val="Strong"/>
    <w:basedOn w:val="14"/>
    <w:qFormat/>
    <w:uiPriority w:val="0"/>
    <w:rPr>
      <w:b/>
    </w:rPr>
  </w:style>
  <w:style w:type="paragraph" w:customStyle="1" w:styleId="16">
    <w:name w:val="正文（缩进）"/>
    <w:basedOn w:val="1"/>
    <w:qFormat/>
    <w:uiPriority w:val="0"/>
    <w:pPr>
      <w:spacing w:beforeLines="50" w:afterLines="50" w:line="360" w:lineRule="auto"/>
      <w:ind w:firstLine="480" w:firstLineChars="200"/>
    </w:pPr>
    <w:rPr>
      <w:rFonts w:ascii="Calibri" w:hAnsi="Calibri" w:eastAsia="宋体" w:cs="Times New Roman"/>
    </w:rPr>
  </w:style>
  <w:style w:type="character" w:customStyle="1" w:styleId="17">
    <w:name w:val="UserStyle_1"/>
    <w:qFormat/>
    <w:uiPriority w:val="0"/>
  </w:style>
  <w:style w:type="character" w:customStyle="1" w:styleId="18">
    <w:name w:val="标题 3 字符"/>
    <w:basedOn w:val="14"/>
    <w:link w:val="5"/>
    <w:semiHidden/>
    <w:qFormat/>
    <w:uiPriority w:val="0"/>
    <w:rPr>
      <w:rFonts w:asciiTheme="minorHAnsi" w:hAnsiTheme="minorHAnsi" w:eastAsiaTheme="minorEastAsia" w:cstheme="minorBidi"/>
      <w:b/>
      <w:bCs/>
      <w:kern w:val="2"/>
      <w:sz w:val="32"/>
      <w:szCs w:val="32"/>
    </w:rPr>
  </w:style>
  <w:style w:type="character" w:customStyle="1" w:styleId="19">
    <w:name w:val="NormalCharacter"/>
    <w:semiHidden/>
    <w:qFormat/>
    <w:uiPriority w:val="0"/>
    <w:rPr>
      <w:rFonts w:ascii="Calibri" w:hAnsi="Calibri" w:eastAsia="宋体" w:cs="等线"/>
      <w:kern w:val="2"/>
      <w:sz w:val="21"/>
      <w:szCs w:val="21"/>
      <w:lang w:val="en-US" w:eastAsia="zh-CN" w:bidi="ar-SA"/>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D6CF86-0F5B-47A3-9572-3E6C66D588F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855</Words>
  <Characters>874</Characters>
  <Lines>46</Lines>
  <Paragraphs>24</Paragraphs>
  <TotalTime>193</TotalTime>
  <ScaleCrop>false</ScaleCrop>
  <LinksUpToDate>false</LinksUpToDate>
  <CharactersWithSpaces>1705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2026-10-22T14:23:00Z</dcterms:created>
  <dc:creator>Administrator</dc:creator>
  <cp:lastModifiedBy>Administrator</cp:lastModifiedBy>
  <dcterms:modified xsi:type="dcterms:W3CDTF">2026-10-30T09:46:09Z</dcterms:modified>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4C5200FE65F348D3B89A493E383E6E9A</vt:lpwstr>
  </property>
  <property fmtid="{D5CDD505-2E9C-101B-9397-08002B2CF9AE}" pid="4" name="KSOTemplateDocerSaveRecord">
    <vt:lpwstr>eyJoZGlkIjoiN2NjNjRmM2QxMjlhMTFjMDY1MmM4ZDBhOGI4NWRiNDAiLCJ1c2VySWQiOiIyODg4MDA0NTUifQ==</vt:lpwstr>
  </property>
</Properties>
</file>