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26F46">
      <w:pPr>
        <w:keepLines w:val="0"/>
        <w:pageBreakBefore w:val="0"/>
        <w:kinsoku/>
        <w:wordWrap/>
        <w:overflowPunct/>
        <w:topLinePunct w:val="0"/>
        <w:autoSpaceDE/>
        <w:autoSpaceDN/>
        <w:bidi w:val="0"/>
        <w:adjustRightInd/>
        <w:snapToGrid/>
        <w:spacing w:line="560" w:lineRule="exact"/>
        <w:jc w:val="left"/>
        <w:textAlignment w:val="auto"/>
        <w:outlineLvl w:val="0"/>
        <w:rPr>
          <w:rFonts w:hint="default" w:ascii="黑体" w:hAnsi="黑体" w:eastAsia="黑体" w:cs="黑体"/>
          <w:bCs/>
          <w:sz w:val="32"/>
          <w:szCs w:val="32"/>
          <w:lang w:val="en-US" w:eastAsia="zh-CN"/>
        </w:rPr>
      </w:pPr>
      <w:bookmarkStart w:id="0" w:name="_Toc1448170004"/>
      <w:bookmarkStart w:id="1" w:name="_Toc14448"/>
      <w:bookmarkStart w:id="2" w:name="_Toc1318019514"/>
      <w:bookmarkStart w:id="3" w:name="_Toc2045867845"/>
      <w:bookmarkStart w:id="4" w:name="_Toc1574843485"/>
      <w:bookmarkStart w:id="5" w:name="_Toc737974533"/>
      <w:bookmarkStart w:id="6" w:name="_Toc770482659"/>
      <w:bookmarkStart w:id="7" w:name="_Toc719181813"/>
      <w:bookmarkStart w:id="8" w:name="_Toc162392203"/>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1</w:t>
      </w:r>
    </w:p>
    <w:p w14:paraId="6B72EF2D">
      <w:pPr>
        <w:keepLines w:val="0"/>
        <w:pageBreakBefore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bCs/>
          <w:sz w:val="44"/>
          <w:szCs w:val="44"/>
        </w:rPr>
      </w:pPr>
    </w:p>
    <w:p w14:paraId="02F1847B">
      <w:pPr>
        <w:keepLines w:val="0"/>
        <w:pageBreakBefore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“十五五”时期东城区应急管理事业</w:t>
      </w:r>
      <w:bookmarkEnd w:id="0"/>
      <w:bookmarkEnd w:id="1"/>
      <w:bookmarkEnd w:id="2"/>
      <w:bookmarkEnd w:id="3"/>
      <w:bookmarkEnd w:id="4"/>
      <w:bookmarkEnd w:id="5"/>
      <w:bookmarkStart w:id="9" w:name="_Toc1738804412"/>
      <w:bookmarkStart w:id="10" w:name="_Toc6451"/>
      <w:bookmarkStart w:id="11" w:name="_Toc1091517938"/>
      <w:bookmarkStart w:id="12" w:name="_Toc1414522100"/>
      <w:bookmarkStart w:id="13" w:name="_Toc1499565735"/>
      <w:bookmarkStart w:id="14" w:name="_Toc338751242"/>
      <w:r>
        <w:rPr>
          <w:rFonts w:hint="default" w:ascii="Times New Roman" w:hAnsi="Times New Roman" w:eastAsia="方正小标宋简体" w:cs="Times New Roman"/>
          <w:bCs/>
          <w:sz w:val="44"/>
          <w:szCs w:val="44"/>
        </w:rPr>
        <w:t>发展规划</w:t>
      </w:r>
      <w:bookmarkEnd w:id="6"/>
      <w:bookmarkEnd w:id="7"/>
      <w:bookmarkEnd w:id="8"/>
      <w:bookmarkEnd w:id="9"/>
      <w:bookmarkEnd w:id="10"/>
      <w:bookmarkEnd w:id="11"/>
      <w:bookmarkEnd w:id="12"/>
      <w:bookmarkEnd w:id="13"/>
      <w:bookmarkEnd w:id="14"/>
    </w:p>
    <w:p w14:paraId="06741B42">
      <w:pPr>
        <w:pStyle w:val="2"/>
        <w:keepLines w:val="0"/>
        <w:pageBreakBefore w:val="0"/>
        <w:suppressAutoHyphens/>
        <w:kinsoku/>
        <w:wordWrap/>
        <w:overflowPunct/>
        <w:topLinePunct w:val="0"/>
        <w:autoSpaceDE/>
        <w:autoSpaceDN/>
        <w:bidi w:val="0"/>
        <w:adjustRightInd/>
        <w:snapToGrid/>
        <w:ind w:firstLine="0" w:firstLineChars="0"/>
        <w:jc w:val="center"/>
        <w:textAlignment w:val="auto"/>
        <w:rPr>
          <w:rFonts w:hint="default" w:ascii="Times New Roman" w:hAnsi="Times New Roman" w:eastAsia="楷体_GB2312" w:cs="Times New Roman"/>
          <w:bCs/>
          <w:kern w:val="0"/>
          <w:lang w:eastAsia="zh-CN" w:bidi="ar-SA"/>
        </w:rPr>
      </w:pPr>
      <w:bookmarkStart w:id="15" w:name="_Toc719268002"/>
      <w:bookmarkStart w:id="16" w:name="_Toc686384012"/>
      <w:bookmarkStart w:id="17" w:name="_Toc1076147183"/>
      <w:bookmarkStart w:id="18" w:name="_Toc2356"/>
      <w:bookmarkStart w:id="19" w:name="_Toc23008914"/>
      <w:bookmarkStart w:id="20" w:name="_Toc1200067634"/>
      <w:r>
        <w:rPr>
          <w:rFonts w:hint="default" w:ascii="Times New Roman" w:hAnsi="Times New Roman" w:eastAsia="楷体_GB2312" w:cs="Times New Roman"/>
          <w:bCs/>
          <w:kern w:val="0"/>
          <w:lang w:eastAsia="zh-CN" w:bidi="ar-SA"/>
        </w:rPr>
        <w:t>（</w:t>
      </w:r>
      <w:r>
        <w:rPr>
          <w:rFonts w:hint="eastAsia" w:ascii="Times New Roman" w:hAnsi="Times New Roman" w:eastAsia="楷体_GB2312" w:cs="Times New Roman"/>
          <w:bCs/>
          <w:kern w:val="0"/>
          <w:lang w:eastAsia="zh-CN" w:bidi="ar-SA"/>
        </w:rPr>
        <w:t>征求意见</w:t>
      </w:r>
      <w:r>
        <w:rPr>
          <w:rFonts w:hint="default" w:ascii="Times New Roman" w:hAnsi="Times New Roman" w:eastAsia="楷体_GB2312" w:cs="Times New Roman"/>
          <w:bCs/>
          <w:kern w:val="0"/>
          <w:lang w:eastAsia="zh-CN" w:bidi="ar-SA"/>
        </w:rPr>
        <w:t>稿）</w:t>
      </w:r>
    </w:p>
    <w:p w14:paraId="2F466BC7">
      <w:pPr>
        <w:pStyle w:val="2"/>
        <w:keepLines w:val="0"/>
        <w:pageBreakBefore w:val="0"/>
        <w:suppressAutoHyphens/>
        <w:kinsoku/>
        <w:wordWrap/>
        <w:overflowPunct/>
        <w:topLinePunct w:val="0"/>
        <w:autoSpaceDE/>
        <w:autoSpaceDN/>
        <w:bidi w:val="0"/>
        <w:adjustRightInd/>
        <w:snapToGrid/>
        <w:ind w:firstLine="640"/>
        <w:jc w:val="both"/>
        <w:textAlignment w:val="auto"/>
        <w:rPr>
          <w:rFonts w:hint="default" w:ascii="Times New Roman" w:hAnsi="Times New Roman" w:eastAsia="仿宋_GB2312" w:cs="Times New Roman"/>
          <w:bCs/>
          <w:kern w:val="0"/>
          <w:lang w:eastAsia="zh-CN" w:bidi="ar-SA"/>
        </w:rPr>
      </w:pPr>
    </w:p>
    <w:bookmarkEnd w:id="15"/>
    <w:bookmarkEnd w:id="16"/>
    <w:bookmarkEnd w:id="17"/>
    <w:p w14:paraId="3BA16FA0">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bookmarkStart w:id="21" w:name="_Toc53511706"/>
      <w:bookmarkStart w:id="22" w:name="_Toc1006047009_WPSOffice_Level1"/>
      <w:bookmarkStart w:id="23" w:name="_Toc1225551722"/>
      <w:r>
        <w:rPr>
          <w:rFonts w:hint="eastAsia" w:eastAsia="仿宋_GB2312" w:cs="Times New Roman"/>
          <w:bCs/>
          <w:sz w:val="32"/>
          <w:szCs w:val="32"/>
          <w:shd w:val="clear" w:color="auto" w:fill="auto"/>
          <w:lang w:eastAsia="zh-CN"/>
        </w:rPr>
        <w:t>为深入</w:t>
      </w:r>
      <w:r>
        <w:rPr>
          <w:rFonts w:hint="default" w:ascii="Times New Roman" w:hAnsi="Times New Roman" w:eastAsia="仿宋_GB2312" w:cs="Times New Roman"/>
          <w:bCs/>
          <w:sz w:val="32"/>
          <w:szCs w:val="32"/>
          <w:shd w:val="clear" w:color="auto" w:fill="auto"/>
        </w:rPr>
        <w:t>贯彻落实党中央、国务院和市委、市政府关于应急管理工作的总体部署和要求，</w:t>
      </w:r>
      <w:r>
        <w:rPr>
          <w:rFonts w:hint="default" w:ascii="Times New Roman" w:hAnsi="Times New Roman" w:eastAsia="仿宋_GB2312" w:cs="Times New Roman"/>
          <w:bCs/>
          <w:sz w:val="32"/>
          <w:szCs w:val="32"/>
        </w:rPr>
        <w:t>坚持以习近平新时代中国特色社会主义思想为指导，</w:t>
      </w:r>
      <w:r>
        <w:rPr>
          <w:rFonts w:hint="eastAsia" w:eastAsia="仿宋_GB2312" w:cs="Times New Roman"/>
          <w:bCs/>
          <w:sz w:val="32"/>
          <w:szCs w:val="32"/>
          <w:lang w:eastAsia="zh-CN"/>
        </w:rPr>
        <w:t>深入</w:t>
      </w:r>
      <w:r>
        <w:rPr>
          <w:rFonts w:hint="default" w:ascii="Times New Roman" w:hAnsi="Times New Roman" w:eastAsia="仿宋_GB2312" w:cs="Times New Roman"/>
          <w:bCs/>
          <w:sz w:val="32"/>
          <w:szCs w:val="32"/>
        </w:rPr>
        <w:t>贯彻党的二十大和二十届历次全会精神，深入贯彻习近平总书记对北京特别是对应急管理工作的一系列重要讲话精神，坚持以人民为中心的发展思想，坚定不移贯彻总体国家安全观，统筹发展和安全，</w:t>
      </w:r>
      <w:r>
        <w:rPr>
          <w:rFonts w:hint="default" w:ascii="Times New Roman" w:hAnsi="Times New Roman" w:eastAsia="仿宋_GB2312" w:cs="Times New Roman"/>
          <w:bCs/>
          <w:sz w:val="32"/>
          <w:szCs w:val="32"/>
          <w:lang w:bidi="ar"/>
        </w:rPr>
        <w:t>推进首都核心区应急管理体系和能力现代化</w:t>
      </w:r>
      <w:r>
        <w:rPr>
          <w:rFonts w:hint="eastAsia" w:eastAsia="仿宋_GB2312" w:cs="Times New Roman"/>
          <w:bCs/>
          <w:sz w:val="32"/>
          <w:szCs w:val="32"/>
          <w:lang w:eastAsia="zh-CN" w:bidi="ar"/>
        </w:rPr>
        <w:t>，</w:t>
      </w:r>
      <w:r>
        <w:rPr>
          <w:rFonts w:hint="default" w:ascii="Times New Roman" w:hAnsi="Times New Roman" w:eastAsia="仿宋_GB2312" w:cs="Times New Roman"/>
          <w:bCs/>
          <w:sz w:val="32"/>
          <w:szCs w:val="32"/>
        </w:rPr>
        <w:t>依据《北京市“十五五”时期应急体系规划》《北京市东城区国民经济和社会发展第十五个五年规划纲要》</w:t>
      </w:r>
      <w:r>
        <w:rPr>
          <w:rFonts w:hint="default" w:ascii="Times New Roman" w:hAnsi="Times New Roman" w:eastAsia="仿宋_GB2312" w:cs="Times New Roman"/>
          <w:bCs/>
          <w:sz w:val="32"/>
          <w:szCs w:val="32"/>
          <w:shd w:val="clear" w:color="auto" w:fill="auto"/>
        </w:rPr>
        <w:t>等，制定本规划。</w:t>
      </w:r>
    </w:p>
    <w:bookmarkEnd w:id="18"/>
    <w:bookmarkEnd w:id="19"/>
    <w:bookmarkEnd w:id="20"/>
    <w:bookmarkEnd w:id="21"/>
    <w:bookmarkEnd w:id="22"/>
    <w:bookmarkEnd w:id="23"/>
    <w:p w14:paraId="7D045C1F">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到2030年，具有首都核心区特色的大安全大应急框架逐步完善，集中统一、权威高效的应急指挥机制更加健全，综合协调、分类管理、分级负责、属地管理为主的应急管理工作体系初步建成，事前预防公共安全治理模式基本形成，基层应急能力显著提升，安全生产、综合防灾减灾形势持续稳定向好，东城</w:t>
      </w:r>
      <w:r>
        <w:rPr>
          <w:rFonts w:hint="eastAsia" w:eastAsia="仿宋_GB2312" w:cs="Times New Roman"/>
          <w:bCs/>
          <w:sz w:val="32"/>
          <w:szCs w:val="32"/>
          <w:lang w:eastAsia="zh-CN"/>
        </w:rPr>
        <w:t>区</w:t>
      </w:r>
      <w:r>
        <w:rPr>
          <w:rFonts w:hint="default" w:ascii="Times New Roman" w:hAnsi="Times New Roman" w:eastAsia="仿宋_GB2312" w:cs="Times New Roman"/>
          <w:bCs/>
          <w:sz w:val="32"/>
          <w:szCs w:val="32"/>
        </w:rPr>
        <w:t>安全发展屏障更加牢固。到2035年，率先建立与基本实现社会主义现代化相适应的首都核心区特色应急管理体系，实现依法应急、科学应急、智慧应急，形成共建共治共享</w:t>
      </w:r>
      <w:r>
        <w:rPr>
          <w:rFonts w:hint="eastAsia" w:eastAsia="仿宋_GB2312" w:cs="Times New Roman"/>
          <w:bCs/>
          <w:sz w:val="32"/>
          <w:szCs w:val="32"/>
          <w:lang w:eastAsia="zh-CN"/>
        </w:rPr>
        <w:t>的</w:t>
      </w:r>
      <w:r>
        <w:rPr>
          <w:rFonts w:hint="default" w:ascii="Times New Roman" w:hAnsi="Times New Roman" w:eastAsia="仿宋_GB2312" w:cs="Times New Roman"/>
          <w:bCs/>
          <w:sz w:val="32"/>
          <w:szCs w:val="32"/>
        </w:rPr>
        <w:t>应急管理新格局，基本实现应急管理体系和能力现代化。</w:t>
      </w:r>
    </w:p>
    <w:p w14:paraId="2B4F0D32">
      <w:pPr>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sz w:val="28"/>
          <w:szCs w:val="28"/>
        </w:rPr>
      </w:pPr>
      <w:r>
        <w:rPr>
          <w:rFonts w:hint="default" w:ascii="Times New Roman" w:hAnsi="Times New Roman" w:eastAsia="黑体" w:cs="Times New Roman"/>
          <w:bCs/>
          <w:sz w:val="28"/>
          <w:szCs w:val="28"/>
        </w:rPr>
        <w:t>“十五五”时期东城区应急管理事业发展规划主要指标</w:t>
      </w:r>
    </w:p>
    <w:tbl>
      <w:tblPr>
        <w:tblStyle w:val="13"/>
        <w:tblW w:w="46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4142"/>
        <w:gridCol w:w="1020"/>
        <w:gridCol w:w="1516"/>
        <w:gridCol w:w="976"/>
      </w:tblGrid>
      <w:tr w14:paraId="34BD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436" w:type="pct"/>
            <w:vAlign w:val="center"/>
          </w:tcPr>
          <w:p w14:paraId="12B9FB6D">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Cs/>
                <w:kern w:val="0"/>
                <w:sz w:val="24"/>
                <w:szCs w:val="24"/>
              </w:rPr>
            </w:pPr>
            <w:r>
              <w:rPr>
                <w:rFonts w:hint="default" w:ascii="Times New Roman" w:hAnsi="Times New Roman" w:eastAsia="黑体" w:cs="Times New Roman"/>
                <w:bCs/>
                <w:kern w:val="0"/>
                <w:sz w:val="24"/>
                <w:szCs w:val="24"/>
              </w:rPr>
              <w:t>序号</w:t>
            </w:r>
          </w:p>
        </w:tc>
        <w:tc>
          <w:tcPr>
            <w:tcW w:w="2468" w:type="pct"/>
            <w:vAlign w:val="center"/>
          </w:tcPr>
          <w:p w14:paraId="03EF4A49">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Cs/>
                <w:kern w:val="0"/>
                <w:sz w:val="24"/>
                <w:szCs w:val="24"/>
              </w:rPr>
            </w:pPr>
            <w:r>
              <w:rPr>
                <w:rFonts w:hint="default" w:ascii="Times New Roman" w:hAnsi="Times New Roman" w:eastAsia="黑体" w:cs="Times New Roman"/>
                <w:bCs/>
                <w:kern w:val="0"/>
                <w:sz w:val="24"/>
                <w:szCs w:val="24"/>
              </w:rPr>
              <w:t>指标</w:t>
            </w:r>
          </w:p>
        </w:tc>
        <w:tc>
          <w:tcPr>
            <w:tcW w:w="608" w:type="pct"/>
            <w:vAlign w:val="center"/>
          </w:tcPr>
          <w:p w14:paraId="0E018327">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Cs/>
                <w:kern w:val="0"/>
                <w:sz w:val="24"/>
                <w:szCs w:val="24"/>
              </w:rPr>
            </w:pPr>
            <w:r>
              <w:rPr>
                <w:rFonts w:hint="default" w:ascii="Times New Roman" w:hAnsi="Times New Roman" w:eastAsia="黑体" w:cs="Times New Roman"/>
                <w:bCs/>
                <w:kern w:val="0"/>
                <w:sz w:val="24"/>
                <w:szCs w:val="24"/>
              </w:rPr>
              <w:t>2025年</w:t>
            </w:r>
          </w:p>
        </w:tc>
        <w:tc>
          <w:tcPr>
            <w:tcW w:w="904" w:type="pct"/>
            <w:vAlign w:val="center"/>
          </w:tcPr>
          <w:p w14:paraId="6B111E38">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Cs/>
                <w:kern w:val="0"/>
                <w:sz w:val="24"/>
                <w:szCs w:val="24"/>
              </w:rPr>
            </w:pPr>
            <w:r>
              <w:rPr>
                <w:rFonts w:hint="default" w:ascii="Times New Roman" w:hAnsi="Times New Roman" w:eastAsia="黑体" w:cs="Times New Roman"/>
                <w:bCs/>
                <w:kern w:val="0"/>
                <w:sz w:val="24"/>
                <w:szCs w:val="24"/>
              </w:rPr>
              <w:t>2030年目标</w:t>
            </w:r>
          </w:p>
        </w:tc>
        <w:tc>
          <w:tcPr>
            <w:tcW w:w="582" w:type="pct"/>
            <w:vAlign w:val="center"/>
          </w:tcPr>
          <w:p w14:paraId="0AC14D3F">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Cs/>
                <w:kern w:val="0"/>
                <w:sz w:val="24"/>
                <w:szCs w:val="24"/>
              </w:rPr>
            </w:pPr>
            <w:r>
              <w:rPr>
                <w:rFonts w:hint="default" w:ascii="Times New Roman" w:hAnsi="Times New Roman" w:eastAsia="黑体" w:cs="Times New Roman"/>
                <w:bCs/>
                <w:kern w:val="0"/>
                <w:sz w:val="24"/>
                <w:szCs w:val="24"/>
              </w:rPr>
              <w:t>属性</w:t>
            </w:r>
          </w:p>
        </w:tc>
      </w:tr>
      <w:tr w14:paraId="1D15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436" w:type="pct"/>
            <w:vAlign w:val="center"/>
          </w:tcPr>
          <w:p w14:paraId="57FF34BB">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1</w:t>
            </w:r>
          </w:p>
        </w:tc>
        <w:tc>
          <w:tcPr>
            <w:tcW w:w="2468" w:type="pct"/>
            <w:vAlign w:val="center"/>
          </w:tcPr>
          <w:p w14:paraId="7496C186">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单位地区生产总值生产安全事故死亡率（人/百亿）</w:t>
            </w:r>
          </w:p>
        </w:tc>
        <w:tc>
          <w:tcPr>
            <w:tcW w:w="608" w:type="pct"/>
            <w:vAlign w:val="center"/>
          </w:tcPr>
          <w:p w14:paraId="568B187B">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0.025</w:t>
            </w:r>
          </w:p>
        </w:tc>
        <w:tc>
          <w:tcPr>
            <w:tcW w:w="904" w:type="pct"/>
            <w:vAlign w:val="center"/>
          </w:tcPr>
          <w:p w14:paraId="3137089E">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&lt;0.6</w:t>
            </w:r>
          </w:p>
        </w:tc>
        <w:tc>
          <w:tcPr>
            <w:tcW w:w="582" w:type="pct"/>
            <w:vAlign w:val="center"/>
          </w:tcPr>
          <w:p w14:paraId="27525863">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约束性</w:t>
            </w:r>
          </w:p>
        </w:tc>
      </w:tr>
      <w:tr w14:paraId="79DA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36" w:type="pct"/>
            <w:vAlign w:val="center"/>
          </w:tcPr>
          <w:p w14:paraId="5F4CC41D">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2</w:t>
            </w:r>
          </w:p>
        </w:tc>
        <w:tc>
          <w:tcPr>
            <w:tcW w:w="2468" w:type="pct"/>
            <w:vAlign w:val="center"/>
          </w:tcPr>
          <w:p w14:paraId="1F0C81F3">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十万常住人口火灾死亡率</w:t>
            </w:r>
          </w:p>
        </w:tc>
        <w:tc>
          <w:tcPr>
            <w:tcW w:w="608" w:type="pct"/>
            <w:vAlign w:val="center"/>
          </w:tcPr>
          <w:p w14:paraId="3DE212F5">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0.28</w:t>
            </w:r>
          </w:p>
        </w:tc>
        <w:tc>
          <w:tcPr>
            <w:tcW w:w="904" w:type="pct"/>
            <w:vAlign w:val="center"/>
          </w:tcPr>
          <w:p w14:paraId="24FE0604">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eastAsia" w:ascii="仿宋_GB2312" w:hAnsi="仿宋_GB2312" w:eastAsia="仿宋_GB2312" w:cs="仿宋_GB2312"/>
                <w:bCs/>
                <w:kern w:val="0"/>
                <w:sz w:val="24"/>
                <w:szCs w:val="24"/>
              </w:rPr>
              <w:t>≤</w:t>
            </w:r>
            <w:r>
              <w:rPr>
                <w:rFonts w:hint="default" w:ascii="Times New Roman" w:hAnsi="Times New Roman" w:eastAsia="仿宋_GB2312" w:cs="Times New Roman"/>
                <w:bCs/>
                <w:kern w:val="0"/>
                <w:sz w:val="24"/>
                <w:szCs w:val="24"/>
              </w:rPr>
              <w:t>0.25</w:t>
            </w:r>
          </w:p>
        </w:tc>
        <w:tc>
          <w:tcPr>
            <w:tcW w:w="582" w:type="pct"/>
            <w:vAlign w:val="center"/>
          </w:tcPr>
          <w:p w14:paraId="40398618">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预期性</w:t>
            </w:r>
          </w:p>
        </w:tc>
      </w:tr>
      <w:tr w14:paraId="2DF8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36" w:type="pct"/>
            <w:vAlign w:val="center"/>
          </w:tcPr>
          <w:p w14:paraId="3F456973">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3</w:t>
            </w:r>
          </w:p>
        </w:tc>
        <w:tc>
          <w:tcPr>
            <w:tcW w:w="2468" w:type="pct"/>
            <w:vAlign w:val="center"/>
          </w:tcPr>
          <w:p w14:paraId="64EB409C">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道路交通事故死亡人数下降率</w:t>
            </w:r>
          </w:p>
        </w:tc>
        <w:tc>
          <w:tcPr>
            <w:tcW w:w="608" w:type="pct"/>
            <w:vAlign w:val="center"/>
          </w:tcPr>
          <w:p w14:paraId="301A86BA">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w:t>
            </w:r>
          </w:p>
        </w:tc>
        <w:tc>
          <w:tcPr>
            <w:tcW w:w="904" w:type="pct"/>
            <w:vAlign w:val="center"/>
          </w:tcPr>
          <w:p w14:paraId="04AF502F">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〔3%〕</w:t>
            </w:r>
          </w:p>
        </w:tc>
        <w:tc>
          <w:tcPr>
            <w:tcW w:w="582" w:type="pct"/>
            <w:vAlign w:val="center"/>
          </w:tcPr>
          <w:p w14:paraId="54A3E0E8">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约束性</w:t>
            </w:r>
          </w:p>
        </w:tc>
      </w:tr>
      <w:tr w14:paraId="099E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36" w:type="pct"/>
            <w:vAlign w:val="center"/>
          </w:tcPr>
          <w:p w14:paraId="1F8629CC">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4</w:t>
            </w:r>
          </w:p>
        </w:tc>
        <w:tc>
          <w:tcPr>
            <w:tcW w:w="2468" w:type="pct"/>
            <w:vAlign w:val="center"/>
          </w:tcPr>
          <w:p w14:paraId="78FE2E07">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年均每百万人口因自然灾害死亡率</w:t>
            </w:r>
          </w:p>
        </w:tc>
        <w:tc>
          <w:tcPr>
            <w:tcW w:w="608" w:type="pct"/>
            <w:vAlign w:val="center"/>
          </w:tcPr>
          <w:p w14:paraId="4A38C837">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0</w:t>
            </w:r>
          </w:p>
        </w:tc>
        <w:tc>
          <w:tcPr>
            <w:tcW w:w="904" w:type="pct"/>
            <w:vAlign w:val="center"/>
          </w:tcPr>
          <w:p w14:paraId="7F65C19D">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&lt;0.9</w:t>
            </w:r>
          </w:p>
        </w:tc>
        <w:tc>
          <w:tcPr>
            <w:tcW w:w="582" w:type="pct"/>
            <w:vAlign w:val="center"/>
          </w:tcPr>
          <w:p w14:paraId="7DC1A9DB">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预期性</w:t>
            </w:r>
          </w:p>
        </w:tc>
      </w:tr>
      <w:tr w14:paraId="0C28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36" w:type="pct"/>
            <w:vAlign w:val="center"/>
          </w:tcPr>
          <w:p w14:paraId="12494F63">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5</w:t>
            </w:r>
          </w:p>
        </w:tc>
        <w:tc>
          <w:tcPr>
            <w:tcW w:w="2468" w:type="pct"/>
            <w:vAlign w:val="center"/>
          </w:tcPr>
          <w:p w14:paraId="21774BA7">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年均每十万人受灾人次</w:t>
            </w:r>
          </w:p>
        </w:tc>
        <w:tc>
          <w:tcPr>
            <w:tcW w:w="608" w:type="pct"/>
            <w:vAlign w:val="center"/>
          </w:tcPr>
          <w:p w14:paraId="789E1277">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w:t>
            </w:r>
          </w:p>
        </w:tc>
        <w:tc>
          <w:tcPr>
            <w:tcW w:w="904" w:type="pct"/>
            <w:vAlign w:val="center"/>
          </w:tcPr>
          <w:p w14:paraId="63376666">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&lt;10000</w:t>
            </w:r>
          </w:p>
        </w:tc>
        <w:tc>
          <w:tcPr>
            <w:tcW w:w="582" w:type="pct"/>
            <w:vAlign w:val="center"/>
          </w:tcPr>
          <w:p w14:paraId="5F604AF8">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预期性</w:t>
            </w:r>
          </w:p>
        </w:tc>
      </w:tr>
      <w:tr w14:paraId="04B9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436" w:type="pct"/>
            <w:vAlign w:val="center"/>
          </w:tcPr>
          <w:p w14:paraId="1806F3A1">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6</w:t>
            </w:r>
          </w:p>
        </w:tc>
        <w:tc>
          <w:tcPr>
            <w:tcW w:w="2468" w:type="pct"/>
            <w:vAlign w:val="center"/>
          </w:tcPr>
          <w:p w14:paraId="5DBD1EA2">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年均因自然灾害直接经济损失占地区生产总值比例</w:t>
            </w:r>
          </w:p>
        </w:tc>
        <w:tc>
          <w:tcPr>
            <w:tcW w:w="608" w:type="pct"/>
            <w:vAlign w:val="center"/>
          </w:tcPr>
          <w:p w14:paraId="3B4D2111">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w:t>
            </w:r>
          </w:p>
        </w:tc>
        <w:tc>
          <w:tcPr>
            <w:tcW w:w="904" w:type="pct"/>
            <w:vAlign w:val="center"/>
          </w:tcPr>
          <w:p w14:paraId="18FA5874">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&lt;0.8%</w:t>
            </w:r>
          </w:p>
        </w:tc>
        <w:tc>
          <w:tcPr>
            <w:tcW w:w="582" w:type="pct"/>
            <w:vAlign w:val="center"/>
          </w:tcPr>
          <w:p w14:paraId="5720145C">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预期性</w:t>
            </w:r>
          </w:p>
        </w:tc>
      </w:tr>
      <w:tr w14:paraId="6AE0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36" w:type="pct"/>
            <w:vAlign w:val="center"/>
          </w:tcPr>
          <w:p w14:paraId="6BB01E16">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7</w:t>
            </w:r>
          </w:p>
        </w:tc>
        <w:tc>
          <w:tcPr>
            <w:tcW w:w="2468" w:type="pct"/>
            <w:vAlign w:val="center"/>
          </w:tcPr>
          <w:p w14:paraId="5E7F21EF">
            <w:pPr>
              <w:keepLines w:val="0"/>
              <w:pageBreakBefore w:val="0"/>
              <w:widowControl/>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人均应急避难场所面积（平方米）</w:t>
            </w:r>
          </w:p>
        </w:tc>
        <w:tc>
          <w:tcPr>
            <w:tcW w:w="608" w:type="pct"/>
            <w:vAlign w:val="center"/>
          </w:tcPr>
          <w:p w14:paraId="4E45B60D">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1.68</w:t>
            </w:r>
          </w:p>
        </w:tc>
        <w:tc>
          <w:tcPr>
            <w:tcW w:w="904" w:type="pct"/>
            <w:vAlign w:val="center"/>
          </w:tcPr>
          <w:p w14:paraId="6365DD99">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1.8</w:t>
            </w:r>
          </w:p>
        </w:tc>
        <w:tc>
          <w:tcPr>
            <w:tcW w:w="582" w:type="pct"/>
            <w:vAlign w:val="center"/>
          </w:tcPr>
          <w:p w14:paraId="55F31E5B">
            <w:pPr>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kern w:val="0"/>
                <w:sz w:val="24"/>
                <w:szCs w:val="24"/>
              </w:rPr>
            </w:pPr>
            <w:r>
              <w:rPr>
                <w:rFonts w:hint="default" w:ascii="Times New Roman" w:hAnsi="Times New Roman" w:eastAsia="仿宋_GB2312" w:cs="Times New Roman"/>
                <w:bCs/>
                <w:kern w:val="0"/>
                <w:sz w:val="24"/>
                <w:szCs w:val="24"/>
              </w:rPr>
              <w:t>预期性</w:t>
            </w:r>
          </w:p>
        </w:tc>
      </w:tr>
    </w:tbl>
    <w:p w14:paraId="40891D56">
      <w:pPr>
        <w:keepLines w:val="0"/>
        <w:pageBreakBefore w:val="0"/>
        <w:kinsoku/>
        <w:wordWrap/>
        <w:overflowPunct/>
        <w:topLinePunct w:val="0"/>
        <w:autoSpaceDE/>
        <w:autoSpaceDN/>
        <w:bidi w:val="0"/>
        <w:adjustRightInd/>
        <w:snapToGrid/>
        <w:spacing w:line="560" w:lineRule="exact"/>
        <w:ind w:firstLine="240" w:firstLineChars="100"/>
        <w:textAlignment w:val="auto"/>
        <w:rPr>
          <w:rFonts w:hint="default" w:ascii="Times New Roman" w:hAnsi="Times New Roman" w:eastAsia="仿宋_GB2312" w:cs="Times New Roman"/>
          <w:bCs/>
          <w:sz w:val="24"/>
          <w:szCs w:val="24"/>
        </w:rPr>
      </w:pPr>
      <w:bookmarkStart w:id="24" w:name="_Toc1309177343"/>
      <w:bookmarkStart w:id="25" w:name="_Toc613163233"/>
      <w:bookmarkStart w:id="26" w:name="_Toc10409"/>
      <w:bookmarkStart w:id="27" w:name="_Toc659874148"/>
      <w:r>
        <w:rPr>
          <w:rFonts w:hint="default" w:ascii="Times New Roman" w:hAnsi="Times New Roman" w:eastAsia="仿宋_GB2312" w:cs="Times New Roman"/>
          <w:bCs/>
          <w:sz w:val="24"/>
          <w:szCs w:val="24"/>
        </w:rPr>
        <w:t>注：〔〕为5年累计数。</w:t>
      </w:r>
    </w:p>
    <w:p w14:paraId="6737337F">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rPr>
      </w:pPr>
      <w:bookmarkStart w:id="28" w:name="_Toc2096443605"/>
      <w:bookmarkStart w:id="29" w:name="_Toc794298697"/>
      <w:r>
        <w:rPr>
          <w:rFonts w:hint="eastAsia" w:eastAsia="黑体" w:cs="Times New Roman"/>
          <w:bCs w:val="0"/>
          <w:sz w:val="32"/>
          <w:szCs w:val="32"/>
          <w:lang w:eastAsia="zh-CN"/>
        </w:rPr>
        <w:t>一</w:t>
      </w:r>
      <w:r>
        <w:rPr>
          <w:rFonts w:hint="default" w:ascii="Times New Roman" w:hAnsi="Times New Roman" w:eastAsia="黑体" w:cs="Times New Roman"/>
          <w:bCs w:val="0"/>
          <w:sz w:val="32"/>
          <w:szCs w:val="32"/>
        </w:rPr>
        <w:t>、</w:t>
      </w:r>
      <w:bookmarkEnd w:id="24"/>
      <w:bookmarkEnd w:id="25"/>
      <w:bookmarkEnd w:id="26"/>
      <w:bookmarkEnd w:id="27"/>
      <w:r>
        <w:rPr>
          <w:rFonts w:hint="default" w:ascii="Times New Roman" w:hAnsi="Times New Roman" w:eastAsia="黑体" w:cs="Times New Roman"/>
          <w:bCs w:val="0"/>
          <w:sz w:val="32"/>
          <w:szCs w:val="32"/>
        </w:rPr>
        <w:t>健全应急组织指挥体系</w:t>
      </w:r>
      <w:bookmarkEnd w:id="28"/>
      <w:bookmarkEnd w:id="29"/>
    </w:p>
    <w:p w14:paraId="4BBF8560">
      <w:pPr>
        <w:keepNext/>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1"/>
        <w:rPr>
          <w:rFonts w:hint="default" w:ascii="Times New Roman" w:hAnsi="Times New Roman" w:eastAsia="仿宋_GB2312" w:cs="Times New Roman"/>
        </w:rPr>
      </w:pPr>
      <w:bookmarkStart w:id="30" w:name="_Toc355258352"/>
      <w:bookmarkStart w:id="31" w:name="_Toc488004274"/>
      <w:bookmarkStart w:id="32" w:name="_Toc30903"/>
      <w:bookmarkStart w:id="33" w:name="_Toc766454390"/>
      <w:bookmarkStart w:id="34" w:name="_Toc1981545649"/>
      <w:bookmarkStart w:id="35" w:name="_Toc1217221753"/>
      <w:r>
        <w:rPr>
          <w:rFonts w:hint="default" w:ascii="Times New Roman" w:hAnsi="Times New Roman" w:eastAsia="楷体_GB2312" w:cs="Times New Roman"/>
          <w:sz w:val="32"/>
          <w:szCs w:val="32"/>
        </w:rPr>
        <w:t>（一）</w:t>
      </w:r>
      <w:bookmarkEnd w:id="30"/>
      <w:bookmarkEnd w:id="31"/>
      <w:bookmarkEnd w:id="32"/>
      <w:bookmarkEnd w:id="33"/>
      <w:r>
        <w:rPr>
          <w:rFonts w:hint="default" w:ascii="Times New Roman" w:hAnsi="Times New Roman" w:eastAsia="楷体_GB2312" w:cs="Times New Roman"/>
          <w:color w:val="000000" w:themeColor="text1"/>
          <w:sz w:val="32"/>
          <w:szCs w:val="32"/>
          <w14:textFill>
            <w14:solidFill>
              <w14:schemeClr w14:val="tx1"/>
            </w14:solidFill>
          </w14:textFill>
        </w:rPr>
        <w:t>推进“三委合一”统筹机制落地</w:t>
      </w:r>
      <w:bookmarkEnd w:id="34"/>
      <w:bookmarkEnd w:id="35"/>
      <w:r>
        <w:rPr>
          <w:rFonts w:hint="default" w:ascii="Times New Roman" w:hAnsi="Times New Roman" w:eastAsia="楷体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b w:val="0"/>
          <w:bCs w:val="0"/>
          <w:sz w:val="32"/>
          <w:szCs w:val="36"/>
        </w:rPr>
        <w:t>整合东城区应急委、防减救灾委、安委会机构职能，出台“三委合一”工作规则，完善</w:t>
      </w:r>
      <w:r>
        <w:rPr>
          <w:rFonts w:hint="default" w:ascii="Times New Roman" w:hAnsi="Times New Roman" w:eastAsia="仿宋_GB2312" w:cs="Times New Roman"/>
          <w:sz w:val="32"/>
          <w:szCs w:val="36"/>
        </w:rPr>
        <w:t>工作机制、优化职能配置、压实工作责任</w:t>
      </w:r>
      <w:r>
        <w:rPr>
          <w:rFonts w:hint="default" w:ascii="Times New Roman" w:hAnsi="Times New Roman" w:eastAsia="仿宋_GB2312" w:cs="Times New Roman"/>
          <w:b w:val="0"/>
          <w:bCs w:val="0"/>
          <w:sz w:val="32"/>
          <w:szCs w:val="36"/>
        </w:rPr>
        <w:t>，实现职责衔接、工作协同、标准统一。</w:t>
      </w:r>
      <w:r>
        <w:rPr>
          <w:rFonts w:hint="default" w:ascii="Times New Roman" w:hAnsi="Times New Roman" w:eastAsia="仿宋_GB2312" w:cs="Times New Roman"/>
          <w:sz w:val="32"/>
          <w:szCs w:val="36"/>
        </w:rPr>
        <w:t>强化突发事件应急委员会办公室与区委办公室、区政府办公室的工作联动，</w:t>
      </w:r>
      <w:r>
        <w:rPr>
          <w:rFonts w:hint="default" w:ascii="Times New Roman" w:hAnsi="Times New Roman" w:eastAsia="仿宋_GB2312" w:cs="Times New Roman"/>
          <w:sz w:val="32"/>
        </w:rPr>
        <w:t>有效发挥应急指挥中心和应急管理信息化平台作用</w:t>
      </w:r>
      <w:r>
        <w:rPr>
          <w:rFonts w:hint="default" w:ascii="Times New Roman" w:hAnsi="Times New Roman" w:eastAsia="仿宋_GB2312" w:cs="Times New Roman"/>
          <w:sz w:val="32"/>
          <w:szCs w:val="36"/>
        </w:rPr>
        <w:t>。</w:t>
      </w:r>
      <w:r>
        <w:rPr>
          <w:rFonts w:hint="default" w:ascii="Times New Roman" w:hAnsi="Times New Roman" w:eastAsia="仿宋_GB2312" w:cs="Times New Roman"/>
          <w:color w:val="auto"/>
          <w:sz w:val="32"/>
          <w:szCs w:val="36"/>
          <w:shd w:val="clear" w:color="auto" w:fill="auto"/>
        </w:rPr>
        <w:t>强化安委会“长牙带刺”作用，推动安全生产“三管三必须”全面落地实施，完善专项整治、明查暗访、考核巡查、警示教育等机制。加强前瞻性研究，及时明确新兴领域安全监管责任。</w:t>
      </w:r>
      <w:r>
        <w:rPr>
          <w:rFonts w:hint="default" w:ascii="Times New Roman" w:hAnsi="Times New Roman" w:eastAsia="仿宋_GB2312" w:cs="Times New Roman"/>
          <w:b w:val="0"/>
          <w:bCs w:val="0"/>
          <w:sz w:val="32"/>
          <w:szCs w:val="36"/>
        </w:rPr>
        <w:t>深化与西城区等跨区域联动，实现预警信息跨区域共享，完善协同联动抢险救灾机制，筑牢核心区安全防线。</w:t>
      </w:r>
    </w:p>
    <w:p w14:paraId="16634FBA">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rPr>
      </w:pPr>
      <w:bookmarkStart w:id="36" w:name="_Toc1018792601"/>
      <w:bookmarkStart w:id="37" w:name="_Toc910997301"/>
      <w:r>
        <w:rPr>
          <w:rFonts w:hint="default" w:ascii="Times New Roman" w:hAnsi="Times New Roman" w:eastAsia="楷体_GB2312" w:cs="Times New Roman"/>
          <w:sz w:val="32"/>
          <w:szCs w:val="32"/>
        </w:rPr>
        <w:t>（二）规范突发事件现场处置全流程</w:t>
      </w:r>
      <w:bookmarkEnd w:id="36"/>
      <w:bookmarkEnd w:id="37"/>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sz w:val="32"/>
        </w:rPr>
        <w:t>进一步规范突发事件现场处置工作流程，从现场处置需求出发，优化</w:t>
      </w:r>
      <w:r>
        <w:rPr>
          <w:rFonts w:hint="default" w:ascii="Times New Roman" w:hAnsi="Times New Roman" w:eastAsia="仿宋_GB2312" w:cs="Times New Roman"/>
          <w:sz w:val="32"/>
          <w:szCs w:val="21"/>
        </w:rPr>
        <w:t>完善“发现—响应—处置—善后”工作全链条，</w:t>
      </w:r>
      <w:r>
        <w:rPr>
          <w:rFonts w:hint="default" w:ascii="Times New Roman" w:hAnsi="Times New Roman" w:eastAsia="仿宋_GB2312" w:cs="Times New Roman"/>
          <w:color w:val="auto"/>
          <w:sz w:val="32"/>
          <w:szCs w:val="21"/>
          <w:shd w:val="clear" w:color="auto" w:fill="auto"/>
        </w:rPr>
        <w:t>做实分级响应与现场指挥部运行</w:t>
      </w:r>
      <w:r>
        <w:rPr>
          <w:rFonts w:hint="default" w:ascii="Times New Roman" w:hAnsi="Times New Roman" w:eastAsia="仿宋_GB2312" w:cs="Times New Roman"/>
          <w:sz w:val="32"/>
          <w:szCs w:val="21"/>
        </w:rPr>
        <w:t>，加强“总指挥”统</w:t>
      </w:r>
      <w:r>
        <w:rPr>
          <w:rFonts w:hint="default" w:ascii="Times New Roman" w:hAnsi="Times New Roman" w:eastAsia="仿宋_GB2312" w:cs="Times New Roman"/>
          <w:sz w:val="32"/>
        </w:rPr>
        <w:t>筹调度决策保障。</w:t>
      </w:r>
      <w:r>
        <w:rPr>
          <w:rFonts w:hint="default" w:ascii="Times New Roman" w:hAnsi="Times New Roman" w:eastAsia="仿宋_GB2312" w:cs="Times New Roman"/>
          <w:color w:val="auto"/>
          <w:sz w:val="32"/>
          <w:szCs w:val="21"/>
          <w:shd w:val="clear" w:color="auto" w:fill="auto"/>
        </w:rPr>
        <w:t>细化岗位权责，强化指挥技术支撑与实战演练，提升现场处置规范化效能。</w:t>
      </w:r>
    </w:p>
    <w:p w14:paraId="573471A6">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38" w:name="_Toc1803069150"/>
      <w:bookmarkStart w:id="39" w:name="_Toc979114903"/>
      <w:r>
        <w:rPr>
          <w:rFonts w:hint="default" w:ascii="Times New Roman" w:hAnsi="Times New Roman" w:eastAsia="楷体_GB2312" w:cs="Times New Roman"/>
          <w:sz w:val="32"/>
          <w:szCs w:val="32"/>
        </w:rPr>
        <w:t>（三）优化应急值守与指挥平台建设</w:t>
      </w:r>
      <w:bookmarkEnd w:id="38"/>
      <w:bookmarkEnd w:id="39"/>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sz w:val="32"/>
          <w:szCs w:val="32"/>
        </w:rPr>
        <w:t>持续加强应急值守工作，优化应急值守月度点评会机制，提高信息报送和值班值守工作效能。强化部门协同联动，及时启动应急机制，做好重点时期和重大活动安全服务保障工作。实施应急指挥中心升级改造，建设融合应急值守、监测预警、指挥调度、视频会商等功能的一体化区级应急指挥平台。</w:t>
      </w:r>
    </w:p>
    <w:p w14:paraId="106FA2F2">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40" w:name="_Toc36255033"/>
      <w:bookmarkStart w:id="41" w:name="_Toc806986107"/>
      <w:r>
        <w:rPr>
          <w:rFonts w:hint="default" w:ascii="Times New Roman" w:hAnsi="Times New Roman" w:eastAsia="楷体_GB2312" w:cs="Times New Roman"/>
          <w:sz w:val="32"/>
          <w:szCs w:val="32"/>
        </w:rPr>
        <w:t>（四）构建三级全覆盖应急指挥体系</w:t>
      </w:r>
      <w:bookmarkEnd w:id="40"/>
      <w:bookmarkEnd w:id="41"/>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sz w:val="32"/>
          <w:szCs w:val="32"/>
        </w:rPr>
        <w:t>强化应急指挥部体系建设，构建具有东城特色的“区—街—社区”三级应急指挥部体系，压实区级属地责任，实现横向贯通各专项指挥部、纵向延伸至社区基层的全覆盖格局。提升先期处置能力，突出现场专业处置，完善预警响应联动机制，在高风险区域和时段前置应急救援力量，提高响应速度。</w:t>
      </w:r>
    </w:p>
    <w:p w14:paraId="7A1BD1F7">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Cs w:val="0"/>
          <w:color w:val="auto"/>
          <w:sz w:val="32"/>
          <w:szCs w:val="32"/>
          <w:shd w:val="clear" w:color="auto" w:fill="auto"/>
        </w:rPr>
      </w:pPr>
      <w:bookmarkStart w:id="42" w:name="_Toc1164039974"/>
      <w:r>
        <w:rPr>
          <w:rFonts w:hint="eastAsia" w:eastAsia="黑体" w:cs="Times New Roman"/>
          <w:bCs w:val="0"/>
          <w:color w:val="auto"/>
          <w:sz w:val="32"/>
          <w:szCs w:val="32"/>
          <w:shd w:val="clear" w:color="auto" w:fill="auto"/>
          <w:lang w:eastAsia="zh-CN"/>
        </w:rPr>
        <w:t>二</w:t>
      </w:r>
      <w:r>
        <w:rPr>
          <w:rFonts w:hint="default" w:ascii="Times New Roman" w:hAnsi="Times New Roman" w:eastAsia="黑体" w:cs="Times New Roman"/>
          <w:bCs w:val="0"/>
          <w:color w:val="auto"/>
          <w:sz w:val="32"/>
          <w:szCs w:val="32"/>
          <w:shd w:val="clear" w:color="auto" w:fill="auto"/>
        </w:rPr>
        <w:t>、系统提高防汛减灾能力</w:t>
      </w:r>
      <w:bookmarkEnd w:id="42"/>
      <w:bookmarkStart w:id="43" w:name="_Toc513234013"/>
    </w:p>
    <w:p w14:paraId="5CD06DAA">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楷体_GB2312" w:cs="Times New Roman"/>
          <w:color w:val="auto"/>
          <w:sz w:val="32"/>
          <w:szCs w:val="32"/>
          <w:shd w:val="clear" w:color="auto" w:fill="auto"/>
        </w:rPr>
        <w:t>（五）健全防汛工作体系</w:t>
      </w:r>
      <w:bookmarkEnd w:id="43"/>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进一步落实党政齐抓共管，优化“1+8+18+161”防汛指挥体系</w:t>
      </w:r>
      <w:r>
        <w:rPr>
          <w:rStyle w:val="17"/>
          <w:rFonts w:hint="default" w:ascii="Times New Roman" w:hAnsi="Times New Roman" w:eastAsia="仿宋_GB2312" w:cs="Times New Roman"/>
          <w:color w:val="auto"/>
          <w:sz w:val="32"/>
          <w:szCs w:val="32"/>
          <w:shd w:val="clear" w:color="auto" w:fill="auto"/>
        </w:rPr>
        <w:footnoteReference w:id="0"/>
      </w:r>
      <w:r>
        <w:rPr>
          <w:rFonts w:hint="default" w:ascii="Times New Roman" w:hAnsi="Times New Roman" w:eastAsia="仿宋_GB2312" w:cs="Times New Roman"/>
          <w:color w:val="auto"/>
          <w:sz w:val="32"/>
          <w:szCs w:val="32"/>
          <w:shd w:val="clear" w:color="auto" w:fill="auto"/>
        </w:rPr>
        <w:t>，压实各级各单位防汛包保责任，</w:t>
      </w:r>
      <w:r>
        <w:rPr>
          <w:rFonts w:hint="default" w:ascii="Times New Roman" w:hAnsi="Times New Roman" w:eastAsia="仿宋_GB2312" w:cs="Times New Roman"/>
          <w:color w:val="auto"/>
          <w:kern w:val="2"/>
          <w:sz w:val="32"/>
          <w:szCs w:val="32"/>
          <w:shd w:val="clear" w:color="auto" w:fill="auto"/>
          <w:lang w:bidi="ar"/>
        </w:rPr>
        <w:t>持续落实区领导包专项指挥部、</w:t>
      </w:r>
      <w:r>
        <w:rPr>
          <w:rFonts w:hint="default" w:ascii="Times New Roman" w:hAnsi="Times New Roman" w:eastAsia="仿宋_GB2312" w:cs="Times New Roman"/>
          <w:color w:val="auto"/>
          <w:sz w:val="32"/>
          <w:szCs w:val="32"/>
          <w:shd w:val="clear" w:color="auto" w:fill="auto"/>
          <w:lang w:bidi="ar"/>
        </w:rPr>
        <w:t>包</w:t>
      </w:r>
      <w:r>
        <w:rPr>
          <w:rFonts w:hint="default" w:ascii="Times New Roman" w:hAnsi="Times New Roman" w:eastAsia="仿宋_GB2312" w:cs="Times New Roman"/>
          <w:color w:val="auto"/>
          <w:kern w:val="2"/>
          <w:sz w:val="32"/>
          <w:szCs w:val="32"/>
          <w:shd w:val="clear" w:color="auto" w:fill="auto"/>
          <w:lang w:bidi="ar"/>
        </w:rPr>
        <w:t>街道机制</w:t>
      </w:r>
      <w:r>
        <w:rPr>
          <w:rFonts w:hint="default" w:ascii="Times New Roman" w:hAnsi="Times New Roman" w:eastAsia="仿宋_GB2312" w:cs="Times New Roman"/>
          <w:color w:val="auto"/>
          <w:sz w:val="32"/>
          <w:szCs w:val="32"/>
          <w:shd w:val="clear" w:color="auto" w:fill="auto"/>
        </w:rPr>
        <w:t>。持续修订各级各类防汛应急预案，健全一级加强响应、人员避险转移等制度机制，推动预警预防行动与应急响应高效衔接、协调联动。围绕城市内涝、地下空间倒灌、老旧房屋坍塌等风险，健全隐患治理制度，完善重点风险点位、重点人群风险防范机制。健全约束与激励并重的考核体系，督促各级干部全面履行防汛工作职责。</w:t>
      </w:r>
    </w:p>
    <w:p w14:paraId="3C6670E9">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44" w:name="_Toc1604812944"/>
      <w:r>
        <w:rPr>
          <w:rFonts w:hint="default" w:ascii="Times New Roman" w:hAnsi="Times New Roman" w:eastAsia="楷体_GB2312" w:cs="Times New Roman"/>
          <w:color w:val="auto"/>
          <w:sz w:val="32"/>
          <w:szCs w:val="32"/>
          <w:shd w:val="clear" w:color="auto" w:fill="auto"/>
        </w:rPr>
        <w:t>（六）强化监测预报感知</w:t>
      </w:r>
      <w:bookmarkEnd w:id="44"/>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深化与市气象局的合作联动，强化监测数据共享应用，将区域自动站、铁塔站、智慧站监测数据全面接入</w:t>
      </w:r>
      <w:r>
        <w:rPr>
          <w:rFonts w:hint="eastAsia" w:eastAsia="仿宋_GB2312" w:cs="Times New Roman"/>
          <w:color w:val="auto"/>
          <w:sz w:val="32"/>
          <w:szCs w:val="32"/>
          <w:shd w:val="clear" w:color="auto" w:fill="auto"/>
          <w:lang w:eastAsia="zh-CN"/>
        </w:rPr>
        <w:t>东城</w:t>
      </w:r>
      <w:r>
        <w:rPr>
          <w:rFonts w:hint="default" w:ascii="Times New Roman" w:hAnsi="Times New Roman" w:eastAsia="仿宋_GB2312" w:cs="Times New Roman"/>
          <w:color w:val="auto"/>
          <w:sz w:val="32"/>
          <w:szCs w:val="32"/>
          <w:shd w:val="clear" w:color="auto" w:fill="auto"/>
        </w:rPr>
        <w:t>数智应急综合应用平台。推进预警关口前移，固化驻场保障机制，优化短临预警、风险预警机制，</w:t>
      </w:r>
      <w:r>
        <w:rPr>
          <w:rFonts w:hint="default" w:ascii="Times New Roman" w:hAnsi="Times New Roman" w:eastAsia="仿宋_GB2312" w:cs="Times New Roman"/>
          <w:color w:val="auto"/>
          <w:sz w:val="32"/>
          <w:szCs w:val="32"/>
        </w:rPr>
        <w:t>持续推进气象监测站点的建设，提升“小区域、微尺度”精准预报预测水平。</w:t>
      </w:r>
      <w:r>
        <w:rPr>
          <w:rFonts w:hint="default" w:ascii="Times New Roman" w:hAnsi="Times New Roman" w:eastAsia="仿宋_GB2312" w:cs="Times New Roman"/>
          <w:color w:val="auto"/>
          <w:sz w:val="32"/>
          <w:szCs w:val="32"/>
          <w:shd w:val="clear" w:color="auto" w:fill="auto"/>
        </w:rPr>
        <w:t>持续优化气象预报服务模式, 极端灾害性天气提前3天预报过程、提前2天预报范围、提前1天落区精细到街道，提高预警提前量。强化暴雨、大风预警处置演练，以练备战，提升多部门协同处置效能。将气象科普纳入应急培训内容，提升防汛责任人和公众识灾避险能力。</w:t>
      </w:r>
    </w:p>
    <w:p w14:paraId="2C3472D0">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45" w:name="_Toc750215863"/>
      <w:r>
        <w:rPr>
          <w:rFonts w:hint="default" w:ascii="Times New Roman" w:hAnsi="Times New Roman" w:eastAsia="楷体_GB2312" w:cs="Times New Roman"/>
          <w:color w:val="auto"/>
          <w:sz w:val="32"/>
          <w:szCs w:val="32"/>
          <w:shd w:val="clear" w:color="auto" w:fill="auto"/>
        </w:rPr>
        <w:t>（七）优化预警响应机制</w:t>
      </w:r>
      <w:bookmarkEnd w:id="45"/>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用好市级防汛态势分析与指挥调度系统。持续深化区级“防汛一张图”建设应用，推进“防汛一张图”向街道、社区延伸应用。依托</w:t>
      </w:r>
      <w:r>
        <w:rPr>
          <w:rFonts w:hint="eastAsia" w:eastAsia="仿宋_GB2312" w:cs="Times New Roman"/>
          <w:color w:val="auto"/>
          <w:sz w:val="32"/>
          <w:szCs w:val="32"/>
          <w:shd w:val="clear" w:color="auto" w:fill="auto"/>
          <w:lang w:eastAsia="zh-CN"/>
        </w:rPr>
        <w:t>东城</w:t>
      </w:r>
      <w:r>
        <w:rPr>
          <w:rFonts w:hint="default" w:ascii="Times New Roman" w:hAnsi="Times New Roman" w:eastAsia="仿宋_GB2312" w:cs="Times New Roman"/>
          <w:color w:val="auto"/>
          <w:sz w:val="32"/>
          <w:szCs w:val="32"/>
          <w:shd w:val="clear" w:color="auto" w:fill="auto"/>
        </w:rPr>
        <w:t>数智应急综合应用平台整合防汛基础数据台账，实现全区防汛数据资源“一图统览、动态更新、实时调用”。完善预警叫应功能，实现防汛责任人“一键叫应”与调度指令响应闭环管理，实现预警信息发布控制在10分钟以内、触达应急责任人时间</w:t>
      </w:r>
      <w:r>
        <w:rPr>
          <w:rStyle w:val="17"/>
          <w:rFonts w:hint="default" w:ascii="Times New Roman" w:hAnsi="Times New Roman" w:eastAsia="仿宋_GB2312" w:cs="Times New Roman"/>
          <w:color w:val="auto"/>
          <w:sz w:val="32"/>
          <w:szCs w:val="32"/>
          <w:shd w:val="clear" w:color="auto" w:fill="auto"/>
        </w:rPr>
        <w:footnoteReference w:id="1"/>
      </w:r>
      <w:r>
        <w:rPr>
          <w:rFonts w:hint="default" w:ascii="Times New Roman" w:hAnsi="Times New Roman" w:eastAsia="仿宋_GB2312" w:cs="Times New Roman"/>
          <w:color w:val="auto"/>
          <w:sz w:val="32"/>
          <w:szCs w:val="32"/>
          <w:shd w:val="clear" w:color="auto" w:fill="auto"/>
        </w:rPr>
        <w:t>控制在5分钟以内，确保预警信息传递到每个基层单元。完善防汛预警响应措施，强化临灾预警“叫应”机制，做到“有叫有应”。</w:t>
      </w:r>
    </w:p>
    <w:p w14:paraId="7A194329">
      <w:pPr>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shd w:val="clear" w:color="auto" w:fill="auto"/>
        </w:rPr>
      </w:pPr>
      <w:bookmarkStart w:id="46" w:name="_Toc1488147798"/>
      <w:r>
        <w:rPr>
          <w:rFonts w:hint="default" w:ascii="Times New Roman" w:hAnsi="Times New Roman" w:eastAsia="楷体_GB2312" w:cs="Times New Roman"/>
          <w:color w:val="auto"/>
          <w:sz w:val="32"/>
          <w:szCs w:val="32"/>
          <w:shd w:val="clear" w:color="auto" w:fill="auto"/>
        </w:rPr>
        <w:t>（八）提升基层防汛能力</w:t>
      </w:r>
      <w:bookmarkEnd w:id="46"/>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color w:val="auto"/>
          <w:sz w:val="32"/>
          <w:szCs w:val="32"/>
          <w:shd w:val="clear" w:color="auto" w:fill="auto"/>
        </w:rPr>
        <w:t>优化街道、社区两级防汛响应流程。建立分层分类培训机制，针对街道</w:t>
      </w:r>
      <w:r>
        <w:rPr>
          <w:rFonts w:hint="eastAsia" w:eastAsia="仿宋_GB2312" w:cs="Times New Roman"/>
          <w:color w:val="auto"/>
          <w:sz w:val="32"/>
          <w:szCs w:val="32"/>
          <w:shd w:val="clear" w:color="auto" w:fill="auto"/>
          <w:lang w:eastAsia="zh-CN"/>
        </w:rPr>
        <w:t>分管领导、社区书记、网格员等</w:t>
      </w:r>
      <w:r>
        <w:rPr>
          <w:rFonts w:hint="default" w:ascii="Times New Roman" w:hAnsi="Times New Roman" w:eastAsia="仿宋_GB2312" w:cs="Times New Roman"/>
          <w:color w:val="auto"/>
          <w:sz w:val="32"/>
          <w:szCs w:val="32"/>
          <w:shd w:val="clear" w:color="auto" w:fill="auto"/>
        </w:rPr>
        <w:t>不同岗位制定有针对性的培训方案，</w:t>
      </w:r>
      <w:r>
        <w:rPr>
          <w:rFonts w:hint="eastAsia" w:eastAsia="仿宋_GB2312" w:cs="Times New Roman"/>
          <w:color w:val="auto"/>
          <w:sz w:val="32"/>
          <w:szCs w:val="32"/>
          <w:shd w:val="clear" w:color="auto" w:fill="auto"/>
          <w:lang w:eastAsia="zh-CN"/>
        </w:rPr>
        <w:t>加强基层应急队伍建设</w:t>
      </w:r>
      <w:r>
        <w:rPr>
          <w:rFonts w:hint="default" w:ascii="Times New Roman" w:hAnsi="Times New Roman" w:eastAsia="仿宋_GB2312" w:cs="Times New Roman"/>
          <w:color w:val="auto"/>
          <w:sz w:val="32"/>
          <w:szCs w:val="32"/>
          <w:shd w:val="clear" w:color="auto" w:fill="auto"/>
        </w:rPr>
        <w:t>。健全应急物资管理制度，优化物资品类和规模，做好日常管理和调拨。引导企事业单位和家庭储备必要的应急物资，在主汛期及高等级预警期间前置抢险救援力量和关键设备物资。及时开展应急救助，确保受灾群众基本生活得到保障。强化防汛宣传动员，提升公众避险意识和自救互救能力。</w:t>
      </w:r>
    </w:p>
    <w:p w14:paraId="4A59969F">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47" w:name="_Toc1806557889"/>
      <w:r>
        <w:rPr>
          <w:rFonts w:hint="default" w:ascii="Times New Roman" w:hAnsi="Times New Roman" w:eastAsia="楷体_GB2312" w:cs="Times New Roman"/>
          <w:color w:val="auto"/>
          <w:sz w:val="32"/>
          <w:szCs w:val="32"/>
          <w:shd w:val="clear" w:color="auto" w:fill="auto"/>
        </w:rPr>
        <w:t>（九）抓好城市</w:t>
      </w:r>
      <w:r>
        <w:rPr>
          <w:rFonts w:hint="eastAsia" w:eastAsia="楷体_GB2312" w:cs="Times New Roman"/>
          <w:color w:val="auto"/>
          <w:sz w:val="32"/>
          <w:szCs w:val="32"/>
          <w:shd w:val="clear" w:color="auto" w:fill="auto"/>
          <w:lang w:eastAsia="zh-CN"/>
        </w:rPr>
        <w:t>内涝</w:t>
      </w:r>
      <w:r>
        <w:rPr>
          <w:rFonts w:hint="default" w:ascii="Times New Roman" w:hAnsi="Times New Roman" w:eastAsia="楷体_GB2312" w:cs="Times New Roman"/>
          <w:color w:val="auto"/>
          <w:sz w:val="32"/>
          <w:szCs w:val="32"/>
          <w:shd w:val="clear" w:color="auto" w:fill="auto"/>
        </w:rPr>
        <w:t>防范</w:t>
      </w:r>
      <w:bookmarkEnd w:id="47"/>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聚焦低洼院落、下凹式立交桥、地下空间等高风险区域，完善隐患排查治理闭环机制。结合城市更新和老旧小区改造，系统推进排水管网、低洼院落等重点点位的技术改造，全面降低城市内涝风险。</w:t>
      </w:r>
    </w:p>
    <w:p w14:paraId="0C35E50E">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Cs w:val="0"/>
          <w:color w:val="auto"/>
          <w:sz w:val="32"/>
          <w:szCs w:val="32"/>
          <w:shd w:val="clear" w:color="auto" w:fill="auto"/>
        </w:rPr>
      </w:pPr>
      <w:bookmarkStart w:id="48" w:name="_Toc1736628967"/>
      <w:r>
        <w:rPr>
          <w:rFonts w:hint="eastAsia" w:eastAsia="黑体" w:cs="Times New Roman"/>
          <w:bCs w:val="0"/>
          <w:color w:val="auto"/>
          <w:sz w:val="32"/>
          <w:szCs w:val="32"/>
          <w:shd w:val="clear" w:color="auto" w:fill="auto"/>
          <w:lang w:eastAsia="zh-CN"/>
        </w:rPr>
        <w:t>三</w:t>
      </w:r>
      <w:r>
        <w:rPr>
          <w:rFonts w:hint="default" w:ascii="Times New Roman" w:hAnsi="Times New Roman" w:eastAsia="黑体" w:cs="Times New Roman"/>
          <w:bCs w:val="0"/>
          <w:color w:val="auto"/>
          <w:sz w:val="32"/>
          <w:szCs w:val="32"/>
          <w:shd w:val="clear" w:color="auto" w:fill="auto"/>
        </w:rPr>
        <w:t>、持续深化事故预防措施</w:t>
      </w:r>
      <w:bookmarkEnd w:id="48"/>
      <w:bookmarkStart w:id="49" w:name="_Toc2095968366"/>
    </w:p>
    <w:p w14:paraId="588E6005">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楷体_GB2312" w:cs="Times New Roman"/>
          <w:color w:val="auto"/>
          <w:sz w:val="32"/>
          <w:szCs w:val="32"/>
          <w:shd w:val="clear" w:color="auto" w:fill="auto"/>
        </w:rPr>
        <w:t>（十）防范遏制火灾事故</w:t>
      </w:r>
      <w:bookmarkEnd w:id="49"/>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严防高层及大屋脊建筑火灾，</w:t>
      </w:r>
      <w:r>
        <w:rPr>
          <w:rFonts w:hint="eastAsia" w:eastAsia="仿宋_GB2312" w:cs="Times New Roman"/>
          <w:color w:val="auto"/>
          <w:sz w:val="32"/>
          <w:szCs w:val="32"/>
          <w:shd w:val="clear" w:color="auto" w:fill="auto"/>
          <w:lang w:eastAsia="zh-CN"/>
        </w:rPr>
        <w:t>推</w:t>
      </w:r>
      <w:r>
        <w:rPr>
          <w:rFonts w:hint="default" w:ascii="Times New Roman" w:hAnsi="Times New Roman" w:eastAsia="仿宋_GB2312" w:cs="Times New Roman"/>
          <w:color w:val="auto"/>
          <w:sz w:val="32"/>
          <w:szCs w:val="32"/>
          <w:shd w:val="clear" w:color="auto" w:fill="auto"/>
        </w:rPr>
        <w:t>动建筑消防设施“四率”</w:t>
      </w:r>
      <w:r>
        <w:rPr>
          <w:rStyle w:val="17"/>
          <w:rFonts w:hint="default" w:ascii="Times New Roman" w:hAnsi="Times New Roman" w:eastAsia="仿宋_GB2312" w:cs="Times New Roman"/>
          <w:color w:val="auto"/>
          <w:sz w:val="32"/>
          <w:szCs w:val="32"/>
          <w:shd w:val="clear" w:color="auto" w:fill="auto"/>
        </w:rPr>
        <w:footnoteReference w:id="2"/>
      </w:r>
      <w:r>
        <w:rPr>
          <w:rFonts w:hint="default" w:ascii="Times New Roman" w:hAnsi="Times New Roman" w:eastAsia="仿宋_GB2312" w:cs="Times New Roman"/>
          <w:color w:val="auto"/>
          <w:sz w:val="32"/>
          <w:szCs w:val="32"/>
          <w:shd w:val="clear" w:color="auto" w:fill="auto"/>
        </w:rPr>
        <w:t>水平大幅提升。深化人员密集场所安全管理，持续畅通消防“生命通道”。完善施工动火作业管控措施，严禁违规“边营业边施工”。强化电动自行车常态化整治，实现住宅建筑电动自行车电梯智能阻止器安装率达100%，对集中停放和充电场所进行24小时视频监控。</w:t>
      </w:r>
      <w:r>
        <w:rPr>
          <w:rFonts w:hint="default" w:ascii="Times New Roman" w:hAnsi="Times New Roman" w:eastAsia="仿宋_GB2312" w:cs="Times New Roman"/>
          <w:color w:val="auto"/>
          <w:sz w:val="32"/>
          <w:szCs w:val="32"/>
          <w:shd w:val="clear" w:color="auto" w:fill="auto"/>
          <w:lang w:bidi="ar"/>
        </w:rPr>
        <w:t>健全消防薄弱环节治理机制，严格落实消防安全重点关爱人群帮扶措施。</w:t>
      </w:r>
    </w:p>
    <w:p w14:paraId="3CDCC102">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50" w:name="_Toc1499325081"/>
      <w:r>
        <w:rPr>
          <w:rFonts w:hint="default" w:ascii="Times New Roman" w:hAnsi="Times New Roman" w:eastAsia="楷体_GB2312" w:cs="Times New Roman"/>
          <w:color w:val="auto"/>
          <w:sz w:val="32"/>
          <w:szCs w:val="32"/>
          <w:shd w:val="clear" w:color="auto" w:fill="auto"/>
        </w:rPr>
        <w:t>（十一）全面压减道路交通事故</w:t>
      </w:r>
      <w:bookmarkEnd w:id="50"/>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推进长途客运车辆、旅游客车、危险物品运输车辆驾驶员实时监测预警设备安装普及率达95%。加强“停车让行”“减速让行”等规则教育，普及交通事故责任认定知识。对事故高发交叉口开展排查研判，实施“一点一策”，通过完善信号灯、增设交通技术监控设备等措施精准施策。提高重型货车智能视频监控、补盲摄像头及右转弯语音提醒装置普及率，督促落实“右转必停”道路交通安全规则。构建以“数据驱动、对象分层、内容定制、渠道精准”为核心的现代化交通安全宣传教育模式，推动市民驾驶或乘坐电动自行车头盔佩戴率大幅提升、外卖配送人员头盔佩戴率达100%。</w:t>
      </w:r>
    </w:p>
    <w:p w14:paraId="24ABAB5E">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51" w:name="_Toc1047890406"/>
      <w:r>
        <w:rPr>
          <w:rFonts w:hint="default" w:ascii="Times New Roman" w:hAnsi="Times New Roman" w:eastAsia="楷体_GB2312" w:cs="Times New Roman"/>
          <w:color w:val="auto"/>
          <w:sz w:val="32"/>
          <w:szCs w:val="32"/>
          <w:shd w:val="clear" w:color="auto" w:fill="auto"/>
        </w:rPr>
        <w:t>（十二）深化建筑行业安全管理</w:t>
      </w:r>
      <w:bookmarkEnd w:id="51"/>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进一步细化责任清单，压实党政领导责任、部门监管责任、企业主体责任、属地管理责任，强化督查检查，推动生产安全事故起数和死亡人数五年总量分别下降5%。紧盯重点区域、薄弱环节，加大执法检查力度，深化危大工程管理平台应用，对违法违规行为零容忍。</w:t>
      </w:r>
    </w:p>
    <w:p w14:paraId="3C5BA633">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52" w:name="_Toc1578772024"/>
      <w:r>
        <w:rPr>
          <w:rFonts w:hint="default" w:ascii="Times New Roman" w:hAnsi="Times New Roman" w:eastAsia="楷体_GB2312" w:cs="Times New Roman"/>
          <w:color w:val="auto"/>
          <w:sz w:val="32"/>
          <w:szCs w:val="32"/>
          <w:shd w:val="clear" w:color="auto" w:fill="auto"/>
        </w:rPr>
        <w:t>（十三）强化危险化学品风险防控</w:t>
      </w:r>
      <w:bookmarkEnd w:id="52"/>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压紧压实高等院校、科研院所等危险化学品重点使用单位主体安全责任，强化含氨、氯气、硫化氢、一氧化碳等有毒有害气体相关实验室安全管控，督促相关单位落实实验室安全硬件建设标准，规范专用气瓶柜配置，配齐完善配套安全防护设施。协同市应急管理局，持续配合完善危险化学品集中管理体系，加快推进数字化、智能化安全管控能力升级，打通数据共享、信息互通渠道，构建起智能实时监测、风险提前研判预警、多方快速联动处置的全流程闭环管控体系。</w:t>
      </w:r>
    </w:p>
    <w:p w14:paraId="636AE7D4">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53" w:name="_Toc1795128727"/>
      <w:r>
        <w:rPr>
          <w:rFonts w:hint="default" w:ascii="Times New Roman" w:hAnsi="Times New Roman" w:eastAsia="楷体_GB2312" w:cs="Times New Roman"/>
          <w:color w:val="auto"/>
          <w:sz w:val="32"/>
          <w:szCs w:val="32"/>
          <w:shd w:val="clear" w:color="auto" w:fill="auto"/>
        </w:rPr>
        <w:t>（十四）构筑城市生命线安全体系</w:t>
      </w:r>
      <w:bookmarkEnd w:id="53"/>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推进老旧地下管线全生命周期更新，优先实施燃气管线改造、雨污分流及锈蚀管线治理。推进历史文保区、胡同平房区架空线入地清理，中央单位、部队、重要交通枢纽周边500米内实现地下管网隐患动态清零</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shd w:val="clear" w:color="auto" w:fill="auto"/>
        </w:rPr>
        <w:t>完成燃气管线占压隐患治理</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shd w:val="clear" w:color="auto" w:fill="auto"/>
        </w:rPr>
        <w:t>力争天然气居民用户安全型配件安装率达到90%</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shd w:val="clear" w:color="auto" w:fill="auto"/>
        </w:rPr>
        <w:t>升级燃气“哨兵”智能监测系统。持续开展液化石油气“瓶、阀、管、灶”问题治理，实现燃气安全型配件应装尽装。推进供热、供水、燃气管网韧性提升“三网融合”改造。推广智能表计，构建城市生命线监测感知网络。建设地下综合防灾与地下防洪排涝系统。</w:t>
      </w:r>
    </w:p>
    <w:p w14:paraId="7025F326">
      <w:pPr>
        <w:keepLines w:val="0"/>
        <w:pageBreakBefore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54" w:name="_Toc22225358"/>
      <w:r>
        <w:rPr>
          <w:rFonts w:hint="default" w:ascii="Times New Roman" w:hAnsi="Times New Roman" w:eastAsia="楷体_GB2312" w:cs="Times New Roman"/>
          <w:color w:val="auto"/>
          <w:sz w:val="32"/>
          <w:szCs w:val="32"/>
          <w:shd w:val="clear" w:color="auto" w:fill="auto"/>
        </w:rPr>
        <w:t>（十五）织密工贸行业安全事故防控网络</w:t>
      </w:r>
      <w:bookmarkEnd w:id="54"/>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聚焦并排查涉爆粉尘等高危重点企业，开展专家指导服务和安全风险分级分类核查研判，相关企业核查覆盖率达90%。探索有限空间数字化、智能化监管路径，引导企业健全风险辨识、作业审批、隐患自查长效机制，推动企业有限空间台账建立率达 90%。</w:t>
      </w:r>
    </w:p>
    <w:p w14:paraId="137715EE">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55" w:name="_Toc1614794113"/>
      <w:r>
        <w:rPr>
          <w:rFonts w:hint="default" w:ascii="Times New Roman" w:hAnsi="Times New Roman" w:eastAsia="楷体_GB2312" w:cs="Times New Roman"/>
          <w:color w:val="auto"/>
          <w:sz w:val="32"/>
          <w:szCs w:val="32"/>
          <w:shd w:val="clear" w:color="auto" w:fill="auto"/>
        </w:rPr>
        <w:t>（十六）夯实特种设备安全监管</w:t>
      </w:r>
      <w:bookmarkEnd w:id="55"/>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探索推进特种设备安全监管新模式，持续开展电梯“一梯一码”智慧监管工作，探索依托“一梯一码”开展重大活动保障检查和检验工作，推进辖区电梯绑定标识牌二维码，科技赋能电梯安全监管。</w:t>
      </w:r>
    </w:p>
    <w:p w14:paraId="0B6DE260">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56" w:name="_Toc448910621"/>
      <w:r>
        <w:rPr>
          <w:rFonts w:hint="default" w:ascii="Times New Roman" w:hAnsi="Times New Roman" w:eastAsia="楷体_GB2312" w:cs="Times New Roman"/>
          <w:color w:val="auto"/>
          <w:sz w:val="32"/>
          <w:szCs w:val="32"/>
          <w:shd w:val="clear" w:color="auto" w:fill="auto"/>
        </w:rPr>
        <w:t>（十七）推动本质安全能级跃升</w:t>
      </w:r>
      <w:bookmarkEnd w:id="56"/>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配合市应急管理局落实危险化学品建设项目“三同时”</w:t>
      </w:r>
      <w:r>
        <w:rPr>
          <w:rStyle w:val="17"/>
          <w:rFonts w:hint="default" w:ascii="Times New Roman" w:hAnsi="Times New Roman" w:eastAsia="仿宋_GB2312" w:cs="Times New Roman"/>
          <w:sz w:val="32"/>
          <w:szCs w:val="32"/>
        </w:rPr>
        <w:footnoteReference w:id="3"/>
      </w:r>
      <w:r>
        <w:rPr>
          <w:rFonts w:hint="default" w:ascii="Times New Roman" w:hAnsi="Times New Roman" w:eastAsia="仿宋_GB2312" w:cs="Times New Roman"/>
          <w:color w:val="auto"/>
          <w:sz w:val="32"/>
          <w:szCs w:val="32"/>
          <w:shd w:val="clear" w:color="auto" w:fill="auto"/>
        </w:rPr>
        <w:t>。加强城市运行、大型商业综合体等重点领域和部位监测感知网络建设，探索使用机器人等智能化装备参与安全巡检、高风险作业。督促企业规范提取和使用安全生产费用，推进安全生产标准化建设。</w:t>
      </w:r>
    </w:p>
    <w:p w14:paraId="119231B4">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hd w:val="clear" w:color="auto" w:fill="auto"/>
          <w:lang w:eastAsia="zh-CN"/>
        </w:rPr>
      </w:pPr>
      <w:bookmarkStart w:id="57" w:name="_Toc545891209"/>
      <w:r>
        <w:rPr>
          <w:rFonts w:hint="eastAsia" w:eastAsia="黑体" w:cs="Times New Roman"/>
          <w:bCs w:val="0"/>
          <w:color w:val="auto"/>
          <w:sz w:val="32"/>
          <w:szCs w:val="32"/>
          <w:shd w:val="clear" w:color="auto" w:fill="auto"/>
          <w:lang w:eastAsia="zh-CN"/>
        </w:rPr>
        <w:t>四</w:t>
      </w:r>
      <w:r>
        <w:rPr>
          <w:rFonts w:hint="default" w:ascii="Times New Roman" w:hAnsi="Times New Roman" w:eastAsia="黑体" w:cs="Times New Roman"/>
          <w:bCs w:val="0"/>
          <w:color w:val="auto"/>
          <w:sz w:val="32"/>
          <w:szCs w:val="32"/>
          <w:shd w:val="clear" w:color="auto" w:fill="auto"/>
        </w:rPr>
        <w:t>、统筹应对重大突发事件</w:t>
      </w:r>
      <w:bookmarkEnd w:id="57"/>
    </w:p>
    <w:p w14:paraId="25686792">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58" w:name="_Toc1562540127"/>
      <w:r>
        <w:rPr>
          <w:rFonts w:hint="default" w:ascii="Times New Roman" w:hAnsi="Times New Roman" w:eastAsia="楷体_GB2312" w:cs="Times New Roman"/>
          <w:color w:val="auto"/>
          <w:sz w:val="32"/>
          <w:szCs w:val="32"/>
          <w:shd w:val="clear" w:color="auto" w:fill="auto"/>
        </w:rPr>
        <w:t>（十八）提升地震风险防范和应对水平</w:t>
      </w:r>
      <w:bookmarkEnd w:id="58"/>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配合市地震局推进重点灾种监测感知系统建设，完善风险会商、群测群防等机制。探索高效地震应急响应机制，推进地震应急响应的自启</w:t>
      </w:r>
      <w:r>
        <w:rPr>
          <w:rFonts w:hint="default" w:ascii="Times New Roman" w:hAnsi="Times New Roman" w:eastAsia="仿宋_GB2312" w:cs="Times New Roman"/>
          <w:sz w:val="32"/>
          <w:szCs w:val="32"/>
        </w:rPr>
        <w:t>动。配合市地震局开展区域性地震安全性评价、活动断层探测，以及对辖区内重大工程开展地震安全性评价等工作。配合市地震局开展“透明北京”密集台阵观测、对区域内强震台设施和环境巡检巡查和震情跟踪研判会商等工作。</w:t>
      </w:r>
    </w:p>
    <w:p w14:paraId="69B122D0">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59" w:name="_Toc1244234288"/>
      <w:r>
        <w:rPr>
          <w:rFonts w:hint="default" w:ascii="Times New Roman" w:hAnsi="Times New Roman" w:eastAsia="楷体_GB2312" w:cs="Times New Roman"/>
          <w:color w:val="auto"/>
          <w:sz w:val="32"/>
          <w:szCs w:val="32"/>
          <w:shd w:val="clear" w:color="auto" w:fill="auto"/>
        </w:rPr>
        <w:t>（十九）完善疫情防控协同机制</w:t>
      </w:r>
      <w:bookmarkEnd w:id="59"/>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依托东城区感染性疾病质控中心，常态化组织开展传染病救治培训及感染性疾病科、发热门诊督导检查，持续规范传染病诊疗流程，打通上下转诊绿色通道。持续优化急救站点布局。聚焦公共卫生安全风险防范，重点推进传染病监测预警体系智能化建设，积极推进传染病智能监测预警前置软件应用，力争全区二级及以上公立医疗机构应用率达100%。完善自然灾害后卫生防疫工作机制，开展环境清理、病媒消杀、健康科普宣传等，控制病媒生物孳生，降低虫媒传染病风险。</w:t>
      </w:r>
    </w:p>
    <w:p w14:paraId="289A63D1">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60" w:name="_Toc1993285096"/>
      <w:r>
        <w:rPr>
          <w:rFonts w:hint="default" w:ascii="Times New Roman" w:hAnsi="Times New Roman" w:eastAsia="楷体_GB2312" w:cs="Times New Roman"/>
          <w:color w:val="auto"/>
          <w:sz w:val="32"/>
          <w:szCs w:val="32"/>
          <w:shd w:val="clear" w:color="auto" w:fill="auto"/>
        </w:rPr>
        <w:t>（二十）推动衔接国防动员体系</w:t>
      </w:r>
      <w:bookmarkEnd w:id="60"/>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推进应急应战一体化建设，实现人民防空与应急指挥场地互为备份、信息系统互通共享，定期开展联演联训。构建高效的通信和预警报知体系，推进防空警报与应急广播系统深度融合。紧盯东城</w:t>
      </w:r>
      <w:r>
        <w:rPr>
          <w:rFonts w:hint="default" w:ascii="Times New Roman" w:hAnsi="Times New Roman" w:eastAsia="仿宋_GB2312" w:cs="Times New Roman"/>
          <w:sz w:val="32"/>
          <w:szCs w:val="32"/>
        </w:rPr>
        <w:t>区</w:t>
      </w:r>
      <w:r>
        <w:rPr>
          <w:rFonts w:hint="default" w:ascii="Times New Roman" w:hAnsi="Times New Roman" w:eastAsia="仿宋_GB2312" w:cs="Times New Roman"/>
          <w:color w:val="auto"/>
          <w:sz w:val="32"/>
          <w:szCs w:val="32"/>
          <w:shd w:val="clear" w:color="auto" w:fill="auto"/>
        </w:rPr>
        <w:t>老旧人防工程多、低洼院落密集、人员居住集中等区域特点，统筹推进防汛与应急保障各项任务，强化储备物资共享共用，打通跨区域、跨部门调度渠道。持续完善预案体系、加强队伍实战实训、补齐物资设备短板，从严落实应急值守与隐患排查，增强人防工程在应战应急状态下的综合保障能力。</w:t>
      </w:r>
    </w:p>
    <w:p w14:paraId="45F41368">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rPr>
      </w:pPr>
      <w:bookmarkStart w:id="61" w:name="_Toc1666378902"/>
      <w:bookmarkStart w:id="62" w:name="_Toc753319041"/>
      <w:bookmarkStart w:id="63" w:name="_Toc2131318275"/>
      <w:bookmarkStart w:id="64" w:name="_Toc368651855"/>
      <w:bookmarkStart w:id="65" w:name="_Toc867488625"/>
      <w:bookmarkStart w:id="66" w:name="_Toc17357"/>
      <w:r>
        <w:rPr>
          <w:rFonts w:hint="eastAsia" w:eastAsia="黑体" w:cs="Times New Roman"/>
          <w:bCs w:val="0"/>
          <w:sz w:val="32"/>
          <w:szCs w:val="32"/>
          <w:lang w:eastAsia="zh-CN"/>
        </w:rPr>
        <w:t>五</w:t>
      </w:r>
      <w:r>
        <w:rPr>
          <w:rFonts w:hint="default" w:ascii="Times New Roman" w:hAnsi="Times New Roman" w:eastAsia="黑体" w:cs="Times New Roman"/>
          <w:bCs w:val="0"/>
          <w:sz w:val="32"/>
          <w:szCs w:val="32"/>
        </w:rPr>
        <w:t>、全面推进韧性城市建设</w:t>
      </w:r>
      <w:bookmarkEnd w:id="61"/>
      <w:bookmarkEnd w:id="62"/>
    </w:p>
    <w:p w14:paraId="7607C12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shd w:val="clear" w:color="auto" w:fill="auto"/>
        </w:rPr>
      </w:pPr>
      <w:bookmarkStart w:id="67" w:name="_Toc488247171"/>
      <w:bookmarkStart w:id="68" w:name="_Toc1827100655"/>
      <w:r>
        <w:rPr>
          <w:rFonts w:hint="default" w:ascii="Times New Roman" w:hAnsi="Times New Roman" w:eastAsia="楷体_GB2312" w:cs="Times New Roman"/>
          <w:sz w:val="32"/>
          <w:szCs w:val="32"/>
        </w:rPr>
        <w:t>（二十一）增强基础设施抗灾能力</w:t>
      </w:r>
      <w:bookmarkEnd w:id="67"/>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color w:val="auto"/>
          <w:sz w:val="32"/>
          <w:szCs w:val="32"/>
          <w:shd w:val="clear" w:color="auto" w:fill="auto"/>
        </w:rPr>
        <w:t>配合推进市域“三环八廊多支点”韧性城市支撑体系建设要求，立足多元化、分散化、</w:t>
      </w:r>
      <w:r>
        <w:rPr>
          <w:rFonts w:hint="eastAsia"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rPr>
        <w:t>平急两用</w:t>
      </w:r>
      <w:r>
        <w:rPr>
          <w:rFonts w:hint="eastAsia"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rPr>
        <w:t>、内外结合等韧性建设理念，聚焦“空间、工程、管理、社会、科技”五大维度，着力构建全域联动、立体高效、智慧精准的韧性城市体系，持续增强城市基础设施韧性。</w:t>
      </w:r>
    </w:p>
    <w:p w14:paraId="42551625">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69" w:name="_Toc1881400061"/>
      <w:r>
        <w:rPr>
          <w:rFonts w:hint="default" w:ascii="Times New Roman" w:hAnsi="Times New Roman" w:eastAsia="楷体_GB2312" w:cs="Times New Roman"/>
          <w:color w:val="auto"/>
          <w:sz w:val="32"/>
          <w:szCs w:val="32"/>
          <w:shd w:val="clear" w:color="auto" w:fill="auto"/>
        </w:rPr>
        <w:t>（二十二）</w:t>
      </w:r>
      <w:bookmarkEnd w:id="63"/>
      <w:bookmarkEnd w:id="64"/>
      <w:bookmarkEnd w:id="65"/>
      <w:bookmarkEnd w:id="66"/>
      <w:r>
        <w:rPr>
          <w:rFonts w:hint="default" w:ascii="Times New Roman" w:hAnsi="Times New Roman" w:eastAsia="楷体_GB2312" w:cs="Times New Roman"/>
          <w:color w:val="auto"/>
          <w:sz w:val="32"/>
          <w:szCs w:val="32"/>
          <w:shd w:val="clear" w:color="auto" w:fill="auto"/>
        </w:rPr>
        <w:t>打造核心区特色韧性</w:t>
      </w:r>
      <w:bookmarkEnd w:id="68"/>
      <w:bookmarkEnd w:id="69"/>
      <w:r>
        <w:rPr>
          <w:rFonts w:hint="eastAsia" w:eastAsia="楷体_GB2312" w:cs="Times New Roman"/>
          <w:color w:val="auto"/>
          <w:sz w:val="32"/>
          <w:szCs w:val="32"/>
          <w:shd w:val="clear" w:color="auto" w:fill="auto"/>
          <w:lang w:eastAsia="zh-CN"/>
        </w:rPr>
        <w:t>城市建设</w:t>
      </w:r>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制定实施韧性城市建设五年行动计划，发挥东城区韧性城市组团功能，强化</w:t>
      </w:r>
      <w:r>
        <w:rPr>
          <w:rFonts w:hint="eastAsia" w:ascii="宋体" w:hAnsi="宋体" w:eastAsia="仿宋_GB2312" w:cs="仿宋_GB2312"/>
          <w:sz w:val="32"/>
          <w:szCs w:val="32"/>
        </w:rPr>
        <w:t>韧性城市空间结构布局和韧性城市运行设施建设</w:t>
      </w:r>
      <w:r>
        <w:rPr>
          <w:rFonts w:hint="default" w:ascii="Times New Roman" w:hAnsi="Times New Roman" w:eastAsia="仿宋_GB2312" w:cs="Times New Roman"/>
          <w:color w:val="auto"/>
          <w:sz w:val="32"/>
          <w:szCs w:val="32"/>
          <w:shd w:val="clear" w:color="auto" w:fill="auto"/>
        </w:rPr>
        <w:t>，增强指挥体系、治理体系的灵</w:t>
      </w:r>
      <w:r>
        <w:rPr>
          <w:rFonts w:hint="default" w:ascii="Times New Roman" w:hAnsi="Times New Roman" w:eastAsia="仿宋_GB2312" w:cs="Times New Roman"/>
          <w:sz w:val="32"/>
          <w:szCs w:val="32"/>
        </w:rPr>
        <w:t>活性和适应性，提升紧急情况下自组织自运转能力。</w:t>
      </w:r>
    </w:p>
    <w:p w14:paraId="7B66379C">
      <w:pPr>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bookmarkStart w:id="70" w:name="_Toc116787666"/>
      <w:r>
        <w:rPr>
          <w:rFonts w:hint="default" w:ascii="Times New Roman" w:hAnsi="Times New Roman" w:eastAsia="楷体_GB2312" w:cs="Times New Roman"/>
          <w:sz w:val="32"/>
          <w:szCs w:val="32"/>
        </w:rPr>
        <w:t>（二十三）</w:t>
      </w:r>
      <w:bookmarkEnd w:id="70"/>
      <w:r>
        <w:rPr>
          <w:rFonts w:hint="eastAsia" w:eastAsia="楷体_GB2312" w:cs="Times New Roman"/>
          <w:sz w:val="32"/>
          <w:szCs w:val="32"/>
          <w:lang w:eastAsia="zh-CN"/>
        </w:rPr>
        <w:t>深化综合风险普查数据成果更新应用</w:t>
      </w:r>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color w:val="auto"/>
          <w:kern w:val="2"/>
          <w:sz w:val="32"/>
          <w:szCs w:val="32"/>
          <w:shd w:val="clear" w:color="auto" w:fill="auto"/>
          <w:lang w:bidi="ar"/>
        </w:rPr>
        <w:t>结合东城区</w:t>
      </w:r>
      <w:r>
        <w:rPr>
          <w:rFonts w:hint="default" w:ascii="Times New Roman" w:hAnsi="Times New Roman" w:eastAsia="仿宋_GB2312" w:cs="Times New Roman"/>
          <w:sz w:val="32"/>
          <w:szCs w:val="32"/>
          <w:lang w:bidi="ar"/>
        </w:rPr>
        <w:t>实际</w:t>
      </w:r>
      <w:r>
        <w:rPr>
          <w:rFonts w:hint="default" w:ascii="Times New Roman" w:hAnsi="Times New Roman" w:eastAsia="仿宋_GB2312" w:cs="Times New Roman"/>
          <w:color w:val="auto"/>
          <w:kern w:val="2"/>
          <w:sz w:val="32"/>
          <w:szCs w:val="32"/>
          <w:shd w:val="clear" w:color="auto" w:fill="auto"/>
          <w:lang w:bidi="ar"/>
        </w:rPr>
        <w:t>，</w:t>
      </w:r>
      <w:r>
        <w:rPr>
          <w:rFonts w:hint="eastAsia" w:ascii="仿宋_GB2312" w:hAnsi="仿宋_GB2312" w:eastAsia="仿宋_GB2312" w:cs="仿宋_GB2312"/>
          <w:b w:val="0"/>
          <w:bCs w:val="0"/>
          <w:sz w:val="32"/>
          <w:szCs w:val="32"/>
          <w:lang w:eastAsia="zh-CN"/>
        </w:rPr>
        <w:t>组织开展</w:t>
      </w:r>
      <w:r>
        <w:rPr>
          <w:rFonts w:hint="eastAsia" w:ascii="仿宋_GB2312" w:hAnsi="仿宋_GB2312" w:eastAsia="仿宋_GB2312" w:cs="仿宋_GB2312"/>
          <w:color w:val="auto"/>
          <w:kern w:val="2"/>
          <w:sz w:val="32"/>
          <w:szCs w:val="32"/>
          <w:shd w:val="clear" w:color="auto" w:fill="auto"/>
          <w:lang w:bidi="ar"/>
        </w:rPr>
        <w:t>应急</w:t>
      </w:r>
      <w:r>
        <w:rPr>
          <w:rFonts w:hint="default" w:ascii="Times New Roman" w:hAnsi="Times New Roman" w:eastAsia="仿宋_GB2312" w:cs="Times New Roman"/>
          <w:color w:val="auto"/>
          <w:kern w:val="2"/>
          <w:sz w:val="32"/>
          <w:szCs w:val="32"/>
          <w:shd w:val="clear" w:color="auto" w:fill="auto"/>
          <w:lang w:bidi="ar"/>
        </w:rPr>
        <w:t>管理系统自然灾害综合风险基础数据更新工作，总结凝练普查数据在基层应急能力提升等方面的工作成效，形成自然灾害综合风险普查成果应用案例。</w:t>
      </w:r>
    </w:p>
    <w:p w14:paraId="1B705A74">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rPr>
      </w:pPr>
      <w:bookmarkStart w:id="71" w:name="_Toc35824060"/>
      <w:r>
        <w:rPr>
          <w:rFonts w:hint="eastAsia" w:eastAsia="黑体" w:cs="Times New Roman"/>
          <w:bCs w:val="0"/>
          <w:sz w:val="32"/>
          <w:szCs w:val="32"/>
          <w:lang w:eastAsia="zh-CN"/>
        </w:rPr>
        <w:t>六</w:t>
      </w:r>
      <w:r>
        <w:rPr>
          <w:rFonts w:hint="default" w:ascii="Times New Roman" w:hAnsi="Times New Roman" w:eastAsia="黑体" w:cs="Times New Roman"/>
          <w:bCs w:val="0"/>
          <w:sz w:val="32"/>
          <w:szCs w:val="32"/>
        </w:rPr>
        <w:t>、完善安全生产风险防控体系</w:t>
      </w:r>
      <w:bookmarkEnd w:id="71"/>
    </w:p>
    <w:p w14:paraId="11C733D4">
      <w:pPr>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bookmarkStart w:id="72" w:name="_Toc2043792264"/>
      <w:r>
        <w:rPr>
          <w:rFonts w:hint="default" w:ascii="Times New Roman" w:hAnsi="Times New Roman" w:eastAsia="楷体_GB2312" w:cs="Times New Roman"/>
          <w:sz w:val="32"/>
          <w:szCs w:val="32"/>
        </w:rPr>
        <w:t>（二十四）深化双重预防机制压实主体责任</w:t>
      </w:r>
      <w:bookmarkEnd w:id="72"/>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sz w:val="32"/>
          <w:szCs w:val="32"/>
        </w:rPr>
        <w:t>推进安全风险分级管控和隐患排查治理双重预防机制，健全重点行业的全域安全风险评估机制。持续开展安全生产责任强化落实行动，落实警示提醒、点名通报、工作约谈、线索移送“四步法”，进一步压实生产经营单位主体责任和部门监管责任。</w:t>
      </w:r>
    </w:p>
    <w:p w14:paraId="2A167490">
      <w:pPr>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73" w:name="_Toc164918842"/>
      <w:r>
        <w:rPr>
          <w:rFonts w:hint="default" w:ascii="Times New Roman" w:hAnsi="Times New Roman" w:eastAsia="楷体_GB2312" w:cs="Times New Roman"/>
          <w:sz w:val="32"/>
          <w:szCs w:val="32"/>
        </w:rPr>
        <w:t>（二十五）开展重点行业领域隐患动态清零行动</w:t>
      </w:r>
      <w:bookmarkEnd w:id="73"/>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sz w:val="32"/>
          <w:szCs w:val="32"/>
        </w:rPr>
        <w:t>持续开展重点行业领域整治提升行动，指导督促有关部门聚焦人员密集场所、城市运行等重点领域深入开展隐患排查。强化危险化学品和工贸企业安全监管，加强常态化风险隐患巡查，推动形成隐患排查、风险识别、监测预警、及时处置闭环管理，分级分类建立健全风险隐患动态排查清单，督促辖区内生产经营单位主动开展风险隐患</w:t>
      </w:r>
      <w:r>
        <w:rPr>
          <w:rFonts w:hint="default" w:ascii="Times New Roman" w:hAnsi="Times New Roman" w:eastAsia="仿宋_GB2312" w:cs="Times New Roman"/>
          <w:color w:val="auto"/>
          <w:sz w:val="32"/>
          <w:szCs w:val="32"/>
          <w:shd w:val="clear" w:color="auto" w:fill="auto"/>
        </w:rPr>
        <w:t>自查自改，确保重大事故隐患动态清零。</w:t>
      </w:r>
    </w:p>
    <w:p w14:paraId="3F347E24">
      <w:pPr>
        <w:keepLines w:val="0"/>
        <w:pageBreakBefore w:val="0"/>
        <w:widowControl/>
        <w:numPr>
          <w:ilvl w:val="255"/>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楷体_GB2312" w:cs="Times New Roman"/>
          <w:color w:val="auto"/>
          <w:sz w:val="32"/>
          <w:szCs w:val="32"/>
          <w:shd w:val="clear" w:color="auto" w:fill="auto"/>
        </w:rPr>
        <w:t>（二十六）精准化开展非现场监管</w:t>
      </w:r>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进一步加强安全生产非现场监管与现场检查有机衔接。聚焦危险化学品、有限空间、特种作业等重点领域，持续拓展非现场监管覆盖范围。规范运用北京市应急管理非现场监管系统平台，实现全流程闭环管理。</w:t>
      </w:r>
    </w:p>
    <w:p w14:paraId="004BD973">
      <w:pPr>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shd w:val="clear" w:color="auto" w:fill="auto"/>
        </w:rPr>
      </w:pPr>
      <w:bookmarkStart w:id="74" w:name="_Toc1183711443"/>
      <w:r>
        <w:rPr>
          <w:rFonts w:hint="default" w:ascii="Times New Roman" w:hAnsi="Times New Roman" w:eastAsia="楷体_GB2312" w:cs="Times New Roman"/>
          <w:color w:val="auto"/>
          <w:sz w:val="32"/>
          <w:szCs w:val="32"/>
          <w:shd w:val="clear" w:color="auto" w:fill="auto"/>
        </w:rPr>
        <w:t>（二十</w:t>
      </w:r>
      <w:r>
        <w:rPr>
          <w:rFonts w:hint="default" w:ascii="Times New Roman" w:hAnsi="Times New Roman" w:eastAsia="楷体_GB2312" w:cs="Times New Roman"/>
          <w:b w:val="0"/>
          <w:bCs w:val="0"/>
          <w:color w:val="auto"/>
          <w:sz w:val="32"/>
          <w:szCs w:val="32"/>
          <w:shd w:val="clear" w:color="auto" w:fill="auto"/>
        </w:rPr>
        <w:t>七</w:t>
      </w:r>
      <w:r>
        <w:rPr>
          <w:rFonts w:hint="default" w:ascii="Times New Roman" w:hAnsi="Times New Roman" w:eastAsia="楷体_GB2312" w:cs="Times New Roman"/>
          <w:color w:val="auto"/>
          <w:sz w:val="32"/>
          <w:szCs w:val="32"/>
          <w:shd w:val="clear" w:color="auto" w:fill="auto"/>
        </w:rPr>
        <w:t>）增强安全执法权威效能</w:t>
      </w:r>
      <w:bookmarkEnd w:id="74"/>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依法开展安全生产监督检查，开展安全生产重点领域“打非治违”，提高千次行政检查重大事故隐患发现率</w:t>
      </w:r>
      <w:r>
        <w:rPr>
          <w:rFonts w:hint="eastAsia"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rPr>
        <w:t>提升执法效能。综合运用“一案双罚”、跨部门联合惩戒以及“四不两直”等监管手段，依法严厉查处各类违法违规行为。实施防消一体消防执法监管。加强基层安全生产执法人员队伍建设。提升精准化安全监管能力，用好危险化学品集中管理体系信息平台、“企安安”、行政执法等统建系统平台推广使用力度，全面支撑隐患排查和监管执法效能提升。</w:t>
      </w:r>
    </w:p>
    <w:p w14:paraId="0519F1B4">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hd w:val="clear" w:color="auto" w:fill="auto"/>
          <w:lang w:eastAsia="zh-CN"/>
        </w:rPr>
      </w:pPr>
      <w:bookmarkStart w:id="75" w:name="_Toc1809237660"/>
      <w:r>
        <w:rPr>
          <w:rFonts w:hint="eastAsia" w:eastAsia="黑体" w:cs="Times New Roman"/>
          <w:bCs w:val="0"/>
          <w:color w:val="auto"/>
          <w:sz w:val="32"/>
          <w:szCs w:val="32"/>
          <w:shd w:val="clear" w:color="auto" w:fill="auto"/>
          <w:lang w:eastAsia="zh-CN"/>
        </w:rPr>
        <w:t>七</w:t>
      </w:r>
      <w:r>
        <w:rPr>
          <w:rFonts w:hint="default" w:ascii="Times New Roman" w:hAnsi="Times New Roman" w:eastAsia="黑体" w:cs="Times New Roman"/>
          <w:bCs w:val="0"/>
          <w:color w:val="auto"/>
          <w:sz w:val="32"/>
          <w:szCs w:val="32"/>
          <w:shd w:val="clear" w:color="auto" w:fill="auto"/>
        </w:rPr>
        <w:t>、不断提升应急救援水平</w:t>
      </w:r>
      <w:bookmarkEnd w:id="75"/>
    </w:p>
    <w:p w14:paraId="5100C720">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76" w:name="_Toc1914109298"/>
      <w:bookmarkStart w:id="77" w:name="_Toc917265078"/>
      <w:r>
        <w:rPr>
          <w:rFonts w:hint="default" w:ascii="Times New Roman" w:hAnsi="Times New Roman" w:eastAsia="楷体_GB2312" w:cs="Times New Roman"/>
          <w:color w:val="auto"/>
          <w:sz w:val="32"/>
          <w:szCs w:val="32"/>
          <w:shd w:val="clear" w:color="auto" w:fill="auto"/>
        </w:rPr>
        <w:t>（二十八）推动预案演练提质增</w:t>
      </w:r>
      <w:r>
        <w:rPr>
          <w:rFonts w:hint="default" w:ascii="Times New Roman" w:hAnsi="Times New Roman" w:eastAsia="楷体_GB2312" w:cs="Times New Roman"/>
          <w:sz w:val="32"/>
          <w:szCs w:val="32"/>
        </w:rPr>
        <w:t>效</w:t>
      </w:r>
      <w:bookmarkEnd w:id="76"/>
      <w:bookmarkEnd w:id="77"/>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sz w:val="32"/>
          <w:szCs w:val="32"/>
        </w:rPr>
        <w:t>修订区级总体应急预案，推动街道总体预案修订率达100%。研究制定区级突发事件现场处置工作手册，加强与区级突发事件现场指挥处置方案的衔接，推动企事业单位、居民委员会、社会组织等编制简明预案。每年组织开展区、街道、社区各级各类专项培训，每年开展至少1次区级应急演练，各相关单位每年开展至少1次专业队伍应急演练。提升无脚本应急响应演练效能，注重创新演练模式，注重灾害事故情景构建，强化演练沉浸感与实战性。</w:t>
      </w:r>
    </w:p>
    <w:p w14:paraId="35087158">
      <w:pPr>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shd w:val="clear" w:color="auto" w:fill="auto"/>
        </w:rPr>
      </w:pPr>
      <w:bookmarkStart w:id="78" w:name="_Toc200267770"/>
      <w:bookmarkStart w:id="79" w:name="_Toc348829556"/>
      <w:r>
        <w:rPr>
          <w:rFonts w:hint="default" w:ascii="Times New Roman" w:hAnsi="Times New Roman" w:eastAsia="楷体_GB2312" w:cs="Times New Roman"/>
          <w:sz w:val="32"/>
          <w:szCs w:val="32"/>
        </w:rPr>
        <w:t>（二十九）锤炼专业指挥处置能力</w:t>
      </w:r>
      <w:bookmarkEnd w:id="78"/>
      <w:bookmarkEnd w:id="79"/>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sz w:val="32"/>
          <w:szCs w:val="32"/>
        </w:rPr>
        <w:t>健全突发事件信息报告工作机制，深化重要时期多部门联勤值守，推动应急指挥综合业务系统向街道延伸，实现重大突发事件信息1小时内报告率达100%。开展指挥能力提升专项行动，实施区级突发事件现场指挥部组建运行指南，规范现场指挥部编组与任务分工。健全全覆盖的避险转移责任链条，逐项落实避险转移地点、路线、特殊人群管控等工作，聚焦城市内涝、地震、雨雪冰雹等风险，以社区为单元，动态掌握独居老人、失能人员等重点人群情况。应急响应启动后，按照应急预案迅速组织疏散、转移和自救互救，防止次生、衍生灾害。</w:t>
      </w:r>
      <w:r>
        <w:rPr>
          <w:rFonts w:hint="default" w:ascii="Times New Roman" w:hAnsi="Times New Roman" w:eastAsia="仿宋_GB2312" w:cs="Times New Roman"/>
          <w:sz w:val="32"/>
          <w:szCs w:val="32"/>
          <w:lang w:val="en"/>
        </w:rPr>
        <w:t>结合实际制定区级</w:t>
      </w:r>
      <w:r>
        <w:rPr>
          <w:rFonts w:hint="default" w:ascii="Times New Roman" w:hAnsi="Times New Roman" w:eastAsia="仿宋_GB2312" w:cs="Times New Roman"/>
          <w:sz w:val="32"/>
          <w:szCs w:val="32"/>
        </w:rPr>
        <w:t>自然灾害生活救助指导标准实</w:t>
      </w:r>
      <w:r>
        <w:rPr>
          <w:rFonts w:hint="default" w:ascii="Times New Roman" w:hAnsi="Times New Roman" w:eastAsia="仿宋_GB2312" w:cs="Times New Roman"/>
          <w:color w:val="auto"/>
          <w:sz w:val="32"/>
          <w:szCs w:val="32"/>
          <w:shd w:val="clear" w:color="auto" w:fill="auto"/>
        </w:rPr>
        <w:t>施细则，强化养老服务机构、托幼机构、医院、学校、酒店民宿等重点场所应急处置能力建设。</w:t>
      </w:r>
    </w:p>
    <w:p w14:paraId="7B645EA4">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80" w:name="_Toc174988025"/>
      <w:r>
        <w:rPr>
          <w:rFonts w:hint="default" w:ascii="Times New Roman" w:hAnsi="Times New Roman" w:eastAsia="楷体_GB2312" w:cs="Times New Roman"/>
          <w:color w:val="auto"/>
          <w:sz w:val="32"/>
          <w:szCs w:val="32"/>
          <w:shd w:val="clear" w:color="auto" w:fill="auto"/>
        </w:rPr>
        <w:t>（三十）构建多层级应急物资储备网络</w:t>
      </w:r>
      <w:bookmarkEnd w:id="80"/>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健全应急物资储备、管理制度，结合灾害特点制定应急物资储备清单，推动生活救助类物资储备规模满足不低于6000人的需求</w:t>
      </w:r>
      <w:r>
        <w:rPr>
          <w:rFonts w:hint="eastAsia" w:eastAsia="仿宋_GB2312" w:cs="Times New Roman"/>
          <w:color w:val="auto"/>
          <w:sz w:val="32"/>
          <w:szCs w:val="32"/>
          <w:shd w:val="clear" w:color="auto" w:fill="auto"/>
          <w:lang w:eastAsia="zh-CN"/>
        </w:rPr>
        <w:t>，</w:t>
      </w:r>
      <w:r>
        <w:rPr>
          <w:rFonts w:hint="eastAsia" w:ascii="宋体" w:hAnsi="宋体" w:eastAsia="仿宋_GB2312" w:cs="Times New Roman"/>
          <w:kern w:val="2"/>
          <w:sz w:val="32"/>
          <w:szCs w:val="32"/>
        </w:rPr>
        <w:t>并留有一定冗余</w:t>
      </w:r>
      <w:r>
        <w:rPr>
          <w:rFonts w:hint="default" w:ascii="Times New Roman" w:hAnsi="Times New Roman" w:eastAsia="仿宋_GB2312" w:cs="Times New Roman"/>
          <w:color w:val="auto"/>
          <w:sz w:val="32"/>
          <w:szCs w:val="32"/>
          <w:shd w:val="clear" w:color="auto" w:fill="auto"/>
        </w:rPr>
        <w:t>。依托北京市应急物资管理信息平台，实现应急物资一网统管、精准调配。完善以区</w:t>
      </w:r>
      <w:r>
        <w:rPr>
          <w:rFonts w:hint="default" w:ascii="Times New Roman" w:hAnsi="Times New Roman" w:eastAsia="仿宋_GB2312" w:cs="Times New Roman"/>
          <w:sz w:val="32"/>
          <w:szCs w:val="32"/>
        </w:rPr>
        <w:t>级为基础、街道为补充的储备点保障体系，推动实现街道、灾害易发社区物资储备点全覆盖，加强重点区域和高风险地区应急物资储备库建设，推动应急物资协议储备和周边应急物资联储互补。推广“家庭应急包”计划，鼓励有条件的居民储备必要的应急</w:t>
      </w:r>
      <w:r>
        <w:rPr>
          <w:rFonts w:hint="default" w:ascii="Times New Roman" w:hAnsi="Times New Roman" w:eastAsia="仿宋_GB2312" w:cs="Times New Roman"/>
          <w:color w:val="auto"/>
          <w:sz w:val="32"/>
          <w:szCs w:val="32"/>
          <w:shd w:val="clear" w:color="auto" w:fill="auto"/>
        </w:rPr>
        <w:t>物资。</w:t>
      </w:r>
    </w:p>
    <w:p w14:paraId="2708344D">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81" w:name="_Toc1371438594"/>
      <w:r>
        <w:rPr>
          <w:rFonts w:hint="default" w:ascii="Times New Roman" w:hAnsi="Times New Roman" w:eastAsia="楷体_GB2312" w:cs="Times New Roman"/>
          <w:color w:val="auto"/>
          <w:sz w:val="32"/>
          <w:szCs w:val="32"/>
          <w:shd w:val="clear" w:color="auto" w:fill="auto"/>
        </w:rPr>
        <w:t>（三十</w:t>
      </w:r>
      <w:r>
        <w:rPr>
          <w:rFonts w:hint="default" w:ascii="Times New Roman" w:hAnsi="Times New Roman" w:eastAsia="楷体_GB2312" w:cs="Times New Roman"/>
          <w:b w:val="0"/>
          <w:bCs w:val="0"/>
          <w:color w:val="auto"/>
          <w:sz w:val="32"/>
          <w:szCs w:val="32"/>
          <w:shd w:val="clear" w:color="auto" w:fill="auto"/>
        </w:rPr>
        <w:t>一</w:t>
      </w:r>
      <w:r>
        <w:rPr>
          <w:rFonts w:hint="default" w:ascii="Times New Roman" w:hAnsi="Times New Roman" w:eastAsia="楷体_GB2312" w:cs="Times New Roman"/>
          <w:color w:val="auto"/>
          <w:sz w:val="32"/>
          <w:szCs w:val="32"/>
          <w:shd w:val="clear" w:color="auto" w:fill="auto"/>
        </w:rPr>
        <w:t>）</w:t>
      </w:r>
      <w:r>
        <w:rPr>
          <w:rFonts w:hint="eastAsia" w:eastAsia="楷体_GB2312" w:cs="Times New Roman"/>
          <w:color w:val="auto"/>
          <w:sz w:val="32"/>
          <w:szCs w:val="32"/>
          <w:shd w:val="clear" w:color="auto" w:fill="auto"/>
          <w:lang w:eastAsia="zh-CN"/>
        </w:rPr>
        <w:t>科学</w:t>
      </w:r>
      <w:r>
        <w:rPr>
          <w:rFonts w:hint="default" w:ascii="Times New Roman" w:hAnsi="Times New Roman" w:eastAsia="楷体_GB2312" w:cs="Times New Roman"/>
          <w:color w:val="auto"/>
          <w:sz w:val="32"/>
          <w:szCs w:val="32"/>
          <w:shd w:val="clear" w:color="auto" w:fill="auto"/>
        </w:rPr>
        <w:t>规范建设应急避难场所</w:t>
      </w:r>
      <w:bookmarkEnd w:id="81"/>
      <w:r>
        <w:rPr>
          <w:rFonts w:hint="default" w:ascii="Times New Roman" w:hAnsi="Times New Roman" w:eastAsia="楷体_GB2312" w:cs="Times New Roman"/>
          <w:b w:val="0"/>
          <w:bCs w:val="0"/>
          <w:color w:val="auto"/>
          <w:sz w:val="32"/>
          <w:szCs w:val="32"/>
          <w:shd w:val="clear" w:color="auto" w:fill="auto"/>
        </w:rPr>
        <w:t>。</w:t>
      </w:r>
      <w:r>
        <w:rPr>
          <w:rFonts w:hint="eastAsia" w:ascii="仿宋_GB2312" w:hAnsi="仿宋_GB2312" w:eastAsia="仿宋_GB2312" w:cs="仿宋_GB2312"/>
          <w:b w:val="0"/>
          <w:bCs w:val="0"/>
          <w:color w:val="auto"/>
          <w:sz w:val="32"/>
          <w:szCs w:val="32"/>
          <w:shd w:val="clear" w:color="auto" w:fill="auto"/>
          <w:lang w:eastAsia="zh-CN"/>
        </w:rPr>
        <w:t>加强应急避难场所建设，</w:t>
      </w:r>
      <w:r>
        <w:rPr>
          <w:rFonts w:hint="default" w:ascii="Times New Roman" w:hAnsi="Times New Roman" w:eastAsia="仿宋_GB2312" w:cs="Times New Roman"/>
          <w:color w:val="auto"/>
          <w:sz w:val="32"/>
          <w:szCs w:val="32"/>
          <w:shd w:val="clear" w:color="auto" w:fill="auto"/>
        </w:rPr>
        <w:t>推动防空和避难场所功能兼容</w:t>
      </w:r>
      <w:r>
        <w:rPr>
          <w:rFonts w:hint="eastAsia" w:eastAsia="仿宋_GB2312" w:cs="Times New Roman"/>
          <w:color w:val="auto"/>
          <w:sz w:val="32"/>
          <w:szCs w:val="32"/>
          <w:shd w:val="clear" w:color="auto" w:fill="auto"/>
          <w:lang w:eastAsia="zh-CN"/>
        </w:rPr>
        <w:t>。</w:t>
      </w:r>
      <w:r>
        <w:rPr>
          <w:rFonts w:hint="eastAsia" w:ascii="仿宋_GB2312" w:hAnsi="仿宋_GB2312" w:eastAsia="仿宋_GB2312" w:cs="仿宋_GB2312"/>
          <w:color w:val="auto"/>
          <w:sz w:val="32"/>
          <w:szCs w:val="32"/>
          <w:shd w:val="clear" w:color="auto" w:fill="auto"/>
        </w:rPr>
        <w:t>依法依规建立空间布局合理、资源统筹共享、功能设施完备、平急（疫/战）综合利用、管护使用规范的</w:t>
      </w:r>
      <w:r>
        <w:rPr>
          <w:rFonts w:hint="default" w:ascii="Times New Roman" w:hAnsi="Times New Roman" w:eastAsia="仿宋_GB2312" w:cs="Times New Roman"/>
          <w:color w:val="auto"/>
          <w:sz w:val="32"/>
          <w:szCs w:val="32"/>
          <w:shd w:val="clear" w:color="auto" w:fill="auto"/>
        </w:rPr>
        <w:t>应急避难场所体系。建立全区应急避难场所数据库，纳入应急预案体系。</w:t>
      </w:r>
    </w:p>
    <w:p w14:paraId="0F867FA5">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楷体_GB2312" w:cs="Times New Roman"/>
          <w:color w:val="auto"/>
          <w:sz w:val="32"/>
          <w:szCs w:val="32"/>
          <w:shd w:val="clear" w:color="auto" w:fill="auto"/>
        </w:rPr>
        <w:t>（三十二）持续强化基层应急队伍建设。</w:t>
      </w:r>
      <w:r>
        <w:rPr>
          <w:rFonts w:hint="default" w:ascii="Times New Roman" w:hAnsi="Times New Roman" w:eastAsia="仿宋_GB2312" w:cs="Times New Roman"/>
          <w:color w:val="auto"/>
          <w:sz w:val="32"/>
          <w:szCs w:val="32"/>
          <w:shd w:val="clear" w:color="auto" w:fill="auto"/>
        </w:rPr>
        <w:t>针对应急指挥调度、安全生产监管、自然灾害防治等岗位，通过公务员考录、公开招聘等渠道招收人才，保障待遇。构建</w:t>
      </w:r>
      <w:r>
        <w:rPr>
          <w:rFonts w:hint="default" w:ascii="Times New Roman" w:hAnsi="Times New Roman" w:eastAsia="仿宋_GB2312" w:cs="Times New Roman"/>
          <w:sz w:val="32"/>
          <w:szCs w:val="32"/>
        </w:rPr>
        <w:t>“综合＋专业＋社会”的基层应急救援力量体系，明确各级各类应急力量职责分工，完善协调联动机制。依托网格化服务体系，整合灾害信息员、群测群防员等力量，通过“多员合一”建设专兼职综合应急队伍，组建</w:t>
      </w: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支区级应急救</w:t>
      </w:r>
      <w:r>
        <w:rPr>
          <w:rFonts w:hint="default" w:ascii="Times New Roman" w:hAnsi="Times New Roman" w:eastAsia="仿宋_GB2312" w:cs="Times New Roman"/>
          <w:color w:val="auto"/>
          <w:sz w:val="32"/>
          <w:szCs w:val="32"/>
          <w:shd w:val="clear" w:color="auto" w:fill="auto"/>
        </w:rPr>
        <w:t>援队伍。各街道对本地区应急救援力量做到底数清晰，提升应急处置能力。</w:t>
      </w:r>
    </w:p>
    <w:p w14:paraId="35DBA0FA">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hd w:val="clear" w:color="auto" w:fill="auto"/>
        </w:rPr>
      </w:pPr>
      <w:bookmarkStart w:id="82" w:name="_Toc1997627661"/>
      <w:bookmarkStart w:id="83" w:name="_Toc1663135823"/>
      <w:bookmarkStart w:id="84" w:name="_Toc1261661746"/>
      <w:bookmarkStart w:id="85" w:name="_Toc1754171206"/>
      <w:bookmarkStart w:id="86" w:name="_Toc8622"/>
      <w:bookmarkStart w:id="87" w:name="_Toc103437396"/>
      <w:r>
        <w:rPr>
          <w:rFonts w:hint="eastAsia" w:eastAsia="黑体" w:cs="Times New Roman"/>
          <w:bCs w:val="0"/>
          <w:color w:val="auto"/>
          <w:sz w:val="32"/>
          <w:szCs w:val="32"/>
          <w:shd w:val="clear" w:color="auto" w:fill="auto"/>
          <w:lang w:eastAsia="zh-CN"/>
        </w:rPr>
        <w:t>八</w:t>
      </w:r>
      <w:r>
        <w:rPr>
          <w:rFonts w:hint="default" w:ascii="Times New Roman" w:hAnsi="Times New Roman" w:eastAsia="黑体" w:cs="Times New Roman"/>
          <w:bCs w:val="0"/>
          <w:color w:val="auto"/>
          <w:sz w:val="32"/>
          <w:szCs w:val="32"/>
          <w:shd w:val="clear" w:color="auto" w:fill="auto"/>
        </w:rPr>
        <w:t>、稳步夯实支撑保障基础</w:t>
      </w:r>
      <w:bookmarkEnd w:id="82"/>
      <w:bookmarkEnd w:id="83"/>
      <w:bookmarkEnd w:id="84"/>
      <w:bookmarkEnd w:id="85"/>
      <w:bookmarkEnd w:id="86"/>
      <w:bookmarkEnd w:id="87"/>
    </w:p>
    <w:p w14:paraId="442F95E8">
      <w:pPr>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楷体_GB2312" w:cs="Times New Roman"/>
          <w:color w:val="auto"/>
          <w:sz w:val="32"/>
          <w:szCs w:val="32"/>
          <w:shd w:val="clear" w:color="auto" w:fill="auto"/>
        </w:rPr>
        <w:t>（三十三）推</w:t>
      </w:r>
      <w:r>
        <w:rPr>
          <w:rFonts w:hint="default" w:ascii="Times New Roman" w:hAnsi="Times New Roman" w:eastAsia="楷体_GB2312" w:cs="Times New Roman"/>
          <w:sz w:val="32"/>
          <w:szCs w:val="32"/>
        </w:rPr>
        <w:t>进应急管理法治建设。</w:t>
      </w:r>
      <w:r>
        <w:rPr>
          <w:rFonts w:hint="default" w:ascii="Times New Roman" w:hAnsi="Times New Roman" w:eastAsia="仿宋_GB2312" w:cs="Times New Roman"/>
          <w:bCs/>
          <w:sz w:val="32"/>
          <w:szCs w:val="32"/>
        </w:rPr>
        <w:t>围绕突发事件应对、防灾减灾救灾、安全生产等重点领域，配合市应急管理局进行立法修法</w:t>
      </w:r>
      <w:r>
        <w:rPr>
          <w:rFonts w:hint="eastAsia" w:ascii="Times New Roman" w:hAnsi="Times New Roman" w:eastAsia="仿宋_GB2312" w:cs="Times New Roman"/>
          <w:bCs/>
          <w:sz w:val="32"/>
          <w:szCs w:val="32"/>
          <w:lang w:eastAsia="zh-CN"/>
        </w:rPr>
        <w:t>基础</w:t>
      </w:r>
      <w:r>
        <w:rPr>
          <w:rFonts w:hint="default" w:ascii="Times New Roman" w:hAnsi="Times New Roman" w:eastAsia="仿宋_GB2312" w:cs="Times New Roman"/>
          <w:bCs/>
          <w:sz w:val="32"/>
          <w:szCs w:val="32"/>
        </w:rPr>
        <w:t>研究。结合</w:t>
      </w:r>
      <w:r>
        <w:rPr>
          <w:rFonts w:hint="eastAsia" w:ascii="Times New Roman" w:hAnsi="Times New Roman" w:eastAsia="仿宋_GB2312" w:cs="Times New Roman"/>
          <w:bCs/>
          <w:sz w:val="32"/>
          <w:szCs w:val="32"/>
          <w:lang w:eastAsia="zh-CN"/>
        </w:rPr>
        <w:t>“12·4”国家宪法日等</w:t>
      </w:r>
      <w:r>
        <w:rPr>
          <w:rFonts w:hint="default" w:ascii="Times New Roman" w:hAnsi="Times New Roman" w:eastAsia="仿宋_GB2312" w:cs="Times New Roman"/>
          <w:bCs/>
          <w:sz w:val="32"/>
          <w:szCs w:val="32"/>
        </w:rPr>
        <w:t>重要时间节点开</w:t>
      </w:r>
      <w:r>
        <w:rPr>
          <w:rFonts w:hint="default" w:ascii="Times New Roman" w:hAnsi="Times New Roman" w:eastAsia="仿宋_GB2312" w:cs="Times New Roman"/>
          <w:sz w:val="32"/>
          <w:szCs w:val="32"/>
        </w:rPr>
        <w:t>展普法宣传活动。落实“</w:t>
      </w:r>
      <w:r>
        <w:rPr>
          <w:rFonts w:hint="default" w:ascii="Times New Roman" w:hAnsi="Times New Roman" w:eastAsia="仿宋_GB2312" w:cs="Times New Roman"/>
          <w:color w:val="auto"/>
          <w:sz w:val="32"/>
          <w:szCs w:val="32"/>
          <w:shd w:val="clear" w:color="auto" w:fill="auto"/>
        </w:rPr>
        <w:t>谁执法谁普法”普法责任制，扎实推进行政执法“三项制度”。</w:t>
      </w:r>
    </w:p>
    <w:p w14:paraId="4CBD7EA7">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88" w:name="_Toc367287624"/>
      <w:bookmarkStart w:id="89" w:name="_Toc1611620542"/>
      <w:r>
        <w:rPr>
          <w:rFonts w:hint="default" w:ascii="Times New Roman" w:hAnsi="Times New Roman" w:eastAsia="楷体_GB2312" w:cs="Times New Roman"/>
          <w:color w:val="auto"/>
          <w:sz w:val="32"/>
          <w:szCs w:val="32"/>
          <w:shd w:val="clear" w:color="auto" w:fill="auto"/>
        </w:rPr>
        <w:t>（三十四）</w:t>
      </w:r>
      <w:r>
        <w:rPr>
          <w:rFonts w:hint="eastAsia" w:eastAsia="楷体_GB2312" w:cs="Times New Roman"/>
          <w:color w:val="auto"/>
          <w:sz w:val="32"/>
          <w:szCs w:val="32"/>
          <w:shd w:val="clear" w:color="auto" w:fill="auto"/>
          <w:lang w:eastAsia="zh-CN"/>
        </w:rPr>
        <w:t>强化</w:t>
      </w:r>
      <w:r>
        <w:rPr>
          <w:rFonts w:hint="default" w:ascii="Times New Roman" w:hAnsi="Times New Roman" w:eastAsia="楷体_GB2312" w:cs="Times New Roman"/>
          <w:color w:val="auto"/>
          <w:sz w:val="32"/>
          <w:szCs w:val="32"/>
          <w:shd w:val="clear" w:color="auto" w:fill="auto"/>
        </w:rPr>
        <w:t>基层队伍</w:t>
      </w:r>
      <w:r>
        <w:rPr>
          <w:rFonts w:hint="default" w:ascii="Times New Roman" w:hAnsi="Times New Roman" w:eastAsia="仿宋_GB2312" w:cs="Times New Roman"/>
          <w:bCs/>
          <w:sz w:val="32"/>
          <w:szCs w:val="32"/>
        </w:rPr>
        <w:t>规范化</w:t>
      </w:r>
      <w:r>
        <w:rPr>
          <w:rFonts w:hint="default" w:ascii="Times New Roman" w:hAnsi="Times New Roman" w:eastAsia="楷体_GB2312" w:cs="Times New Roman"/>
          <w:color w:val="auto"/>
          <w:sz w:val="32"/>
          <w:szCs w:val="32"/>
          <w:shd w:val="clear" w:color="auto" w:fill="auto"/>
        </w:rPr>
        <w:t>建设</w:t>
      </w:r>
      <w:bookmarkEnd w:id="88"/>
      <w:bookmarkEnd w:id="89"/>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b w:val="0"/>
          <w:bCs w:val="0"/>
          <w:color w:val="auto"/>
          <w:sz w:val="32"/>
          <w:szCs w:val="32"/>
          <w:shd w:val="clear" w:color="auto" w:fill="auto"/>
        </w:rPr>
        <w:t>提高基层安全生产行政在编人员取得行政执法证件总数，</w:t>
      </w:r>
      <w:r>
        <w:rPr>
          <w:rFonts w:hint="default" w:ascii="Times New Roman" w:hAnsi="Times New Roman" w:eastAsia="仿宋_GB2312" w:cs="Times New Roman"/>
          <w:color w:val="auto"/>
          <w:sz w:val="32"/>
          <w:szCs w:val="32"/>
          <w:shd w:val="clear" w:color="auto" w:fill="auto"/>
        </w:rPr>
        <w:t>配齐建强专职技术检查员队伍。分层分类开展应急响应人、灾害信息员、应急志愿者、“应急管理明白人”等专业化培训，重点提升企业主要负责人及安全主管领导的安全生产意识和责任意识。</w:t>
      </w:r>
    </w:p>
    <w:p w14:paraId="1CB0AC5B">
      <w:pPr>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color w:val="auto"/>
          <w:shd w:val="clear" w:color="auto" w:fill="auto"/>
          <w:lang w:eastAsia="zh-CN"/>
        </w:rPr>
      </w:pPr>
      <w:bookmarkStart w:id="90" w:name="_Toc864967443"/>
      <w:bookmarkStart w:id="91" w:name="_Toc382354269"/>
      <w:r>
        <w:rPr>
          <w:rFonts w:hint="default" w:ascii="Times New Roman" w:hAnsi="Times New Roman" w:eastAsia="楷体_GB2312" w:cs="Times New Roman"/>
          <w:color w:val="auto"/>
          <w:kern w:val="0"/>
          <w:sz w:val="32"/>
          <w:szCs w:val="32"/>
          <w:shd w:val="clear" w:color="auto" w:fill="auto"/>
        </w:rPr>
        <w:t>（三十五）健全应急通信保障手段。</w:t>
      </w:r>
      <w:r>
        <w:rPr>
          <w:rFonts w:hint="default" w:ascii="Times New Roman" w:hAnsi="Times New Roman" w:eastAsia="仿宋_GB2312" w:cs="Times New Roman"/>
          <w:color w:val="auto"/>
          <w:kern w:val="0"/>
          <w:sz w:val="32"/>
          <w:szCs w:val="32"/>
          <w:shd w:val="clear" w:color="auto" w:fill="auto"/>
        </w:rPr>
        <w:t>完成区应急指挥中心卫星电话配备、370M应急指挥窄带无线通信网贯通，推动350M数字集群专网终端迭代替换，确保“三断”</w:t>
      </w:r>
      <w:r>
        <w:rPr>
          <w:rStyle w:val="17"/>
          <w:rFonts w:hint="default" w:ascii="Times New Roman" w:hAnsi="Times New Roman" w:eastAsia="仿宋_GB2312" w:cs="Times New Roman"/>
          <w:color w:val="auto"/>
          <w:kern w:val="0"/>
          <w:sz w:val="32"/>
          <w:szCs w:val="32"/>
          <w:shd w:val="clear" w:color="auto" w:fill="auto"/>
        </w:rPr>
        <w:footnoteReference w:id="4"/>
      </w:r>
      <w:r>
        <w:rPr>
          <w:rFonts w:hint="default" w:ascii="Times New Roman" w:hAnsi="Times New Roman" w:eastAsia="仿宋_GB2312" w:cs="Times New Roman"/>
          <w:color w:val="auto"/>
          <w:kern w:val="0"/>
          <w:sz w:val="32"/>
          <w:szCs w:val="32"/>
          <w:shd w:val="clear" w:color="auto" w:fill="auto"/>
        </w:rPr>
        <w:t>等极端条件下的通信畅通。</w:t>
      </w:r>
    </w:p>
    <w:p w14:paraId="40D0D0D0">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hd w:val="clear" w:color="auto" w:fill="auto"/>
        </w:rPr>
      </w:pPr>
      <w:r>
        <w:rPr>
          <w:rFonts w:hint="eastAsia" w:eastAsia="黑体" w:cs="Times New Roman"/>
          <w:bCs w:val="0"/>
          <w:color w:val="auto"/>
          <w:sz w:val="32"/>
          <w:szCs w:val="32"/>
          <w:shd w:val="clear" w:color="auto" w:fill="auto"/>
          <w:lang w:eastAsia="zh-CN"/>
        </w:rPr>
        <w:t>九</w:t>
      </w:r>
      <w:r>
        <w:rPr>
          <w:rFonts w:hint="default" w:ascii="Times New Roman" w:hAnsi="Times New Roman" w:eastAsia="黑体" w:cs="Times New Roman"/>
          <w:bCs w:val="0"/>
          <w:color w:val="auto"/>
          <w:sz w:val="32"/>
          <w:szCs w:val="32"/>
          <w:shd w:val="clear" w:color="auto" w:fill="auto"/>
        </w:rPr>
        <w:t>、</w:t>
      </w:r>
      <w:bookmarkEnd w:id="90"/>
      <w:r>
        <w:rPr>
          <w:rFonts w:hint="default" w:ascii="Times New Roman" w:hAnsi="Times New Roman" w:eastAsia="黑体" w:cs="Times New Roman"/>
          <w:bCs w:val="0"/>
          <w:color w:val="auto"/>
          <w:sz w:val="32"/>
          <w:szCs w:val="32"/>
          <w:shd w:val="clear" w:color="auto" w:fill="auto"/>
        </w:rPr>
        <w:t>加快提升基层应急能力</w:t>
      </w:r>
      <w:bookmarkEnd w:id="91"/>
    </w:p>
    <w:p w14:paraId="65CC2B9C">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rPr>
      </w:pPr>
      <w:bookmarkStart w:id="92" w:name="_Toc1587519359"/>
      <w:bookmarkStart w:id="93" w:name="_Toc716117180"/>
      <w:r>
        <w:rPr>
          <w:rFonts w:hint="default" w:ascii="Times New Roman" w:hAnsi="Times New Roman" w:eastAsia="楷体_GB2312" w:cs="Times New Roman"/>
          <w:color w:val="auto"/>
          <w:sz w:val="32"/>
          <w:szCs w:val="32"/>
          <w:shd w:val="clear" w:color="auto" w:fill="auto"/>
        </w:rPr>
        <w:t>（三十六）健全基层应急管理机制</w:t>
      </w:r>
      <w:bookmarkEnd w:id="92"/>
      <w:r>
        <w:rPr>
          <w:rFonts w:hint="default" w:ascii="Times New Roman" w:hAnsi="Times New Roman" w:eastAsia="楷体_GB2312" w:cs="Times New Roman"/>
          <w:b w:val="0"/>
          <w:bCs w:val="0"/>
          <w:color w:val="auto"/>
          <w:sz w:val="32"/>
          <w:szCs w:val="32"/>
          <w:shd w:val="clear" w:color="auto" w:fill="auto"/>
        </w:rPr>
        <w:t>。</w:t>
      </w:r>
      <w:bookmarkStart w:id="94" w:name="_Toc1042908918"/>
      <w:r>
        <w:rPr>
          <w:rFonts w:hint="default" w:ascii="Times New Roman" w:hAnsi="Times New Roman" w:eastAsia="仿宋_GB2312" w:cs="Times New Roman"/>
          <w:color w:val="auto"/>
          <w:sz w:val="32"/>
          <w:szCs w:val="32"/>
          <w:shd w:val="clear" w:color="auto" w:fill="auto"/>
        </w:rPr>
        <w:t>推动完善街道应急管理和消防工作</w:t>
      </w:r>
      <w:r>
        <w:rPr>
          <w:rFonts w:hint="default" w:ascii="Times New Roman" w:hAnsi="Times New Roman" w:eastAsia="仿宋_GB2312" w:cs="Times New Roman"/>
          <w:sz w:val="32"/>
          <w:szCs w:val="32"/>
        </w:rPr>
        <w:t>组织体系、街道应急管理和消防工作联席会议、社区联系制度，推动完善应消一体化工作机制。完善应急指挥体系，健全值班值守、信息报送、监测预警、指挥调度、会商研判、通信保障等功能，建立应急协调联动机制，统一协调指挥各类应急专业队伍。加强基层干部应急管理能力建设，每5年完成1轮街道干部培训。</w:t>
      </w:r>
    </w:p>
    <w:p w14:paraId="1A3976FE">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楷体_GB2312" w:cs="Times New Roman"/>
          <w:color w:val="auto"/>
          <w:sz w:val="32"/>
          <w:szCs w:val="32"/>
          <w:shd w:val="clear" w:color="auto" w:fill="auto"/>
        </w:rPr>
        <w:t>（三十</w:t>
      </w:r>
      <w:r>
        <w:rPr>
          <w:rFonts w:hint="default" w:ascii="Times New Roman" w:hAnsi="Times New Roman" w:eastAsia="楷体_GB2312" w:cs="Times New Roman"/>
          <w:b w:val="0"/>
          <w:bCs w:val="0"/>
          <w:color w:val="auto"/>
          <w:sz w:val="32"/>
          <w:szCs w:val="32"/>
          <w:shd w:val="clear" w:color="auto" w:fill="auto"/>
        </w:rPr>
        <w:t>七</w:t>
      </w:r>
      <w:r>
        <w:rPr>
          <w:rFonts w:hint="default" w:ascii="Times New Roman" w:hAnsi="Times New Roman" w:eastAsia="楷体_GB2312" w:cs="Times New Roman"/>
          <w:color w:val="auto"/>
          <w:sz w:val="32"/>
          <w:szCs w:val="32"/>
          <w:shd w:val="clear" w:color="auto" w:fill="auto"/>
        </w:rPr>
        <w:t>）提升社会协同共治效能</w:t>
      </w:r>
      <w:bookmarkEnd w:id="94"/>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大力推进安全生产责任保险制度，进一步加大安责险宣传推广工作力度，实现高危行业领域单位投保全覆盖。建强应急志愿服务队伍，鼓励有条件的街道组建不少于50人的应急志愿服务队。依托物业、外卖等领域基层从业人员培育应急响应人，健全社会动员机制。</w:t>
      </w:r>
    </w:p>
    <w:p w14:paraId="4D5A666A">
      <w:pPr>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95" w:name="_Toc29999349"/>
      <w:r>
        <w:rPr>
          <w:rFonts w:hint="default" w:ascii="Times New Roman" w:hAnsi="Times New Roman" w:eastAsia="楷体_GB2312" w:cs="Times New Roman"/>
          <w:color w:val="auto"/>
          <w:sz w:val="32"/>
          <w:szCs w:val="32"/>
          <w:shd w:val="clear" w:color="auto" w:fill="auto"/>
        </w:rPr>
        <w:t>（三十</w:t>
      </w:r>
      <w:r>
        <w:rPr>
          <w:rFonts w:hint="default" w:ascii="Times New Roman" w:hAnsi="Times New Roman" w:eastAsia="楷体_GB2312" w:cs="Times New Roman"/>
          <w:b w:val="0"/>
          <w:bCs w:val="0"/>
          <w:color w:val="auto"/>
          <w:sz w:val="32"/>
          <w:szCs w:val="32"/>
          <w:shd w:val="clear" w:color="auto" w:fill="auto"/>
        </w:rPr>
        <w:t>八</w:t>
      </w:r>
      <w:r>
        <w:rPr>
          <w:rFonts w:hint="default" w:ascii="Times New Roman" w:hAnsi="Times New Roman" w:eastAsia="楷体_GB2312" w:cs="Times New Roman"/>
          <w:color w:val="auto"/>
          <w:sz w:val="32"/>
          <w:szCs w:val="32"/>
          <w:shd w:val="clear" w:color="auto" w:fill="auto"/>
        </w:rPr>
        <w:t>）打造数字化应急科普宣教矩阵</w:t>
      </w:r>
      <w:bookmarkEnd w:id="93"/>
      <w:bookmarkEnd w:id="95"/>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聚焦“数字赋能”，积极利用媒体平台和数字化手段开展安全领域科普宣教，加大在主流媒体、行业媒</w:t>
      </w:r>
      <w:r>
        <w:rPr>
          <w:rFonts w:hint="default" w:ascii="Times New Roman" w:hAnsi="Times New Roman" w:eastAsia="仿宋_GB2312" w:cs="Times New Roman"/>
          <w:sz w:val="32"/>
          <w:szCs w:val="32"/>
        </w:rPr>
        <w:t>体的宣传报道力度，在“北京东城”APP、数字东城首页开设应急安全专属专栏，优化“北京东城应急”“北京东城消防”微信公众号运营质效，定期推送安全知识、解读法律</w:t>
      </w:r>
      <w:r>
        <w:rPr>
          <w:rFonts w:hint="default" w:ascii="Times New Roman" w:hAnsi="Times New Roman" w:eastAsia="仿宋_GB2312" w:cs="Times New Roman"/>
          <w:color w:val="auto"/>
          <w:sz w:val="32"/>
          <w:szCs w:val="32"/>
          <w:shd w:val="clear" w:color="auto" w:fill="auto"/>
        </w:rPr>
        <w:t>法规等，加强应急安全知识科普，动态更新典型案例曝光，不断提升公众安全应急意识和自救互救能力。</w:t>
      </w:r>
      <w:bookmarkStart w:id="96" w:name="_Toc1609744718"/>
      <w:bookmarkStart w:id="97" w:name="_Toc756010048"/>
    </w:p>
    <w:p w14:paraId="6AA3895A">
      <w:pPr>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楷体_GB2312" w:cs="Times New Roman"/>
          <w:color w:val="auto"/>
          <w:sz w:val="32"/>
          <w:szCs w:val="32"/>
          <w:shd w:val="clear" w:color="auto" w:fill="auto"/>
        </w:rPr>
        <w:t>（</w:t>
      </w:r>
      <w:r>
        <w:rPr>
          <w:rFonts w:hint="default" w:ascii="Times New Roman" w:hAnsi="Times New Roman" w:eastAsia="楷体_GB2312" w:cs="Times New Roman"/>
          <w:b w:val="0"/>
          <w:bCs w:val="0"/>
          <w:color w:val="auto"/>
          <w:sz w:val="32"/>
          <w:szCs w:val="32"/>
          <w:shd w:val="clear" w:color="auto" w:fill="auto"/>
        </w:rPr>
        <w:t>三十九</w:t>
      </w:r>
      <w:r>
        <w:rPr>
          <w:rFonts w:hint="default" w:ascii="Times New Roman" w:hAnsi="Times New Roman" w:eastAsia="楷体_GB2312" w:cs="Times New Roman"/>
          <w:color w:val="auto"/>
          <w:sz w:val="32"/>
          <w:szCs w:val="32"/>
          <w:shd w:val="clear" w:color="auto" w:fill="auto"/>
        </w:rPr>
        <w:t>）拓展基层实体宣教阵地覆盖</w:t>
      </w:r>
      <w:bookmarkEnd w:id="96"/>
      <w:bookmarkEnd w:id="97"/>
      <w:r>
        <w:rPr>
          <w:rFonts w:hint="default" w:ascii="Times New Roman" w:hAnsi="Times New Roman" w:eastAsia="楷体_GB2312" w:cs="Times New Roman"/>
          <w:b w:val="0"/>
          <w:bCs w:val="0"/>
          <w:color w:val="auto"/>
          <w:sz w:val="32"/>
          <w:szCs w:val="32"/>
          <w:shd w:val="clear" w:color="auto" w:fill="auto"/>
        </w:rPr>
        <w:t>。</w:t>
      </w:r>
      <w:r>
        <w:rPr>
          <w:rFonts w:hint="eastAsia" w:ascii="Times New Roman" w:hAnsi="Times New Roman" w:eastAsia="仿宋_GB2312" w:cs="Times New Roman"/>
          <w:color w:val="auto"/>
          <w:sz w:val="32"/>
          <w:szCs w:val="32"/>
          <w:shd w:val="clear" w:color="auto" w:fill="auto"/>
          <w:lang w:val="en-US" w:eastAsia="zh-CN"/>
        </w:rPr>
        <w:t>健全区、街、社、户四级宣教矩阵网络，靶向推送安全科普知识，打通安全宣传“最后一米”，实现宣教直达千家万户。通过多元主体协同、资源开放共享，拓展社会公众安全教育渠道，丰富安全教育供给，推动重点区域、重点岗位人员安全教育全覆盖。</w:t>
      </w:r>
    </w:p>
    <w:p w14:paraId="717DADB9">
      <w:pPr>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98" w:name="_Toc2052972826"/>
      <w:bookmarkStart w:id="99" w:name="_Toc510219383"/>
      <w:r>
        <w:rPr>
          <w:rFonts w:hint="default" w:ascii="Times New Roman" w:hAnsi="Times New Roman" w:eastAsia="楷体_GB2312" w:cs="Times New Roman"/>
          <w:color w:val="auto"/>
          <w:sz w:val="32"/>
          <w:szCs w:val="32"/>
          <w:shd w:val="clear" w:color="auto" w:fill="auto"/>
        </w:rPr>
        <w:t>（四十）开</w:t>
      </w:r>
      <w:r>
        <w:rPr>
          <w:rFonts w:hint="default" w:ascii="Times New Roman" w:hAnsi="Times New Roman" w:eastAsia="楷体_GB2312" w:cs="Times New Roman"/>
          <w:sz w:val="32"/>
          <w:szCs w:val="32"/>
        </w:rPr>
        <w:t>展安全主题宣传活动</w:t>
      </w:r>
      <w:bookmarkEnd w:id="98"/>
      <w:bookmarkEnd w:id="99"/>
      <w:bookmarkStart w:id="100" w:name="_Toc2050526121"/>
      <w:bookmarkStart w:id="101" w:name="_Toc16829"/>
      <w:bookmarkStart w:id="102" w:name="_Toc2025049909"/>
      <w:bookmarkStart w:id="103" w:name="_Toc1737850363"/>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sz w:val="32"/>
          <w:szCs w:val="32"/>
        </w:rPr>
        <w:t>统筹全国防灾减灾宣传周、安全生产月、消防宣传月等活动，推进安全宣传“五进”</w:t>
      </w:r>
      <w:r>
        <w:rPr>
          <w:rStyle w:val="17"/>
          <w:rFonts w:hint="default" w:ascii="Times New Roman" w:hAnsi="Times New Roman" w:eastAsia="仿宋_GB2312" w:cs="Times New Roman"/>
          <w:sz w:val="32"/>
          <w:szCs w:val="32"/>
        </w:rPr>
        <w:footnoteReference w:id="5"/>
      </w:r>
      <w:r>
        <w:rPr>
          <w:rFonts w:hint="default" w:ascii="Times New Roman" w:hAnsi="Times New Roman" w:eastAsia="仿宋_GB2312" w:cs="Times New Roman"/>
          <w:sz w:val="32"/>
          <w:szCs w:val="32"/>
        </w:rPr>
        <w:t>，开展“筑梦东城”东城区应急志愿服务社区行活动，加强“一老一小”等重点人群安全宣传教育，强化事故灾害警示曝光，营造“人人</w:t>
      </w:r>
      <w:r>
        <w:rPr>
          <w:rFonts w:hint="default" w:ascii="Times New Roman" w:hAnsi="Times New Roman" w:eastAsia="仿宋_GB2312" w:cs="Times New Roman"/>
          <w:color w:val="auto"/>
          <w:sz w:val="32"/>
          <w:szCs w:val="32"/>
          <w:shd w:val="clear" w:color="auto" w:fill="auto"/>
        </w:rPr>
        <w:t>讲安全、个个会应急”的社会氛围。</w:t>
      </w:r>
    </w:p>
    <w:p w14:paraId="7D7E82AC">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hd w:val="clear" w:color="auto" w:fill="auto"/>
        </w:rPr>
      </w:pPr>
      <w:bookmarkStart w:id="104" w:name="_Toc478909970"/>
      <w:bookmarkStart w:id="105" w:name="_Toc749751934"/>
      <w:r>
        <w:rPr>
          <w:rFonts w:hint="eastAsia" w:eastAsia="黑体" w:cs="Times New Roman"/>
          <w:bCs w:val="0"/>
          <w:color w:val="auto"/>
          <w:sz w:val="32"/>
          <w:szCs w:val="32"/>
          <w:shd w:val="clear" w:color="auto" w:fill="auto"/>
          <w:lang w:eastAsia="zh-CN"/>
        </w:rPr>
        <w:t>十</w:t>
      </w:r>
      <w:r>
        <w:rPr>
          <w:rFonts w:hint="default" w:ascii="Times New Roman" w:hAnsi="Times New Roman" w:eastAsia="黑体" w:cs="Times New Roman"/>
          <w:bCs w:val="0"/>
          <w:color w:val="auto"/>
          <w:sz w:val="32"/>
          <w:szCs w:val="32"/>
          <w:shd w:val="clear" w:color="auto" w:fill="auto"/>
        </w:rPr>
        <w:t>、重点建设工程</w:t>
      </w:r>
      <w:bookmarkEnd w:id="100"/>
      <w:bookmarkEnd w:id="101"/>
      <w:bookmarkEnd w:id="102"/>
      <w:bookmarkEnd w:id="103"/>
      <w:bookmarkEnd w:id="104"/>
      <w:bookmarkEnd w:id="105"/>
      <w:bookmarkStart w:id="106" w:name="_Toc1631737467"/>
      <w:bookmarkStart w:id="107" w:name="_Toc2147400486"/>
      <w:bookmarkStart w:id="108" w:name="_Toc22744"/>
      <w:bookmarkStart w:id="109" w:name="_Toc718270622"/>
    </w:p>
    <w:p w14:paraId="5CD703E5">
      <w:pPr>
        <w:keepLines w:val="0"/>
        <w:pageBreakBefore w:val="0"/>
        <w:widowControl/>
        <w:numPr>
          <w:ilvl w:val="255"/>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shd w:val="clear" w:color="auto" w:fill="auto"/>
        </w:rPr>
      </w:pPr>
      <w:bookmarkStart w:id="110" w:name="_Toc8152279"/>
      <w:bookmarkStart w:id="111" w:name="_Toc1479627615"/>
      <w:r>
        <w:rPr>
          <w:rFonts w:hint="default" w:ascii="Times New Roman" w:hAnsi="Times New Roman" w:eastAsia="楷体_GB2312" w:cs="Times New Roman"/>
          <w:color w:val="auto"/>
          <w:sz w:val="32"/>
          <w:szCs w:val="32"/>
          <w:shd w:val="clear" w:color="auto" w:fill="auto"/>
        </w:rPr>
        <w:t>（四十一）智慧应急建设工程</w:t>
      </w:r>
      <w:bookmarkEnd w:id="106"/>
      <w:bookmarkEnd w:id="107"/>
      <w:bookmarkEnd w:id="108"/>
      <w:bookmarkEnd w:id="109"/>
      <w:bookmarkEnd w:id="110"/>
      <w:bookmarkEnd w:id="111"/>
      <w:bookmarkStart w:id="112" w:name="_Toc1829946796"/>
      <w:bookmarkStart w:id="113" w:name="_Toc1584006093"/>
      <w:bookmarkStart w:id="114" w:name="_Toc1218391142"/>
      <w:bookmarkStart w:id="115" w:name="_Toc15825"/>
      <w:r>
        <w:rPr>
          <w:rFonts w:hint="default" w:ascii="Times New Roman" w:hAnsi="Times New Roman" w:eastAsia="楷体_GB2312" w:cs="Times New Roman"/>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实施应急指挥中心升级改造项目</w:t>
      </w:r>
      <w:r>
        <w:rPr>
          <w:rFonts w:hint="eastAsia"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rPr>
        <w:t>着眼“智慧应急”综合指挥能力提升和“多中心合一”功能定位，从数字化、智能化提升两个维度开展升级改造，增强应急值守、监测预警、指挥调度、视频会商等能力，提升应急响应效率和指挥决策科学性。实施数智应急综合指挥管理平台功能提升项目</w:t>
      </w:r>
      <w:r>
        <w:rPr>
          <w:rFonts w:hint="eastAsia"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rPr>
        <w:t>开展覆盖应急管理综合业务、区级电子预案智能化、防汛指挥调度等建设内容，加强市、区两级数据汇总，满足全区应急管理业务需求，推动应急管理工作向精细化、数字化转型。构建全环节联动应急处置体系</w:t>
      </w:r>
      <w:r>
        <w:rPr>
          <w:rFonts w:hint="eastAsia"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rPr>
        <w:t>依据应急管理部相关建设指导清单和《北京市应急指挥部体系建设工作方案》，推动区—街道—社区三级应急指挥体系贯通，配合推动“一网统管”事项高效处置，不断完善应急事件分类处置流程。</w:t>
      </w:r>
    </w:p>
    <w:p w14:paraId="56049EE6">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116" w:name="_Toc2072759511"/>
      <w:bookmarkStart w:id="117" w:name="_Toc1422114610"/>
      <w:r>
        <w:rPr>
          <w:rFonts w:hint="default" w:ascii="Times New Roman" w:hAnsi="Times New Roman" w:eastAsia="楷体_GB2312" w:cs="Times New Roman"/>
          <w:color w:val="auto"/>
          <w:sz w:val="32"/>
          <w:szCs w:val="32"/>
          <w:shd w:val="clear" w:color="auto" w:fill="auto"/>
        </w:rPr>
        <w:t>（四十二）城市安全韧性提升工程</w:t>
      </w:r>
      <w:bookmarkEnd w:id="112"/>
      <w:bookmarkEnd w:id="113"/>
      <w:bookmarkEnd w:id="114"/>
      <w:bookmarkEnd w:id="115"/>
      <w:bookmarkEnd w:id="116"/>
      <w:bookmarkEnd w:id="117"/>
      <w:bookmarkStart w:id="118" w:name="_Toc1621382524"/>
      <w:bookmarkStart w:id="119" w:name="_Toc27705"/>
      <w:bookmarkStart w:id="120" w:name="_Toc234091163"/>
      <w:bookmarkStart w:id="121" w:name="_Toc1121433615"/>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推动东城区结合城市总规体检和城市韧性评价，</w:t>
      </w:r>
      <w:r>
        <w:rPr>
          <w:rFonts w:hint="default" w:ascii="Times New Roman" w:hAnsi="Times New Roman" w:eastAsia="仿宋_GB2312" w:cs="Times New Roman"/>
          <w:sz w:val="32"/>
          <w:szCs w:val="32"/>
        </w:rPr>
        <w:t>开展辖区内韧性城市组团情况调研，梳理应急指挥、应急通信、应急供水、应急能源、应急抢修、应急避难、应急医疗、</w:t>
      </w:r>
      <w:r>
        <w:rPr>
          <w:rFonts w:hint="eastAsia"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rPr>
        <w:t>平急两用</w:t>
      </w:r>
      <w:r>
        <w:rPr>
          <w:rFonts w:hint="eastAsia" w:eastAsia="仿宋_GB2312" w:cs="Times New Roman"/>
          <w:color w:val="auto"/>
          <w:sz w:val="32"/>
          <w:szCs w:val="32"/>
          <w:shd w:val="clear" w:color="auto" w:fill="auto"/>
          <w:lang w:eastAsia="zh-CN"/>
        </w:rPr>
        <w:t>”</w:t>
      </w:r>
      <w:bookmarkStart w:id="148" w:name="_GoBack"/>
      <w:bookmarkEnd w:id="148"/>
      <w:r>
        <w:rPr>
          <w:rFonts w:hint="default" w:ascii="Times New Roman" w:hAnsi="Times New Roman" w:eastAsia="仿宋_GB2312" w:cs="Times New Roman"/>
          <w:sz w:val="32"/>
          <w:szCs w:val="32"/>
        </w:rPr>
        <w:t>、应急物资、应急交通“十个一”设施满足率，</w:t>
      </w:r>
      <w:r>
        <w:rPr>
          <w:rFonts w:hint="eastAsia" w:eastAsia="仿宋_GB2312" w:cs="Times New Roman"/>
          <w:sz w:val="32"/>
          <w:szCs w:val="32"/>
          <w:lang w:eastAsia="zh-CN"/>
        </w:rPr>
        <w:t>根据韧性城市建设五年行动计划</w:t>
      </w:r>
      <w:r>
        <w:rPr>
          <w:rFonts w:hint="default" w:ascii="Times New Roman" w:hAnsi="Times New Roman" w:eastAsia="仿宋_GB2312" w:cs="Times New Roman"/>
          <w:sz w:val="32"/>
          <w:szCs w:val="32"/>
        </w:rPr>
        <w:t>明确不同设施空间落位</w:t>
      </w:r>
      <w:r>
        <w:rPr>
          <w:rFonts w:hint="default" w:ascii="Times New Roman" w:hAnsi="Times New Roman" w:eastAsia="仿宋_GB2312" w:cs="Times New Roman"/>
          <w:color w:val="auto"/>
          <w:sz w:val="32"/>
          <w:szCs w:val="32"/>
          <w:shd w:val="clear" w:color="auto" w:fill="auto"/>
        </w:rPr>
        <w:t>，因地制宜补齐“十个一”韧性设施短板。</w:t>
      </w:r>
      <w:r>
        <w:rPr>
          <w:rFonts w:hint="default" w:ascii="Times New Roman" w:hAnsi="Times New Roman" w:eastAsia="仿宋_GB2312" w:cs="Times New Roman"/>
          <w:sz w:val="32"/>
          <w:szCs w:val="32"/>
        </w:rPr>
        <w:t>提升韧性街道单元韧性水平，挖掘韧性街道单元安全保障设施建设短板，优化警务设施、基层医疗设施、应急避难场所、应急疏散通道、应急物资仓储设施、应急救援力量布局和建设。推动韧性社区生活圈建设，依托“一刻钟社区服务圈”，推动“组团</w:t>
      </w:r>
      <w:r>
        <w:rPr>
          <w:rFonts w:hint="default" w:ascii="Times New Roman" w:hAnsi="Times New Roman" w:eastAsia="仿宋_GB2312" w:cs="Times New Roman"/>
          <w:color w:val="auto"/>
          <w:sz w:val="32"/>
          <w:szCs w:val="32"/>
          <w:shd w:val="clear" w:color="auto" w:fill="auto"/>
        </w:rPr>
        <w:t>—</w:t>
      </w:r>
      <w:r>
        <w:rPr>
          <w:rFonts w:hint="default" w:ascii="Times New Roman" w:hAnsi="Times New Roman" w:eastAsia="仿宋_GB2312" w:cs="Times New Roman"/>
          <w:sz w:val="32"/>
          <w:szCs w:val="32"/>
        </w:rPr>
        <w:t>社区</w:t>
      </w:r>
      <w:r>
        <w:rPr>
          <w:rFonts w:hint="default" w:ascii="Times New Roman" w:hAnsi="Times New Roman" w:eastAsia="仿宋_GB2312" w:cs="Times New Roman"/>
          <w:color w:val="auto"/>
          <w:sz w:val="32"/>
          <w:szCs w:val="32"/>
          <w:shd w:val="clear" w:color="auto" w:fill="auto"/>
        </w:rPr>
        <w:t>—</w:t>
      </w:r>
      <w:r>
        <w:rPr>
          <w:rFonts w:hint="default" w:ascii="Times New Roman" w:hAnsi="Times New Roman" w:eastAsia="仿宋_GB2312" w:cs="Times New Roman"/>
          <w:sz w:val="32"/>
          <w:szCs w:val="32"/>
        </w:rPr>
        <w:t>家庭”分级分类储备生活物资，开展社区基本救援保障能力评估，推动完善应急指挥、紧急避险（高地</w:t>
      </w:r>
      <w:r>
        <w:rPr>
          <w:rFonts w:hint="eastAsia" w:eastAsia="仿宋_GB2312" w:cs="Times New Roman"/>
          <w:sz w:val="32"/>
          <w:szCs w:val="32"/>
          <w:lang w:eastAsia="zh-CN"/>
        </w:rPr>
        <w:t>堡垒</w:t>
      </w:r>
      <w:r>
        <w:rPr>
          <w:rFonts w:hint="default" w:ascii="Times New Roman" w:hAnsi="Times New Roman" w:eastAsia="仿宋_GB2312" w:cs="Times New Roman"/>
          <w:sz w:val="32"/>
          <w:szCs w:val="32"/>
        </w:rPr>
        <w:t>）、风险</w:t>
      </w:r>
      <w:r>
        <w:rPr>
          <w:rFonts w:hint="default" w:ascii="Times New Roman" w:hAnsi="Times New Roman" w:eastAsia="仿宋_GB2312" w:cs="Times New Roman"/>
          <w:color w:val="auto"/>
          <w:sz w:val="32"/>
          <w:szCs w:val="32"/>
          <w:shd w:val="clear" w:color="auto" w:fill="auto"/>
        </w:rPr>
        <w:t>监测、应急物资储备和安全保障设施等。</w:t>
      </w:r>
    </w:p>
    <w:p w14:paraId="57085ECF">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122" w:name="_Toc1463414402"/>
      <w:bookmarkStart w:id="123" w:name="_Toc1723144259"/>
      <w:r>
        <w:rPr>
          <w:rFonts w:hint="default" w:ascii="Times New Roman" w:hAnsi="Times New Roman" w:eastAsia="楷体_GB2312" w:cs="Times New Roman"/>
          <w:color w:val="auto"/>
          <w:sz w:val="32"/>
          <w:szCs w:val="32"/>
          <w:shd w:val="clear" w:color="auto" w:fill="auto"/>
        </w:rPr>
        <w:t>（四十</w:t>
      </w:r>
      <w:r>
        <w:rPr>
          <w:rFonts w:hint="default" w:ascii="Times New Roman" w:hAnsi="Times New Roman" w:eastAsia="楷体_GB2312" w:cs="Times New Roman"/>
          <w:b w:val="0"/>
          <w:bCs w:val="0"/>
          <w:color w:val="auto"/>
          <w:sz w:val="32"/>
          <w:szCs w:val="32"/>
          <w:shd w:val="clear" w:color="auto" w:fill="auto"/>
        </w:rPr>
        <w:t>三</w:t>
      </w:r>
      <w:r>
        <w:rPr>
          <w:rFonts w:hint="default" w:ascii="Times New Roman" w:hAnsi="Times New Roman" w:eastAsia="楷体_GB2312" w:cs="Times New Roman"/>
          <w:color w:val="auto"/>
          <w:sz w:val="32"/>
          <w:szCs w:val="32"/>
          <w:shd w:val="clear" w:color="auto" w:fill="auto"/>
        </w:rPr>
        <w:t>）安全生产隐患治理攻坚工程</w:t>
      </w:r>
      <w:bookmarkEnd w:id="118"/>
      <w:bookmarkEnd w:id="119"/>
      <w:bookmarkEnd w:id="120"/>
      <w:bookmarkEnd w:id="121"/>
      <w:bookmarkEnd w:id="122"/>
      <w:bookmarkEnd w:id="123"/>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做好“企安安”系统的推广使用，完善</w:t>
      </w:r>
      <w:r>
        <w:rPr>
          <w:rFonts w:hint="default" w:ascii="Times New Roman" w:hAnsi="Times New Roman" w:eastAsia="仿宋_GB2312" w:cs="Times New Roman"/>
          <w:sz w:val="32"/>
          <w:szCs w:val="32"/>
        </w:rPr>
        <w:t>分区域、分行业重大事故隐患统计分析，每年组织开展重大事故隐患判定标准宣贯培训，提升重大事故隐患排查能力。推动全区安全生产监督管理水平提升，</w:t>
      </w:r>
      <w:r>
        <w:rPr>
          <w:rFonts w:hint="default" w:ascii="Times New Roman" w:hAnsi="Times New Roman" w:eastAsia="仿宋_GB2312" w:cs="Times New Roman"/>
          <w:color w:val="auto"/>
          <w:sz w:val="32"/>
          <w:szCs w:val="32"/>
          <w:shd w:val="clear" w:color="auto" w:fill="auto"/>
        </w:rPr>
        <w:t>持续推进重点行业领域安全生产专项整治行动，持续开展重大事故隐患动态清零行动，推动落实安全生产兜底措施，提高重大事故隐患检出率，持续压减一般生产安全事故、有效防范较大及以上事故。聚焦重大事故隐患和兜底措施，科学测算抽样不合格率，推进落实隐患“抽检查—评估—反馈—整改—再抽检查”机制，提升隐患排查质效。</w:t>
      </w:r>
      <w:bookmarkStart w:id="124" w:name="_Toc288681453"/>
      <w:bookmarkStart w:id="125" w:name="_Toc1865828631"/>
      <w:bookmarkStart w:id="126" w:name="_Toc1763920719"/>
      <w:bookmarkStart w:id="127" w:name="_Toc29815"/>
    </w:p>
    <w:p w14:paraId="6D8F5A62">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128" w:name="_Toc2001437375"/>
      <w:bookmarkStart w:id="129" w:name="_Toc1002026082"/>
      <w:r>
        <w:rPr>
          <w:rFonts w:hint="default" w:ascii="Times New Roman" w:hAnsi="Times New Roman" w:eastAsia="楷体_GB2312" w:cs="Times New Roman"/>
          <w:color w:val="auto"/>
          <w:sz w:val="32"/>
          <w:szCs w:val="32"/>
          <w:shd w:val="clear" w:color="auto" w:fill="auto"/>
        </w:rPr>
        <w:t>（四十</w:t>
      </w:r>
      <w:r>
        <w:rPr>
          <w:rFonts w:hint="default" w:ascii="Times New Roman" w:hAnsi="Times New Roman" w:eastAsia="楷体_GB2312" w:cs="Times New Roman"/>
          <w:b w:val="0"/>
          <w:bCs w:val="0"/>
          <w:color w:val="auto"/>
          <w:sz w:val="32"/>
          <w:szCs w:val="32"/>
          <w:shd w:val="clear" w:color="auto" w:fill="auto"/>
        </w:rPr>
        <w:t>四</w:t>
      </w:r>
      <w:r>
        <w:rPr>
          <w:rFonts w:hint="default" w:ascii="Times New Roman" w:hAnsi="Times New Roman" w:eastAsia="楷体_GB2312" w:cs="Times New Roman"/>
          <w:color w:val="auto"/>
          <w:sz w:val="32"/>
          <w:szCs w:val="32"/>
          <w:shd w:val="clear" w:color="auto" w:fill="auto"/>
        </w:rPr>
        <w:t>）防震减灾能力</w:t>
      </w:r>
      <w:r>
        <w:rPr>
          <w:rFonts w:hint="default" w:ascii="Times New Roman" w:hAnsi="Times New Roman" w:eastAsia="楷体_GB2312" w:cs="Times New Roman"/>
          <w:sz w:val="32"/>
          <w:szCs w:val="32"/>
        </w:rPr>
        <w:t>建设工程</w:t>
      </w:r>
      <w:bookmarkEnd w:id="124"/>
      <w:bookmarkEnd w:id="125"/>
      <w:bookmarkEnd w:id="126"/>
      <w:bookmarkEnd w:id="127"/>
      <w:bookmarkEnd w:id="128"/>
      <w:bookmarkEnd w:id="129"/>
      <w:bookmarkStart w:id="130" w:name="_Toc442872815"/>
      <w:bookmarkStart w:id="131" w:name="_Toc337034334"/>
      <w:bookmarkStart w:id="132" w:name="_Toc24337"/>
      <w:bookmarkStart w:id="133" w:name="_Toc1200443164"/>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sz w:val="32"/>
          <w:szCs w:val="32"/>
        </w:rPr>
        <w:t>推进东城区校园地震预警服务试点建设，综合考虑东城区中小学情况，以“覆盖最薄弱环节、保障最密集人群、弥补最突出短板”为导向选取试点，发挥国家地震烈度速报与预警工程在服务首都校园安全、提升防震减灾能力方面的效能。</w:t>
      </w:r>
    </w:p>
    <w:p w14:paraId="02839998">
      <w:pPr>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134" w:name="_Toc1591654765"/>
      <w:bookmarkStart w:id="135" w:name="_Toc502334638"/>
      <w:r>
        <w:rPr>
          <w:rFonts w:hint="default" w:ascii="Times New Roman" w:hAnsi="Times New Roman" w:eastAsia="楷体_GB2312" w:cs="Times New Roman"/>
          <w:color w:val="auto"/>
          <w:sz w:val="32"/>
          <w:szCs w:val="32"/>
          <w:shd w:val="clear" w:color="auto" w:fill="auto"/>
        </w:rPr>
        <w:t>（四十五）应急避险空间建设工程</w:t>
      </w:r>
      <w:bookmarkEnd w:id="130"/>
      <w:bookmarkEnd w:id="131"/>
      <w:bookmarkEnd w:id="132"/>
      <w:bookmarkEnd w:id="133"/>
      <w:bookmarkEnd w:id="134"/>
      <w:bookmarkEnd w:id="135"/>
      <w:r>
        <w:rPr>
          <w:rFonts w:hint="default" w:ascii="Times New Roman" w:hAnsi="Times New Roman" w:eastAsia="楷体_GB2312" w:cs="Times New Roman"/>
          <w:b w:val="0"/>
          <w:bCs w:val="0"/>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rPr>
        <w:t>持续推进龙潭中湖公园等长期应急避难场</w:t>
      </w:r>
      <w:r>
        <w:rPr>
          <w:rFonts w:hint="default" w:ascii="Times New Roman" w:hAnsi="Times New Roman" w:eastAsia="仿宋_GB2312" w:cs="Times New Roman"/>
          <w:sz w:val="32"/>
          <w:szCs w:val="32"/>
        </w:rPr>
        <w:t>所按国家标准进行升级改造，推进应急物资储备库、应急指挥点、医疗卫生站、直升机起降坪等配套设施建设，提升避难场所综合保障能力。结合自然灾害应急安置不同应对特点以及城市更新与环境整治，在北中轴及周边重点区域进行嵌入式紧急避难场所布局，有侧重地布局一批“平急两用”公共基础设施，补齐防灾减灾设施短板，形成分级分类、覆盖全域的应急避难场所体系，提升核心区综合防灾避险能力。</w:t>
      </w:r>
      <w:bookmarkStart w:id="136" w:name="_Toc7221"/>
      <w:bookmarkStart w:id="137" w:name="_Toc1458467949"/>
      <w:bookmarkStart w:id="138" w:name="_Toc2137780715"/>
      <w:bookmarkStart w:id="139" w:name="_Toc549053897"/>
      <w:r>
        <w:rPr>
          <w:rFonts w:hint="default" w:ascii="Times New Roman" w:hAnsi="Times New Roman" w:eastAsia="仿宋_GB2312" w:cs="Times New Roman"/>
          <w:sz w:val="32"/>
          <w:szCs w:val="32"/>
        </w:rPr>
        <w:t>推进辖区应急避难场所评估与勘查工作</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依据应急管理部最新规范标准</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对全区已建成的13处地震应急避难场所开展评估</w:t>
      </w:r>
      <w:r>
        <w:rPr>
          <w:rFonts w:hint="default" w:ascii="Times New Roman" w:hAnsi="Times New Roman" w:eastAsia="仿宋_GB2312" w:cs="Times New Roman"/>
          <w:color w:val="auto"/>
          <w:sz w:val="32"/>
          <w:szCs w:val="32"/>
          <w:shd w:val="clear" w:color="auto" w:fill="auto"/>
        </w:rPr>
        <w:t>；</w:t>
      </w:r>
      <w:r>
        <w:rPr>
          <w:rFonts w:hint="default" w:ascii="Times New Roman" w:hAnsi="Times New Roman" w:eastAsia="仿宋_GB2312" w:cs="Times New Roman"/>
          <w:sz w:val="32"/>
          <w:szCs w:val="32"/>
        </w:rPr>
        <w:t>对北京市评出的99处东城区“优先转换”潜在室内应急避难资源分批次开展现场勘查。</w:t>
      </w:r>
      <w:r>
        <w:rPr>
          <w:rFonts w:hint="default" w:ascii="Times New Roman" w:hAnsi="Times New Roman" w:eastAsia="仿宋_GB2312" w:cs="Times New Roman"/>
          <w:color w:val="auto"/>
          <w:sz w:val="32"/>
          <w:szCs w:val="32"/>
          <w:shd w:val="clear" w:color="auto" w:fill="auto"/>
        </w:rPr>
        <w:t>完成25处室内型应急避难场所建设。</w:t>
      </w:r>
    </w:p>
    <w:p w14:paraId="0301B642">
      <w:pPr>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rPr>
      </w:pPr>
      <w:bookmarkStart w:id="140" w:name="_Toc537311604"/>
      <w:bookmarkStart w:id="141" w:name="_Toc63907782"/>
      <w:r>
        <w:rPr>
          <w:rFonts w:hint="default" w:ascii="Times New Roman" w:hAnsi="Times New Roman" w:eastAsia="楷体_GB2312" w:cs="Times New Roman"/>
          <w:color w:val="auto"/>
          <w:sz w:val="32"/>
          <w:szCs w:val="32"/>
          <w:shd w:val="clear" w:color="auto" w:fill="auto"/>
        </w:rPr>
        <w:t>（四十</w:t>
      </w:r>
      <w:r>
        <w:rPr>
          <w:rFonts w:hint="default" w:ascii="Times New Roman" w:hAnsi="Times New Roman" w:eastAsia="楷体_GB2312" w:cs="Times New Roman"/>
          <w:b w:val="0"/>
          <w:bCs w:val="0"/>
          <w:color w:val="auto"/>
          <w:sz w:val="32"/>
          <w:szCs w:val="32"/>
          <w:shd w:val="clear" w:color="auto" w:fill="auto"/>
        </w:rPr>
        <w:t>六</w:t>
      </w:r>
      <w:r>
        <w:rPr>
          <w:rFonts w:hint="default" w:ascii="Times New Roman" w:hAnsi="Times New Roman" w:eastAsia="楷体_GB2312" w:cs="Times New Roman"/>
          <w:color w:val="auto"/>
          <w:sz w:val="32"/>
          <w:szCs w:val="32"/>
          <w:shd w:val="clear" w:color="auto" w:fill="auto"/>
        </w:rPr>
        <w:t>）全民安全应急素养提升工程</w:t>
      </w:r>
      <w:bookmarkEnd w:id="136"/>
      <w:bookmarkEnd w:id="137"/>
      <w:bookmarkEnd w:id="138"/>
      <w:bookmarkEnd w:id="139"/>
      <w:bookmarkEnd w:id="140"/>
      <w:bookmarkEnd w:id="141"/>
      <w:r>
        <w:rPr>
          <w:rFonts w:hint="default" w:ascii="Times New Roman" w:hAnsi="Times New Roman" w:eastAsia="楷体_GB2312" w:cs="Times New Roman"/>
          <w:b w:val="0"/>
          <w:bCs w:val="0"/>
          <w:color w:val="auto"/>
          <w:sz w:val="32"/>
          <w:szCs w:val="32"/>
          <w:shd w:val="clear" w:color="auto" w:fill="auto"/>
        </w:rPr>
        <w:t>。</w:t>
      </w:r>
      <w:bookmarkStart w:id="142" w:name="_Toc6437"/>
      <w:bookmarkStart w:id="143" w:name="_Toc1791088544"/>
      <w:bookmarkStart w:id="144" w:name="_Toc1429907178"/>
      <w:bookmarkStart w:id="145" w:name="_Toc1856125698"/>
      <w:r>
        <w:rPr>
          <w:rFonts w:hint="default" w:ascii="Times New Roman" w:hAnsi="Times New Roman" w:eastAsia="仿宋_GB2312" w:cs="Times New Roman"/>
          <w:color w:val="auto"/>
          <w:sz w:val="32"/>
          <w:szCs w:val="32"/>
          <w:shd w:val="clear" w:color="auto" w:fill="auto"/>
        </w:rPr>
        <w:t>充分整合利用现有设施与场所，以全民安全素养提升为导向，推动公共安全教育基地的功能优化与提升。支持街道联合有条件的企事业单位、科技场馆等社会力量，因地制宜开展防灾减灾体验场所和公共安全教育基地的建设与共享，并对现有场馆进行功能完善与环境提升，优化空间布局、更新维护设施，扩充使用效能。</w:t>
      </w:r>
    </w:p>
    <w:p w14:paraId="73B9A8C9">
      <w:pPr>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hd w:val="clear" w:color="auto" w:fill="auto"/>
        </w:rPr>
      </w:pPr>
      <w:r>
        <w:rPr>
          <w:rFonts w:hint="eastAsia" w:eastAsia="黑体" w:cs="Times New Roman"/>
          <w:bCs w:val="0"/>
          <w:color w:val="auto"/>
          <w:sz w:val="32"/>
          <w:szCs w:val="32"/>
          <w:shd w:val="clear" w:color="auto" w:fill="auto"/>
          <w:lang w:eastAsia="zh-CN"/>
        </w:rPr>
        <w:t>十一</w:t>
      </w:r>
      <w:r>
        <w:rPr>
          <w:rFonts w:hint="default" w:ascii="Times New Roman" w:hAnsi="Times New Roman" w:eastAsia="黑体" w:cs="Times New Roman"/>
          <w:bCs w:val="0"/>
          <w:color w:val="auto"/>
          <w:sz w:val="32"/>
          <w:szCs w:val="32"/>
          <w:shd w:val="clear" w:color="auto" w:fill="auto"/>
        </w:rPr>
        <w:t>、</w:t>
      </w:r>
      <w:r>
        <w:rPr>
          <w:rFonts w:hint="eastAsia" w:eastAsia="黑体" w:cs="Times New Roman"/>
          <w:bCs w:val="0"/>
          <w:color w:val="auto"/>
          <w:sz w:val="32"/>
          <w:szCs w:val="32"/>
          <w:shd w:val="clear" w:color="auto" w:fill="auto"/>
          <w:lang w:eastAsia="zh-CN"/>
        </w:rPr>
        <w:t>实施</w:t>
      </w:r>
      <w:r>
        <w:rPr>
          <w:rFonts w:hint="default" w:ascii="Times New Roman" w:hAnsi="Times New Roman" w:eastAsia="黑体" w:cs="Times New Roman"/>
          <w:bCs w:val="0"/>
          <w:color w:val="auto"/>
          <w:sz w:val="32"/>
          <w:szCs w:val="32"/>
          <w:shd w:val="clear" w:color="auto" w:fill="auto"/>
        </w:rPr>
        <w:t>保障</w:t>
      </w:r>
      <w:bookmarkEnd w:id="142"/>
      <w:bookmarkEnd w:id="143"/>
      <w:bookmarkEnd w:id="144"/>
      <w:bookmarkEnd w:id="145"/>
      <w:bookmarkStart w:id="146" w:name="_Toc471309531"/>
      <w:bookmarkStart w:id="147" w:name="_Toc421088812"/>
    </w:p>
    <w:bookmarkEnd w:id="146"/>
    <w:bookmarkEnd w:id="147"/>
    <w:p w14:paraId="26AAD86F">
      <w:pPr>
        <w:keepLines w:val="0"/>
        <w:pageBreakBefore w:val="0"/>
        <w:widowControl/>
        <w:numPr>
          <w:ilvl w:val="255"/>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color w:val="auto"/>
          <w:sz w:val="32"/>
          <w:szCs w:val="32"/>
          <w:shd w:val="clear" w:color="auto" w:fill="auto"/>
        </w:rPr>
        <w:t>各有关部门、各</w:t>
      </w:r>
      <w:r>
        <w:rPr>
          <w:rFonts w:hint="default" w:ascii="Times New Roman" w:hAnsi="Times New Roman" w:eastAsia="仿宋_GB2312" w:cs="Times New Roman"/>
          <w:sz w:val="32"/>
          <w:szCs w:val="32"/>
        </w:rPr>
        <w:t>街道应加强规划实施与年度计划的衔接，</w:t>
      </w:r>
      <w:r>
        <w:rPr>
          <w:rFonts w:hint="eastAsia" w:eastAsia="仿宋_GB2312" w:cs="Times New Roman"/>
          <w:sz w:val="32"/>
          <w:szCs w:val="32"/>
          <w:lang w:eastAsia="zh-CN"/>
        </w:rPr>
        <w:t>强化责任落实，</w:t>
      </w:r>
      <w:r>
        <w:rPr>
          <w:rFonts w:hint="default" w:ascii="Times New Roman" w:hAnsi="Times New Roman" w:eastAsia="仿宋_GB2312" w:cs="Times New Roman"/>
          <w:sz w:val="32"/>
          <w:szCs w:val="32"/>
        </w:rPr>
        <w:t>将规划任务落实情况作为对</w:t>
      </w:r>
      <w:r>
        <w:rPr>
          <w:rFonts w:hint="eastAsia" w:eastAsia="仿宋_GB2312" w:cs="Times New Roman"/>
          <w:sz w:val="32"/>
          <w:szCs w:val="32"/>
          <w:lang w:eastAsia="zh-CN"/>
        </w:rPr>
        <w:t>有关</w:t>
      </w:r>
      <w:r>
        <w:rPr>
          <w:rFonts w:hint="default" w:ascii="Times New Roman" w:hAnsi="Times New Roman" w:eastAsia="仿宋_GB2312" w:cs="Times New Roman"/>
          <w:sz w:val="32"/>
          <w:szCs w:val="32"/>
        </w:rPr>
        <w:t>部门和各街道考核</w:t>
      </w:r>
      <w:r>
        <w:rPr>
          <w:rFonts w:hint="eastAsia" w:eastAsia="仿宋_GB2312" w:cs="Times New Roman"/>
          <w:sz w:val="32"/>
          <w:szCs w:val="32"/>
          <w:lang w:eastAsia="zh-CN"/>
        </w:rPr>
        <w:t>的</w:t>
      </w:r>
      <w:r>
        <w:rPr>
          <w:rFonts w:hint="default" w:ascii="Times New Roman" w:hAnsi="Times New Roman" w:eastAsia="仿宋_GB2312" w:cs="Times New Roman"/>
          <w:sz w:val="32"/>
          <w:szCs w:val="32"/>
        </w:rPr>
        <w:t>重要内容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推动健全区级财政资金保障机制。</w:t>
      </w:r>
      <w:r>
        <w:rPr>
          <w:rFonts w:hint="eastAsia" w:eastAsia="仿宋_GB2312" w:cs="Times New Roman"/>
          <w:sz w:val="32"/>
          <w:szCs w:val="32"/>
          <w:lang w:eastAsia="zh-CN"/>
        </w:rPr>
        <w:t>组织</w:t>
      </w:r>
      <w:r>
        <w:rPr>
          <w:rFonts w:hint="default" w:ascii="Times New Roman" w:hAnsi="Times New Roman" w:eastAsia="仿宋_GB2312" w:cs="Times New Roman"/>
          <w:sz w:val="32"/>
          <w:szCs w:val="32"/>
        </w:rPr>
        <w:t>开展规划实施</w:t>
      </w:r>
      <w:r>
        <w:rPr>
          <w:rFonts w:hint="eastAsia" w:eastAsia="仿宋_GB2312" w:cs="Times New Roman"/>
          <w:sz w:val="32"/>
          <w:szCs w:val="32"/>
          <w:lang w:eastAsia="zh-CN"/>
        </w:rPr>
        <w:t>动态监测和</w:t>
      </w:r>
      <w:r>
        <w:rPr>
          <w:rFonts w:hint="default" w:ascii="Times New Roman" w:hAnsi="Times New Roman" w:eastAsia="仿宋_GB2312" w:cs="Times New Roman"/>
          <w:sz w:val="32"/>
          <w:szCs w:val="32"/>
        </w:rPr>
        <w:t>总结评估，分析实施效果，</w:t>
      </w:r>
      <w:r>
        <w:rPr>
          <w:rFonts w:hint="eastAsia" w:eastAsia="仿宋_GB2312" w:cs="Times New Roman"/>
          <w:sz w:val="32"/>
          <w:szCs w:val="32"/>
          <w:lang w:eastAsia="zh-CN"/>
        </w:rPr>
        <w:t>提升实施效能</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确保规划</w:t>
      </w:r>
      <w:r>
        <w:rPr>
          <w:rFonts w:hint="eastAsia" w:ascii="仿宋_GB2312" w:hAnsi="仿宋_GB2312" w:eastAsia="仿宋_GB2312" w:cs="仿宋_GB2312"/>
          <w:sz w:val="32"/>
          <w:szCs w:val="32"/>
        </w:rPr>
        <w:t>目标任务</w:t>
      </w:r>
      <w:r>
        <w:rPr>
          <w:rFonts w:hint="eastAsia" w:eastAsia="仿宋_GB2312" w:cs="Times New Roman"/>
          <w:sz w:val="32"/>
          <w:szCs w:val="32"/>
          <w:lang w:eastAsia="zh-CN"/>
        </w:rPr>
        <w:t>顺利实施</w:t>
      </w:r>
      <w:r>
        <w:rPr>
          <w:rFonts w:hint="default" w:ascii="Times New Roman" w:hAnsi="Times New Roman" w:eastAsia="仿宋_GB2312" w:cs="Times New Roman"/>
          <w:sz w:val="32"/>
          <w:szCs w:val="32"/>
        </w:rPr>
        <w:t>。</w:t>
      </w:r>
    </w:p>
    <w:p w14:paraId="352F27CA">
      <w:pPr>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sectPr>
      <w:headerReference r:id="rId4" w:type="default"/>
      <w:footerReference r:id="rId5" w:type="default"/>
      <w:pgSz w:w="11906" w:h="16838"/>
      <w:pgMar w:top="2098" w:right="1474" w:bottom="1985" w:left="1588" w:header="851" w:footer="10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80DB0">
    <w:pPr>
      <w:pStyle w:val="9"/>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A9D6F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A9D6F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1CFC1A8B">
      <w:pPr>
        <w:pStyle w:val="11"/>
        <w:rPr>
          <w:sz w:val="24"/>
          <w:szCs w:val="24"/>
        </w:rPr>
      </w:pPr>
      <w:r>
        <w:rPr>
          <w:rStyle w:val="17"/>
          <w:sz w:val="24"/>
          <w:szCs w:val="24"/>
        </w:rPr>
        <w:footnoteRef/>
      </w:r>
      <w:r>
        <w:rPr>
          <w:rFonts w:hint="eastAsia" w:ascii="仿宋_GB2312" w:hAnsi="仿宋_GB2312" w:eastAsia="仿宋_GB2312" w:cs="仿宋_GB2312"/>
          <w:sz w:val="24"/>
          <w:szCs w:val="24"/>
        </w:rPr>
        <w:t>“1+8+18+161”防汛指挥体系：1个防汛指挥部、8个防汛专项指挥部、18个街道和地区、161个社区。</w:t>
      </w:r>
    </w:p>
  </w:footnote>
  <w:footnote w:id="1">
    <w:p w14:paraId="0E9310AE">
      <w:pPr>
        <w:snapToGrid w:val="0"/>
        <w:rPr>
          <w:sz w:val="24"/>
          <w:szCs w:val="24"/>
        </w:rPr>
      </w:pPr>
      <w:r>
        <w:rPr>
          <w:rStyle w:val="17"/>
          <w:sz w:val="24"/>
          <w:szCs w:val="24"/>
        </w:rPr>
        <w:footnoteRef/>
      </w:r>
      <w:r>
        <w:rPr>
          <w:sz w:val="24"/>
          <w:szCs w:val="24"/>
        </w:rPr>
        <w:t xml:space="preserve"> </w:t>
      </w:r>
      <w:r>
        <w:rPr>
          <w:rFonts w:hint="eastAsia" w:ascii="仿宋_GB2312" w:hAnsi="宋体" w:eastAsia="仿宋_GB2312" w:cs="宋体"/>
          <w:color w:val="000000"/>
          <w:sz w:val="24"/>
          <w:szCs w:val="24"/>
        </w:rPr>
        <w:t>触达应急责任人时间：预警信息从预警发布平台发起批量发送指令，至成功送达应急责任人终端的时间间隔。</w:t>
      </w:r>
    </w:p>
  </w:footnote>
  <w:footnote w:id="2">
    <w:p w14:paraId="3AF38FF2">
      <w:pPr>
        <w:pStyle w:val="11"/>
        <w:rPr>
          <w:sz w:val="24"/>
          <w:szCs w:val="24"/>
        </w:rPr>
      </w:pPr>
      <w:r>
        <w:rPr>
          <w:rStyle w:val="17"/>
          <w:sz w:val="24"/>
          <w:szCs w:val="24"/>
        </w:rPr>
        <w:footnoteRef/>
      </w:r>
      <w:r>
        <w:rPr>
          <w:rFonts w:hint="eastAsia" w:ascii="仿宋_GB2312" w:hAnsi="宋体" w:eastAsia="仿宋_GB2312" w:cs="宋体"/>
          <w:color w:val="000000"/>
          <w:sz w:val="24"/>
          <w:szCs w:val="24"/>
        </w:rPr>
        <w:t>“四率”:消防设施检测率、消防设施检测合格率、维保合同签订率、消防控制室人员持证上岗率。</w:t>
      </w:r>
    </w:p>
  </w:footnote>
  <w:footnote w:id="3">
    <w:p w14:paraId="2CE5FB40">
      <w:pPr>
        <w:pStyle w:val="11"/>
        <w:rPr>
          <w:sz w:val="24"/>
          <w:szCs w:val="24"/>
        </w:rPr>
      </w:pPr>
      <w:r>
        <w:rPr>
          <w:rStyle w:val="17"/>
          <w:sz w:val="24"/>
          <w:szCs w:val="24"/>
        </w:rPr>
        <w:footnoteRef/>
      </w:r>
      <w:r>
        <w:rPr>
          <w:rFonts w:hint="eastAsia" w:ascii="仿宋_GB2312" w:hAnsi="仿宋_GB2312" w:eastAsia="仿宋_GB2312" w:cs="仿宋_GB2312"/>
          <w:sz w:val="24"/>
          <w:szCs w:val="24"/>
        </w:rPr>
        <w:t>“三同时”：安全设施与主体工程同时设计、同时施工、同时投入生产和使用。</w:t>
      </w:r>
    </w:p>
  </w:footnote>
  <w:footnote w:id="4">
    <w:p w14:paraId="0DE492E8">
      <w:pPr>
        <w:pStyle w:val="11"/>
        <w:rPr>
          <w:sz w:val="24"/>
          <w:szCs w:val="24"/>
        </w:rPr>
      </w:pPr>
      <w:r>
        <w:rPr>
          <w:rStyle w:val="17"/>
          <w:sz w:val="24"/>
          <w:szCs w:val="24"/>
        </w:rPr>
        <w:footnoteRef/>
      </w:r>
      <w:r>
        <w:rPr>
          <w:rFonts w:hint="eastAsia" w:ascii="仿宋_GB2312" w:hAnsi="仿宋_GB2312" w:eastAsia="仿宋_GB2312" w:cs="仿宋_GB2312"/>
          <w:kern w:val="0"/>
          <w:sz w:val="24"/>
          <w:szCs w:val="24"/>
        </w:rPr>
        <w:t>“三断”：断路、断网、断电。</w:t>
      </w:r>
    </w:p>
  </w:footnote>
  <w:footnote w:id="5">
    <w:p w14:paraId="14E47ACB">
      <w:pPr>
        <w:pStyle w:val="11"/>
        <w:rPr>
          <w:sz w:val="24"/>
          <w:szCs w:val="24"/>
        </w:rPr>
      </w:pPr>
      <w:r>
        <w:rPr>
          <w:rStyle w:val="17"/>
          <w:sz w:val="24"/>
          <w:szCs w:val="24"/>
        </w:rPr>
        <w:footnoteRef/>
      </w:r>
      <w:r>
        <w:rPr>
          <w:rFonts w:hint="eastAsia" w:ascii="仿宋_GB2312" w:hAnsi="仿宋_GB2312" w:eastAsia="仿宋_GB2312" w:cs="仿宋_GB2312"/>
          <w:sz w:val="24"/>
          <w:szCs w:val="24"/>
        </w:rPr>
        <w:t>“五进”：进企业、进农村、进社区、进学校、进家庭。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3AAAD">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hyphenationZone w:val="36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2"/>
    <w:footnote w:id="13"/>
  </w:foot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5F5D276"/>
    <w:rsid w:val="00012C70"/>
    <w:rsid w:val="00022D90"/>
    <w:rsid w:val="00023BEA"/>
    <w:rsid w:val="00034B32"/>
    <w:rsid w:val="00044B38"/>
    <w:rsid w:val="00045B01"/>
    <w:rsid w:val="000575DB"/>
    <w:rsid w:val="00062B74"/>
    <w:rsid w:val="00080E1A"/>
    <w:rsid w:val="00080EBC"/>
    <w:rsid w:val="00082184"/>
    <w:rsid w:val="000B5855"/>
    <w:rsid w:val="000C707A"/>
    <w:rsid w:val="000D1893"/>
    <w:rsid w:val="00102551"/>
    <w:rsid w:val="00113667"/>
    <w:rsid w:val="00114FBF"/>
    <w:rsid w:val="00123EFC"/>
    <w:rsid w:val="00133F54"/>
    <w:rsid w:val="00135C14"/>
    <w:rsid w:val="0013692C"/>
    <w:rsid w:val="00152252"/>
    <w:rsid w:val="00154FF1"/>
    <w:rsid w:val="001615BF"/>
    <w:rsid w:val="0016188B"/>
    <w:rsid w:val="0016632B"/>
    <w:rsid w:val="001672A9"/>
    <w:rsid w:val="00180433"/>
    <w:rsid w:val="001850AD"/>
    <w:rsid w:val="00187BE7"/>
    <w:rsid w:val="001A2997"/>
    <w:rsid w:val="001A3B83"/>
    <w:rsid w:val="001C26BD"/>
    <w:rsid w:val="001D498A"/>
    <w:rsid w:val="001D571A"/>
    <w:rsid w:val="001F0A66"/>
    <w:rsid w:val="001F1EF9"/>
    <w:rsid w:val="001F628E"/>
    <w:rsid w:val="00223E67"/>
    <w:rsid w:val="002375C8"/>
    <w:rsid w:val="00237B51"/>
    <w:rsid w:val="00251177"/>
    <w:rsid w:val="00272C9B"/>
    <w:rsid w:val="002829EB"/>
    <w:rsid w:val="002846A9"/>
    <w:rsid w:val="002864C4"/>
    <w:rsid w:val="002962A2"/>
    <w:rsid w:val="00297D12"/>
    <w:rsid w:val="002C67B6"/>
    <w:rsid w:val="002D2557"/>
    <w:rsid w:val="002D5CDE"/>
    <w:rsid w:val="002E19CD"/>
    <w:rsid w:val="002E26B1"/>
    <w:rsid w:val="002E5322"/>
    <w:rsid w:val="002E546D"/>
    <w:rsid w:val="002E7B6E"/>
    <w:rsid w:val="002F7CD2"/>
    <w:rsid w:val="00312823"/>
    <w:rsid w:val="00313A7C"/>
    <w:rsid w:val="003147E4"/>
    <w:rsid w:val="00314852"/>
    <w:rsid w:val="00323902"/>
    <w:rsid w:val="00323F19"/>
    <w:rsid w:val="00325A9C"/>
    <w:rsid w:val="00330209"/>
    <w:rsid w:val="00330B32"/>
    <w:rsid w:val="00331EE1"/>
    <w:rsid w:val="00341E33"/>
    <w:rsid w:val="0034383D"/>
    <w:rsid w:val="00344555"/>
    <w:rsid w:val="003723FF"/>
    <w:rsid w:val="00376EB2"/>
    <w:rsid w:val="003837DB"/>
    <w:rsid w:val="003A3BA6"/>
    <w:rsid w:val="003A4B13"/>
    <w:rsid w:val="003B0963"/>
    <w:rsid w:val="003D6D7B"/>
    <w:rsid w:val="003D7DA5"/>
    <w:rsid w:val="003E125E"/>
    <w:rsid w:val="003E446C"/>
    <w:rsid w:val="003E525F"/>
    <w:rsid w:val="00404BDE"/>
    <w:rsid w:val="004115D6"/>
    <w:rsid w:val="0041661C"/>
    <w:rsid w:val="00424399"/>
    <w:rsid w:val="004315C7"/>
    <w:rsid w:val="0043269D"/>
    <w:rsid w:val="00466B33"/>
    <w:rsid w:val="00485E61"/>
    <w:rsid w:val="00497297"/>
    <w:rsid w:val="004A0ABD"/>
    <w:rsid w:val="004D2D22"/>
    <w:rsid w:val="004E4594"/>
    <w:rsid w:val="004F3696"/>
    <w:rsid w:val="004F71E1"/>
    <w:rsid w:val="0050141B"/>
    <w:rsid w:val="0054217F"/>
    <w:rsid w:val="0055164C"/>
    <w:rsid w:val="00565D71"/>
    <w:rsid w:val="00567371"/>
    <w:rsid w:val="00576F73"/>
    <w:rsid w:val="00583B31"/>
    <w:rsid w:val="00590C41"/>
    <w:rsid w:val="00591490"/>
    <w:rsid w:val="00595F25"/>
    <w:rsid w:val="005A7A93"/>
    <w:rsid w:val="005B4C0E"/>
    <w:rsid w:val="005C14FA"/>
    <w:rsid w:val="005C3282"/>
    <w:rsid w:val="005D1EC7"/>
    <w:rsid w:val="005F7000"/>
    <w:rsid w:val="0060007D"/>
    <w:rsid w:val="00615493"/>
    <w:rsid w:val="0064357E"/>
    <w:rsid w:val="00655C82"/>
    <w:rsid w:val="00673473"/>
    <w:rsid w:val="00676B7E"/>
    <w:rsid w:val="00677A25"/>
    <w:rsid w:val="00681623"/>
    <w:rsid w:val="0069133A"/>
    <w:rsid w:val="00693F78"/>
    <w:rsid w:val="006A48C0"/>
    <w:rsid w:val="006A7D32"/>
    <w:rsid w:val="006C464A"/>
    <w:rsid w:val="006D4507"/>
    <w:rsid w:val="006D4D8C"/>
    <w:rsid w:val="006E61B9"/>
    <w:rsid w:val="006E67D6"/>
    <w:rsid w:val="006E7ED1"/>
    <w:rsid w:val="006E7F7B"/>
    <w:rsid w:val="006F3894"/>
    <w:rsid w:val="007070FC"/>
    <w:rsid w:val="00711A73"/>
    <w:rsid w:val="00712179"/>
    <w:rsid w:val="00723737"/>
    <w:rsid w:val="00737944"/>
    <w:rsid w:val="00742470"/>
    <w:rsid w:val="007517F5"/>
    <w:rsid w:val="007547AB"/>
    <w:rsid w:val="007830AA"/>
    <w:rsid w:val="00792A50"/>
    <w:rsid w:val="007952A4"/>
    <w:rsid w:val="007A021D"/>
    <w:rsid w:val="007B31D1"/>
    <w:rsid w:val="007D432F"/>
    <w:rsid w:val="007E217B"/>
    <w:rsid w:val="007E630B"/>
    <w:rsid w:val="007F0423"/>
    <w:rsid w:val="007F70D5"/>
    <w:rsid w:val="00804D08"/>
    <w:rsid w:val="00824404"/>
    <w:rsid w:val="0082771B"/>
    <w:rsid w:val="00836A94"/>
    <w:rsid w:val="00837595"/>
    <w:rsid w:val="00837776"/>
    <w:rsid w:val="00841ED4"/>
    <w:rsid w:val="008469EA"/>
    <w:rsid w:val="008574BC"/>
    <w:rsid w:val="008718C7"/>
    <w:rsid w:val="00875774"/>
    <w:rsid w:val="008769A0"/>
    <w:rsid w:val="008848C3"/>
    <w:rsid w:val="00886A61"/>
    <w:rsid w:val="008A3E25"/>
    <w:rsid w:val="008B26C0"/>
    <w:rsid w:val="008B3F3B"/>
    <w:rsid w:val="008C2077"/>
    <w:rsid w:val="008C7595"/>
    <w:rsid w:val="008C78EE"/>
    <w:rsid w:val="008D6FBC"/>
    <w:rsid w:val="008E7388"/>
    <w:rsid w:val="008F19FB"/>
    <w:rsid w:val="008F23BD"/>
    <w:rsid w:val="00902F5A"/>
    <w:rsid w:val="00906AC7"/>
    <w:rsid w:val="009079C4"/>
    <w:rsid w:val="009111AA"/>
    <w:rsid w:val="0091141A"/>
    <w:rsid w:val="009156E4"/>
    <w:rsid w:val="0091632C"/>
    <w:rsid w:val="00920694"/>
    <w:rsid w:val="0092099A"/>
    <w:rsid w:val="00926E4C"/>
    <w:rsid w:val="00943367"/>
    <w:rsid w:val="00944380"/>
    <w:rsid w:val="00954499"/>
    <w:rsid w:val="009812D9"/>
    <w:rsid w:val="00982982"/>
    <w:rsid w:val="00987800"/>
    <w:rsid w:val="009967CD"/>
    <w:rsid w:val="009A7962"/>
    <w:rsid w:val="009B6016"/>
    <w:rsid w:val="009C4F6A"/>
    <w:rsid w:val="009D00A1"/>
    <w:rsid w:val="009D6E91"/>
    <w:rsid w:val="00A12E9F"/>
    <w:rsid w:val="00A14F75"/>
    <w:rsid w:val="00A3312D"/>
    <w:rsid w:val="00A37DD6"/>
    <w:rsid w:val="00A536E9"/>
    <w:rsid w:val="00A60A14"/>
    <w:rsid w:val="00A61698"/>
    <w:rsid w:val="00A7200B"/>
    <w:rsid w:val="00A86E46"/>
    <w:rsid w:val="00A8764B"/>
    <w:rsid w:val="00AD320C"/>
    <w:rsid w:val="00AF25EE"/>
    <w:rsid w:val="00B05167"/>
    <w:rsid w:val="00B1405E"/>
    <w:rsid w:val="00B24DC1"/>
    <w:rsid w:val="00B36F6D"/>
    <w:rsid w:val="00B45ECF"/>
    <w:rsid w:val="00B87839"/>
    <w:rsid w:val="00BA5F6F"/>
    <w:rsid w:val="00BA6E56"/>
    <w:rsid w:val="00BB3E5E"/>
    <w:rsid w:val="00BC003F"/>
    <w:rsid w:val="00BC4743"/>
    <w:rsid w:val="00BC7128"/>
    <w:rsid w:val="00BD0FC0"/>
    <w:rsid w:val="00BD40B2"/>
    <w:rsid w:val="00BD6A37"/>
    <w:rsid w:val="00BE0295"/>
    <w:rsid w:val="00BE4B0F"/>
    <w:rsid w:val="00BE6B7A"/>
    <w:rsid w:val="00BF463C"/>
    <w:rsid w:val="00BF5443"/>
    <w:rsid w:val="00C01D25"/>
    <w:rsid w:val="00C15E13"/>
    <w:rsid w:val="00C2203B"/>
    <w:rsid w:val="00C22716"/>
    <w:rsid w:val="00C2325F"/>
    <w:rsid w:val="00C250F2"/>
    <w:rsid w:val="00C364BA"/>
    <w:rsid w:val="00C50479"/>
    <w:rsid w:val="00C551C9"/>
    <w:rsid w:val="00C674F0"/>
    <w:rsid w:val="00C70279"/>
    <w:rsid w:val="00C74E0B"/>
    <w:rsid w:val="00C77F25"/>
    <w:rsid w:val="00C80DAE"/>
    <w:rsid w:val="00C815B7"/>
    <w:rsid w:val="00C824FD"/>
    <w:rsid w:val="00C96E9E"/>
    <w:rsid w:val="00CA1328"/>
    <w:rsid w:val="00CC77E5"/>
    <w:rsid w:val="00CE6A41"/>
    <w:rsid w:val="00CF3087"/>
    <w:rsid w:val="00D02429"/>
    <w:rsid w:val="00D17EAE"/>
    <w:rsid w:val="00D263CF"/>
    <w:rsid w:val="00D40805"/>
    <w:rsid w:val="00D5741D"/>
    <w:rsid w:val="00D70BBF"/>
    <w:rsid w:val="00D70EA5"/>
    <w:rsid w:val="00D72DED"/>
    <w:rsid w:val="00D75483"/>
    <w:rsid w:val="00D76FF8"/>
    <w:rsid w:val="00D775FE"/>
    <w:rsid w:val="00D856B9"/>
    <w:rsid w:val="00DA6FEC"/>
    <w:rsid w:val="00DC6121"/>
    <w:rsid w:val="00DF41FF"/>
    <w:rsid w:val="00DF61E9"/>
    <w:rsid w:val="00E02D24"/>
    <w:rsid w:val="00E02D5D"/>
    <w:rsid w:val="00E03A9F"/>
    <w:rsid w:val="00E04F30"/>
    <w:rsid w:val="00E05DE0"/>
    <w:rsid w:val="00E2226E"/>
    <w:rsid w:val="00E234F6"/>
    <w:rsid w:val="00E26D7E"/>
    <w:rsid w:val="00E35BA8"/>
    <w:rsid w:val="00E46C46"/>
    <w:rsid w:val="00E578FB"/>
    <w:rsid w:val="00E57A6D"/>
    <w:rsid w:val="00E61ED4"/>
    <w:rsid w:val="00E779D8"/>
    <w:rsid w:val="00E931D7"/>
    <w:rsid w:val="00EA78F9"/>
    <w:rsid w:val="00EC27D4"/>
    <w:rsid w:val="00F020FF"/>
    <w:rsid w:val="00F04C7E"/>
    <w:rsid w:val="00F05751"/>
    <w:rsid w:val="00F223F1"/>
    <w:rsid w:val="00F31030"/>
    <w:rsid w:val="00F36866"/>
    <w:rsid w:val="00F47D46"/>
    <w:rsid w:val="00F56EA8"/>
    <w:rsid w:val="00F6031E"/>
    <w:rsid w:val="00F62EF7"/>
    <w:rsid w:val="00F843B9"/>
    <w:rsid w:val="00F85462"/>
    <w:rsid w:val="00F92451"/>
    <w:rsid w:val="00F97D91"/>
    <w:rsid w:val="00FB2D61"/>
    <w:rsid w:val="00FF351E"/>
    <w:rsid w:val="026E9A2A"/>
    <w:rsid w:val="0C47234A"/>
    <w:rsid w:val="15D5F037"/>
    <w:rsid w:val="2B7A978D"/>
    <w:rsid w:val="37AB05A4"/>
    <w:rsid w:val="3BFA8BAD"/>
    <w:rsid w:val="3DF771E5"/>
    <w:rsid w:val="3DFCF795"/>
    <w:rsid w:val="3EEE426E"/>
    <w:rsid w:val="3F9B14A6"/>
    <w:rsid w:val="3FE55496"/>
    <w:rsid w:val="3FEAA330"/>
    <w:rsid w:val="41AE3411"/>
    <w:rsid w:val="437E93FE"/>
    <w:rsid w:val="44CF61AE"/>
    <w:rsid w:val="4BBE964D"/>
    <w:rsid w:val="4BBFDFA3"/>
    <w:rsid w:val="4EBF6D44"/>
    <w:rsid w:val="4FFE584C"/>
    <w:rsid w:val="4FFFC4DF"/>
    <w:rsid w:val="55B48808"/>
    <w:rsid w:val="5679BAFA"/>
    <w:rsid w:val="5B4FF49C"/>
    <w:rsid w:val="5BAFA4ED"/>
    <w:rsid w:val="5EF8E916"/>
    <w:rsid w:val="5FAE6E66"/>
    <w:rsid w:val="5FFF9D4A"/>
    <w:rsid w:val="636EC364"/>
    <w:rsid w:val="67E73825"/>
    <w:rsid w:val="6B76214B"/>
    <w:rsid w:val="6C9E2075"/>
    <w:rsid w:val="6DFDEFD5"/>
    <w:rsid w:val="6FBB3B68"/>
    <w:rsid w:val="6FF62AEE"/>
    <w:rsid w:val="73EFAA19"/>
    <w:rsid w:val="7557B64E"/>
    <w:rsid w:val="7793962A"/>
    <w:rsid w:val="77E52A52"/>
    <w:rsid w:val="79FE0861"/>
    <w:rsid w:val="79FF2322"/>
    <w:rsid w:val="7A5DBA50"/>
    <w:rsid w:val="7BAF4837"/>
    <w:rsid w:val="7C1F6CB5"/>
    <w:rsid w:val="7E4D93AD"/>
    <w:rsid w:val="7E7E5B28"/>
    <w:rsid w:val="7EDBE790"/>
    <w:rsid w:val="7EFEF4D1"/>
    <w:rsid w:val="7F0D21B4"/>
    <w:rsid w:val="7F6D2EB8"/>
    <w:rsid w:val="7F7F8CB9"/>
    <w:rsid w:val="7FFE51BF"/>
    <w:rsid w:val="7FFFEFC5"/>
    <w:rsid w:val="9FF70F3E"/>
    <w:rsid w:val="9FFFBA91"/>
    <w:rsid w:val="A5F5D276"/>
    <w:rsid w:val="A7FAC43A"/>
    <w:rsid w:val="ADFF724A"/>
    <w:rsid w:val="AFB7EB6A"/>
    <w:rsid w:val="AFFF8258"/>
    <w:rsid w:val="BB6F11AA"/>
    <w:rsid w:val="BD8D3B88"/>
    <w:rsid w:val="BEFA1D16"/>
    <w:rsid w:val="CBC55926"/>
    <w:rsid w:val="D68E6C83"/>
    <w:rsid w:val="D7F7A83E"/>
    <w:rsid w:val="DDFD2D2D"/>
    <w:rsid w:val="DE775DB5"/>
    <w:rsid w:val="DFFA8252"/>
    <w:rsid w:val="E5B63996"/>
    <w:rsid w:val="EABDE243"/>
    <w:rsid w:val="EDFD5728"/>
    <w:rsid w:val="EFC73598"/>
    <w:rsid w:val="F0FB10B4"/>
    <w:rsid w:val="F2F738E4"/>
    <w:rsid w:val="F3B780D7"/>
    <w:rsid w:val="F43E1B1B"/>
    <w:rsid w:val="FAFD1B41"/>
    <w:rsid w:val="FBE34309"/>
    <w:rsid w:val="FBECECBB"/>
    <w:rsid w:val="FBFE7A71"/>
    <w:rsid w:val="FCFD62C7"/>
    <w:rsid w:val="FDEF76B5"/>
    <w:rsid w:val="FDFF690F"/>
    <w:rsid w:val="FEA79882"/>
    <w:rsid w:val="FFAD2B64"/>
    <w:rsid w:val="FFF4B8C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ocked="1"/>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widowControl/>
      <w:spacing w:line="560" w:lineRule="exact"/>
      <w:ind w:firstLine="880" w:firstLineChars="200"/>
      <w:jc w:val="left"/>
      <w:outlineLvl w:val="0"/>
    </w:pPr>
    <w:rPr>
      <w:rFonts w:ascii="Cambria" w:hAnsi="Cambria" w:eastAsia="黑体"/>
      <w:bCs/>
      <w:kern w:val="32"/>
      <w:sz w:val="32"/>
      <w:szCs w:val="32"/>
      <w:lang w:eastAsia="en-US" w:bidi="en-US"/>
    </w:rPr>
  </w:style>
  <w:style w:type="paragraph" w:styleId="3">
    <w:name w:val="heading 2"/>
    <w:basedOn w:val="1"/>
    <w:next w:val="1"/>
    <w:unhideWhenUsed/>
    <w:qFormat/>
    <w:uiPriority w:val="0"/>
    <w:pPr>
      <w:keepNext/>
      <w:keepLines/>
      <w:spacing w:before="60" w:after="60"/>
      <w:ind w:firstLine="200" w:firstLineChars="200"/>
      <w:outlineLvl w:val="1"/>
    </w:pPr>
    <w:rPr>
      <w:rFonts w:eastAsia="楷体_GB2312"/>
      <w:b/>
      <w:bCs/>
      <w:sz w:val="32"/>
      <w:szCs w:val="32"/>
    </w:rPr>
  </w:style>
  <w:style w:type="character" w:default="1" w:styleId="14">
    <w:name w:val="Default Paragraph Font"/>
    <w:semiHidden/>
    <w:qFormat/>
    <w:uiPriority w:val="99"/>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pPr>
  </w:style>
  <w:style w:type="paragraph" w:styleId="5">
    <w:name w:val="Body Text Indent"/>
    <w:basedOn w:val="1"/>
    <w:link w:val="23"/>
    <w:qFormat/>
    <w:uiPriority w:val="99"/>
    <w:pPr>
      <w:ind w:left="815" w:hanging="815"/>
    </w:pPr>
    <w:rPr>
      <w:rFonts w:eastAsia="仿宋_GB2312"/>
      <w:sz w:val="28"/>
      <w:szCs w:val="28"/>
    </w:rPr>
  </w:style>
  <w:style w:type="paragraph" w:styleId="6">
    <w:name w:val="Plain Text"/>
    <w:basedOn w:val="1"/>
    <w:link w:val="24"/>
    <w:unhideWhenUsed/>
    <w:qFormat/>
    <w:uiPriority w:val="99"/>
    <w:pPr>
      <w:widowControl/>
      <w:jc w:val="left"/>
    </w:pPr>
    <w:rPr>
      <w:rFonts w:ascii="宋体" w:hAnsi="宋体" w:cs="宋体"/>
      <w:kern w:val="0"/>
      <w:sz w:val="20"/>
      <w:szCs w:val="20"/>
    </w:rPr>
  </w:style>
  <w:style w:type="paragraph" w:styleId="7">
    <w:name w:val="Date"/>
    <w:basedOn w:val="1"/>
    <w:next w:val="1"/>
    <w:link w:val="19"/>
    <w:qFormat/>
    <w:uiPriority w:val="99"/>
    <w:rPr>
      <w:rFonts w:eastAsia="仿宋_GB2312"/>
      <w:sz w:val="32"/>
      <w:szCs w:val="32"/>
    </w:rPr>
  </w:style>
  <w:style w:type="paragraph" w:styleId="8">
    <w:name w:val="Balloon Text"/>
    <w:basedOn w:val="1"/>
    <w:link w:val="22"/>
    <w:semiHidden/>
    <w:qFormat/>
    <w:uiPriority w:val="99"/>
    <w:rPr>
      <w:sz w:val="18"/>
      <w:szCs w:val="18"/>
    </w:rPr>
  </w:style>
  <w:style w:type="paragraph" w:styleId="9">
    <w:name w:val="footer"/>
    <w:basedOn w:val="1"/>
    <w:link w:val="21"/>
    <w:qFormat/>
    <w:uiPriority w:val="99"/>
    <w:pPr>
      <w:tabs>
        <w:tab w:val="center" w:pos="4153"/>
        <w:tab w:val="right" w:pos="8306"/>
      </w:tabs>
      <w:snapToGrid w:val="0"/>
      <w:jc w:val="left"/>
    </w:pPr>
    <w:rPr>
      <w:sz w:val="18"/>
      <w:szCs w:val="18"/>
    </w:rPr>
  </w:style>
  <w:style w:type="paragraph" w:styleId="10">
    <w:name w:val="header"/>
    <w:basedOn w:val="1"/>
    <w:link w:val="20"/>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12"/>
    <w:qFormat/>
    <w:uiPriority w:val="0"/>
    <w:pPr>
      <w:snapToGrid w:val="0"/>
      <w:jc w:val="left"/>
    </w:pPr>
    <w:rPr>
      <w:sz w:val="18"/>
    </w:rPr>
  </w:style>
  <w:style w:type="paragraph" w:styleId="12">
    <w:name w:val="Body Text First Indent 2"/>
    <w:basedOn w:val="5"/>
    <w:next w:val="1"/>
    <w:qFormat/>
    <w:uiPriority w:val="0"/>
    <w:pPr>
      <w:ind w:firstLine="420" w:firstLineChars="200"/>
    </w:pPr>
  </w:style>
  <w:style w:type="character" w:styleId="15">
    <w:name w:val="Strong"/>
    <w:qFormat/>
    <w:locked/>
    <w:uiPriority w:val="22"/>
    <w:rPr>
      <w:b/>
      <w:bCs/>
    </w:rPr>
  </w:style>
  <w:style w:type="character" w:styleId="16">
    <w:name w:val="page number"/>
    <w:basedOn w:val="14"/>
    <w:qFormat/>
    <w:uiPriority w:val="99"/>
  </w:style>
  <w:style w:type="character" w:styleId="17">
    <w:name w:val="footnote reference"/>
    <w:basedOn w:val="14"/>
    <w:qFormat/>
    <w:uiPriority w:val="0"/>
    <w:rPr>
      <w:vertAlign w:val="superscript"/>
    </w:rPr>
  </w:style>
  <w:style w:type="paragraph" w:customStyle="1" w:styleId="18">
    <w:name w:val="Char"/>
    <w:basedOn w:val="1"/>
    <w:qFormat/>
    <w:uiPriority w:val="0"/>
    <w:rPr>
      <w:rFonts w:ascii="宋体" w:hAnsi="宋体" w:cs="Courier New"/>
      <w:sz w:val="32"/>
      <w:szCs w:val="32"/>
    </w:rPr>
  </w:style>
  <w:style w:type="character" w:customStyle="1" w:styleId="19">
    <w:name w:val="日期 Char"/>
    <w:link w:val="7"/>
    <w:semiHidden/>
    <w:qFormat/>
    <w:uiPriority w:val="99"/>
    <w:rPr>
      <w:szCs w:val="21"/>
    </w:rPr>
  </w:style>
  <w:style w:type="character" w:customStyle="1" w:styleId="20">
    <w:name w:val="页眉 Char"/>
    <w:link w:val="10"/>
    <w:semiHidden/>
    <w:qFormat/>
    <w:uiPriority w:val="99"/>
    <w:rPr>
      <w:sz w:val="18"/>
      <w:szCs w:val="18"/>
    </w:rPr>
  </w:style>
  <w:style w:type="character" w:customStyle="1" w:styleId="21">
    <w:name w:val="页脚 Char"/>
    <w:link w:val="9"/>
    <w:semiHidden/>
    <w:qFormat/>
    <w:uiPriority w:val="99"/>
    <w:rPr>
      <w:sz w:val="18"/>
      <w:szCs w:val="18"/>
    </w:rPr>
  </w:style>
  <w:style w:type="character" w:customStyle="1" w:styleId="22">
    <w:name w:val="批注框文本 Char"/>
    <w:link w:val="8"/>
    <w:semiHidden/>
    <w:qFormat/>
    <w:uiPriority w:val="99"/>
    <w:rPr>
      <w:sz w:val="0"/>
      <w:szCs w:val="0"/>
    </w:rPr>
  </w:style>
  <w:style w:type="character" w:customStyle="1" w:styleId="23">
    <w:name w:val="正文文本缩进 Char"/>
    <w:link w:val="5"/>
    <w:semiHidden/>
    <w:qFormat/>
    <w:uiPriority w:val="99"/>
    <w:rPr>
      <w:szCs w:val="21"/>
    </w:rPr>
  </w:style>
  <w:style w:type="character" w:customStyle="1" w:styleId="24">
    <w:name w:val="纯文本 Char"/>
    <w:link w:val="6"/>
    <w:semiHidden/>
    <w:qFormat/>
    <w:uiPriority w:val="99"/>
    <w:rPr>
      <w:rFonts w:ascii="宋体" w:hAnsi="宋体" w:cs="宋体"/>
    </w:rPr>
  </w:style>
  <w:style w:type="paragraph" w:customStyle="1" w:styleId="25">
    <w:name w:val="列表段落1"/>
    <w:basedOn w:val="1"/>
    <w:qFormat/>
    <w:uiPriority w:val="34"/>
    <w:pPr>
      <w:ind w:firstLine="420" w:firstLineChars="200"/>
    </w:pPr>
  </w:style>
  <w:style w:type="paragraph" w:customStyle="1" w:styleId="26">
    <w:name w:val="toc 11"/>
    <w:next w:val="1"/>
    <w:qFormat/>
    <w:uiPriority w:val="0"/>
    <w:pPr>
      <w:wordWrap w:val="0"/>
      <w:jc w:val="both"/>
    </w:pPr>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home\user\Desktop\&#27169;&#26495;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模板3.dotx</Template>
  <Pages>18</Pages>
  <Words>514</Words>
  <Characters>520</Characters>
  <Lines>0</Lines>
  <Paragraphs>0</Paragraphs>
  <TotalTime>2</TotalTime>
  <ScaleCrop>false</ScaleCrop>
  <LinksUpToDate>false</LinksUpToDate>
  <CharactersWithSpaces>520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2026-10-21T11:35:00Z</dcterms:created>
  <dc:creator>user</dc:creator>
  <cp:lastModifiedBy>user</cp:lastModifiedBy>
  <dcterms:modified xsi:type="dcterms:W3CDTF">2026-10-29T14:21:05Z</dcterms:modified>
  <dc:title>北京市东城区人民政府</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D212F19F10BB529DB78EE16A2B95066F_43</vt:lpwstr>
  </property>
  <property fmtid="{D5CDD505-2E9C-101B-9397-08002B2CF9AE}" pid="4" name="KSOTemplateDocerSaveRecord">
    <vt:lpwstr>eyJoZGlkIjoiMGU3M2U2NzEwNTZmNTk2Mjk1MjBlYzY0MTM1MzM0YTUiLCJ1c2VySWQiOiI2Mzc1MDI3OTEifQ==</vt:lpwstr>
  </property>
</Properties>
</file>